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0312B"/>
          <w:sz w:val="72"/>
          <w:szCs w:val="72"/>
        </w:rPr>
        <w:t xml:space="preserve">CATI</w:t>
      </w:r>
    </w:p>
    <w:p>
      <w:pPr>
        <w:spacing w:after="120"/>
        <w:jc w:val="center"/>
      </w:pPr>
      <w:r>
        <w:rPr>
          <w:color w:val="006657"/>
          <w:sz w:val="32"/>
          <w:szCs w:val="32"/>
        </w:rPr>
        <w:t xml:space="preserve">Centro de Atención Técnica Informática</w:t>
      </w:r>
    </w:p>
    <w:p>
      <w:pPr>
        <w:spacing w:after="600"/>
        <w:jc w:val="center"/>
      </w:pPr>
      <w:r>
        <w:rPr>
          <w:b/>
          <w:bCs/>
          <w:color w:val="BC955C"/>
          <w:sz w:val="26"/>
          <w:szCs w:val="26"/>
        </w:rPr>
        <w:t xml:space="preserve">Análisis técnico del proyecto</w:t>
      </w:r>
    </w:p>
    <w:p>
      <w:pPr>
        <w:spacing w:after="100"/>
        <w:jc w:val="center"/>
      </w:pPr>
      <w:r>
        <w:rPr>
          <w:sz w:val="22"/>
          <w:szCs w:val="22"/>
        </w:rPr>
        <w:t xml:space="preserve">Secretaría del Bienestar — Xalapa, Veracruz</w:t>
      </w:r>
    </w:p>
    <w:p>
      <w:pPr>
        <w:spacing w:after="100"/>
        <w:jc w:val="center"/>
      </w:pPr>
      <w:r>
        <w:rPr>
          <w:sz w:val="22"/>
          <w:szCs w:val="22"/>
        </w:rPr>
        <w:t xml:space="preserve">Departamento de Informática</w:t>
      </w:r>
    </w:p>
    <w:p>
      <w:pPr>
        <w:spacing w:after="100"/>
        <w:jc w:val="center"/>
      </w:pPr>
      <w:r>
        <w:rPr>
          <w:color w:val="666666"/>
          <w:sz w:val="20"/>
          <w:szCs w:val="20"/>
        </w:rPr>
        <w:t xml:space="preserve">Julio de 2026</w:t>
      </w:r>
    </w:p>
    <w:p>
      <w:r>
        <w:br w:type="page"/>
      </w:r>
    </w:p>
    <w:p>
      <w:pPr>
        <w:pStyle w:val="Heading1"/>
        <w:spacing w:after="200" w:before="360"/>
      </w:pPr>
      <w:r>
        <w:rPr>
          <w:b/>
          <w:bCs/>
          <w:color w:val="10312B"/>
        </w:rPr>
        <w:t xml:space="preserve">1. Resumen ejecutivo</w:t>
      </w:r>
    </w:p>
    <w:p>
      <w:pPr>
        <w:spacing w:after="160" w:line="300"/>
        <w:jc w:val="both"/>
      </w:pPr>
      <w:r>
        <w:rPr>
          <w:sz w:val="22"/>
          <w:szCs w:val="22"/>
        </w:rPr>
        <w:t xml:space="preserve">CATI (Centro de Atención Técnica Informática) es un sistema de mesa de ayuda (helpdesk) desarrollado para el Departamento de Informática de la Secretaría del Bienestar en Xalapa, Veracruz. Permite a los empleados de la dependencia reportar incidencias técnicas mediante tickets, a los técnicos gestionar y resolver dichos tickets, y a los administradores supervisar la operación completa: carga de trabajo por técnico, gestión de usuarios y roles, y administración de los catálogos de apoyo (departamentos, equipos de cómputo y tipos de servicio).</w:t>
      </w:r>
    </w:p>
    <w:p>
      <w:pPr>
        <w:spacing w:after="160" w:line="300"/>
        <w:jc w:val="both"/>
      </w:pPr>
      <w:r>
        <w:rPr>
          <w:sz w:val="22"/>
          <w:szCs w:val="22"/>
        </w:rPr>
        <w:t xml:space="preserve">El sistema se compone de una API REST (backend) y una aplicación web de página única (frontend), ambas escritas en TypeScript, respaldadas por una base de datos PostgreSQL. La identidad visual sigue la paleta institucional oficial de la Secretaría del Bienestar (verde, dorado y guinda) e incorpora el logotipo oficial y la tipografía Public Sans.</w:t>
      </w:r>
    </w:p>
    <w:p>
      <w:pPr>
        <w:pStyle w:val="Heading2"/>
        <w:spacing w:after="160" w:before="280"/>
      </w:pPr>
      <w:r>
        <w:rPr>
          <w:b/>
          <w:bCs/>
          <w:color w:val="006657"/>
        </w:rPr>
        <w:t xml:space="preserve">1.1 Funcionalidad por rol</w:t>
      </w:r>
    </w:p>
    <w:p>
      <w:pPr>
        <w:pStyle w:val="ListParagraph"/>
        <w:numPr>
          <w:ilvl w:val="0"/>
          <w:numId w:val="2"/>
        </w:numPr>
        <w:spacing w:after="100" w:line="300"/>
      </w:pPr>
      <w:r>
        <w:rPr>
          <w:b/>
          <w:bCs/>
          <w:sz w:val="22"/>
          <w:szCs w:val="22"/>
        </w:rPr>
        <w:t xml:space="preserve">Usuario: </w:t>
      </w:r>
      <w:r>
        <w:rPr>
          <w:sz w:val="22"/>
          <w:szCs w:val="22"/>
        </w:rPr>
        <w:t xml:space="preserve">crea tickets mediante un formulario con buscadores filtrables de servicio y equipo; el departamento se asocia automáticamente a partir de su perfil. Consulta el estatus de sus tickets, la fecha de creación y cierre, y el reporte de solución que escribió el técnico.</w:t>
      </w:r>
    </w:p>
    <w:p>
      <w:pPr>
        <w:pStyle w:val="ListParagraph"/>
        <w:numPr>
          <w:ilvl w:val="0"/>
          <w:numId w:val="2"/>
        </w:numPr>
        <w:spacing w:after="100" w:line="300"/>
      </w:pPr>
      <w:r>
        <w:rPr>
          <w:b/>
          <w:bCs/>
          <w:sz w:val="22"/>
          <w:szCs w:val="22"/>
        </w:rPr>
        <w:t xml:space="preserve">Técnico: </w:t>
      </w:r>
      <w:r>
        <w:rPr>
          <w:sz w:val="22"/>
          <w:szCs w:val="22"/>
        </w:rPr>
        <w:t xml:space="preserve">ve un resumen estadístico de sus tickets por estatus, una cola en tiempo casi real de tickets sin asignar (se actualiza cada 8 segundos), toma tickets y avanza su estatus (Abierto → En progreso → Atendido → Cerrado). Al cerrar, el sistema exige un reporte de cierre con los datos del técnico y del usuario atendido prellenados, y ofrece generar un Dictamen Técnico oficial en PDF cuando la falla implica reemplazo de hardware. Cuenta con un historial filtrable de todos los tickets que ha cerrado, con duración de atención calculada.</w:t>
      </w:r>
    </w:p>
    <w:p>
      <w:pPr>
        <w:pStyle w:val="ListParagraph"/>
        <w:numPr>
          <w:ilvl w:val="0"/>
          <w:numId w:val="2"/>
        </w:numPr>
        <w:spacing w:after="100" w:line="300"/>
      </w:pPr>
      <w:r>
        <w:rPr>
          <w:b/>
          <w:bCs/>
          <w:sz w:val="22"/>
          <w:szCs w:val="22"/>
        </w:rPr>
        <w:t xml:space="preserve">Administrador: </w:t>
      </w:r>
      <w:r>
        <w:rPr>
          <w:sz w:val="22"/>
          <w:szCs w:val="22"/>
        </w:rPr>
        <w:t xml:space="preserve">panel con el desglose de tickets por técnico y estatus, tabla global de tickets con filtros (técnico, departamento, estatus) y acceso a los reportes de cierre; gestión de usuarios (alta, cambio de rol, activación/desactivación, baja) y CRUD completo de departamentos, máquinas y catálogo de servicios.</w:t>
      </w:r>
    </w:p>
    <w:p>
      <w:pPr>
        <w:spacing w:after="160" w:line="300"/>
        <w:jc w:val="both"/>
      </w:pPr>
      <w:r>
        <w:rPr>
          <w:sz w:val="22"/>
          <w:szCs w:val="22"/>
        </w:rPr>
        <w:t xml:space="preserve">Todas las listas de tickets están paginadas a 20 elementos por página para mantener la interfaz ligera en memoria y fluida.</w:t>
      </w:r>
    </w:p>
    <w:p>
      <w:pPr>
        <w:spacing w:after="160" w:line="300"/>
        <w:jc w:val="both"/>
      </w:pPr>
      <w:r>
        <w:rPr>
          <w:sz w:val="22"/>
          <w:szCs w:val="22"/>
        </w:rPr>
        <w:t xml:space="preserve">Los tres portales comparten además una pestaña de </w:t>
      </w:r>
      <w:r>
        <w:rPr>
          <w:b/>
          <w:bCs/>
          <w:sz w:val="22"/>
          <w:szCs w:val="22"/>
        </w:rPr>
        <w:t xml:space="preserve">Configuración</w:t>
      </w:r>
      <w:r>
        <w:rPr>
          <w:sz w:val="22"/>
          <w:szCs w:val="22"/>
        </w:rPr>
        <w:t xml:space="preserve"> (tema claro/oscuro/sistema, información personal en solo lectura y correo secundario editable) y un encabezado con saludo personalizado según la hora del día (“Buenos días, María Fernanda”), en lugar de títulos genéricos.</w:t>
      </w:r>
    </w:p>
    <w:p>
      <w:pPr>
        <w:pStyle w:val="Heading1"/>
        <w:spacing w:after="200" w:before="360"/>
      </w:pPr>
      <w:r>
        <w:rPr>
          <w:b/>
          <w:bCs/>
          <w:color w:val="10312B"/>
        </w:rPr>
        <w:t xml:space="preserve">2. Arquitectura general</w:t>
      </w:r>
    </w:p>
    <w:p>
      <w:pPr>
        <w:spacing w:after="160" w:line="300"/>
        <w:jc w:val="both"/>
      </w:pPr>
      <w:r>
        <w:rPr>
          <w:sz w:val="22"/>
          <w:szCs w:val="22"/>
        </w:rPr>
        <w:t xml:space="preserve">El proyecto sigue una arquitectura cliente-servidor desacoplada en un solo repositorio (monorepo simple): el backend vive en la raíz y el frontend en la carpeta frontend/. Se comunican exclusivamente por HTTP mediante una API REST documentada en OpenAPI 3.0 (openapi.yaml).</w:t>
      </w:r>
    </w:p>
    <w:p>
      <w:pPr>
        <w:pStyle w:val="Heading2"/>
        <w:spacing w:after="160" w:before="280"/>
      </w:pPr>
      <w:r>
        <w:rPr>
          <w:b/>
          <w:bCs/>
          <w:color w:val="006657"/>
        </w:rPr>
        <w:t xml:space="preserve">2.1 Backend (API REST)</w:t>
      </w:r>
    </w:p>
    <w:p>
      <w:pPr>
        <w:spacing w:after="160" w:line="300"/>
        <w:jc w:val="both"/>
      </w:pPr>
      <w:r>
        <w:rPr>
          <w:sz w:val="22"/>
          <w:szCs w:val="22"/>
        </w:rPr>
        <w:t xml:space="preserve">Servidor Express 5 sobre Node.js, organizado en capas: rutas (src/routes) → controladores (src/controllers, validación y manejo de errores) → servicios (src/services, acceso a datos con Prisma) → base de datos. La autenticación usa JSON Web Tokens con vigencia de 1 día; las contraseñas se almacenan con hash bcrypt (factor 10). Todas las respuestas siguen un contrato uniforme { success, message?, data?, error? }, lo que simplificó el cliente HTTP del frontend.</w:t>
      </w:r>
    </w:p>
    <w:p>
      <w:pPr>
        <w:pStyle w:val="Heading2"/>
        <w:spacing w:after="160" w:before="280"/>
      </w:pPr>
      <w:r>
        <w:rPr>
          <w:b/>
          <w:bCs/>
          <w:color w:val="006657"/>
        </w:rPr>
        <w:t xml:space="preserve">2.2 Frontend (SPA)</w:t>
      </w:r>
    </w:p>
    <w:p>
      <w:pPr>
        <w:spacing w:after="160" w:line="300"/>
        <w:jc w:val="both"/>
      </w:pPr>
      <w:r>
        <w:rPr>
          <w:sz w:val="22"/>
          <w:szCs w:val="22"/>
        </w:rPr>
        <w:t xml:space="preserve">Aplicación de página única construida con React 19 y Vite 8, organizada por responsabilidades: api/ (funciones por endpoint), hooks/ (estado de servidor con TanStack Query), store/ (sesión con Zustand), pages/ (una carpeta por rol), components/ (piezas de UI compartidas). El enrutamiento por rol se resuelve con guardas (ProtectedRoute) que redirigen a cada usuario a su portal según el rol devuelto por el login.</w:t>
      </w:r>
    </w:p>
    <w:p>
      <w:pPr>
        <w:pStyle w:val="Heading2"/>
        <w:spacing w:after="160" w:before="280"/>
      </w:pPr>
      <w:r>
        <w:rPr>
          <w:b/>
          <w:bCs/>
          <w:color w:val="006657"/>
        </w:rPr>
        <w:t xml:space="preserve">2.3 Base de datos</w:t>
      </w:r>
    </w:p>
    <w:p>
      <w:pPr>
        <w:spacing w:after="160" w:line="300"/>
        <w:jc w:val="both"/>
      </w:pPr>
      <w:r>
        <w:rPr>
          <w:sz w:val="22"/>
          <w:szCs w:val="22"/>
        </w:rPr>
        <w:t xml:space="preserve">PostgreSQL con el ORM Prisma 7. El esquema se versiona con Prisma Migrate (7 migraciones a la fecha), lo que permite reproducir la base en cualquier entorno con un solo comando. Los modelos son: Usuario, Ticket, Departamento, Maquina y CatServicios, más los enums EstadoTicket (ABIERTO, EN_PROGRESO, ATENDIDO, CERRADO) y Servicios (SERVICIO, TELEFONIA, HARDWARE, SOFTWARE, RED, IMPRESION).</w:t>
      </w:r>
    </w:p>
    <w:p>
      <w:pPr>
        <w:spacing w:after="160" w:line="300"/>
        <w:jc w:val="both"/>
      </w:pPr>
      <w:r>
        <w:rPr>
          <w:sz w:val="22"/>
          <w:szCs w:val="22"/>
        </w:rPr>
        <w:t xml:space="preserve">Relaciones clave: un Ticket pertenece a un Usuario creador y opcionalmente a un técnico asignado y a una Maquina; cada Usuario y cada Maquina pertenecen a un Departamento; cada Ticket referencia un servicio del catálogo. El departamento de un ticket no se guarda por duplicado: se deriva de la relación creador → departamento, evitando inconsistencias. Los campos fechaCierre y notaCierre se gestionan automáticamente en el servidor al cerrar o reabrir un ticket. Usuario incluye además correoSecundario, un correo de contacto alterno opcional que cada persona edita desde su Configuración.</w:t>
      </w:r>
    </w:p>
    <w:p>
      <w:pPr>
        <w:pStyle w:val="Heading1"/>
        <w:spacing w:after="200" w:before="360"/>
      </w:pPr>
      <w:r>
        <w:rPr>
          <w:b/>
          <w:bCs/>
          <w:color w:val="10312B"/>
        </w:rPr>
        <w:t xml:space="preserve">3. Tecnologías del backend</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300"/>
        <w:gridCol w:w="1700"/>
        <w:gridCol w:w="5360"/>
      </w:tblGrid>
      <w:tr>
        <w:trPr>
          <w:tblHeader/>
        </w:trPr>
        <w:tc>
          <w:tcPr>
            <w:tcW w:type="dxa" w:w="2300"/>
            <w:shd w:fill="10312B" w:val="clear"/>
            <w:tcMar>
              <w:top w:type="dxa" w:w="60"/>
              <w:left w:type="dxa" w:w="100"/>
              <w:bottom w:type="dxa" w:w="60"/>
              <w:right w:type="dxa" w:w="100"/>
            </w:tcMar>
          </w:tcPr>
          <w:p>
            <w:pPr>
              <w:spacing w:after="0" w:line="260"/>
            </w:pPr>
            <w:r>
              <w:rPr>
                <w:b/>
                <w:bCs/>
                <w:color w:val="FFFFFF"/>
                <w:sz w:val="19"/>
                <w:szCs w:val="19"/>
              </w:rPr>
              <w:t xml:space="preserve">Tecnología</w:t>
            </w:r>
          </w:p>
        </w:tc>
        <w:tc>
          <w:tcPr>
            <w:tcW w:type="dxa" w:w="1700"/>
            <w:shd w:fill="10312B" w:val="clear"/>
            <w:tcMar>
              <w:top w:type="dxa" w:w="60"/>
              <w:left w:type="dxa" w:w="100"/>
              <w:bottom w:type="dxa" w:w="60"/>
              <w:right w:type="dxa" w:w="100"/>
            </w:tcMar>
          </w:tcPr>
          <w:p>
            <w:pPr>
              <w:spacing w:after="0" w:line="260"/>
            </w:pPr>
            <w:r>
              <w:rPr>
                <w:b/>
                <w:bCs/>
                <w:color w:val="FFFFFF"/>
                <w:sz w:val="19"/>
                <w:szCs w:val="19"/>
              </w:rPr>
              <w:t xml:space="preserve">Rol</w:t>
            </w:r>
          </w:p>
        </w:tc>
        <w:tc>
          <w:tcPr>
            <w:tcW w:type="dxa" w:w="5360"/>
            <w:shd w:fill="10312B" w:val="clear"/>
            <w:tcMar>
              <w:top w:type="dxa" w:w="60"/>
              <w:left w:type="dxa" w:w="100"/>
              <w:bottom w:type="dxa" w:w="60"/>
              <w:right w:type="dxa" w:w="100"/>
            </w:tcMar>
          </w:tcPr>
          <w:p>
            <w:pPr>
              <w:spacing w:after="0" w:line="260"/>
            </w:pPr>
            <w:r>
              <w:rPr>
                <w:b/>
                <w:bCs/>
                <w:color w:val="FFFFFF"/>
                <w:sz w:val="19"/>
                <w:szCs w:val="19"/>
              </w:rPr>
              <w:t xml:space="preserve">Por qué se eligió</w:t>
            </w:r>
          </w:p>
        </w:tc>
      </w:tr>
      <w:tr>
        <w:tc>
          <w:tcPr>
            <w:tcW w:type="dxa" w:w="2300"/>
            <w:tcMar>
              <w:top w:type="dxa" w:w="60"/>
              <w:left w:type="dxa" w:w="100"/>
              <w:bottom w:type="dxa" w:w="60"/>
              <w:right w:type="dxa" w:w="100"/>
            </w:tcMar>
          </w:tcPr>
          <w:p>
            <w:pPr>
              <w:spacing w:after="0" w:line="260"/>
            </w:pPr>
            <w:r>
              <w:rPr>
                <w:b w:val="false"/>
                <w:bCs w:val="false"/>
                <w:sz w:val="19"/>
                <w:szCs w:val="19"/>
              </w:rPr>
              <w:t xml:space="preserve">Node.js + TypeScript 5.9</w:t>
            </w:r>
          </w:p>
        </w:tc>
        <w:tc>
          <w:tcPr>
            <w:tcW w:type="dxa" w:w="1700"/>
            <w:tcMar>
              <w:top w:type="dxa" w:w="60"/>
              <w:left w:type="dxa" w:w="100"/>
              <w:bottom w:type="dxa" w:w="60"/>
              <w:right w:type="dxa" w:w="100"/>
            </w:tcMar>
          </w:tcPr>
          <w:p>
            <w:pPr>
              <w:spacing w:after="0" w:line="260"/>
            </w:pPr>
            <w:r>
              <w:rPr>
                <w:b w:val="false"/>
                <w:bCs w:val="false"/>
                <w:sz w:val="19"/>
                <w:szCs w:val="19"/>
              </w:rPr>
              <w:t xml:space="preserve">Lenguaje/entorno</w:t>
            </w:r>
          </w:p>
        </w:tc>
        <w:tc>
          <w:tcPr>
            <w:tcW w:type="dxa" w:w="5360"/>
            <w:tcMar>
              <w:top w:type="dxa" w:w="60"/>
              <w:left w:type="dxa" w:w="100"/>
              <w:bottom w:type="dxa" w:w="60"/>
              <w:right w:type="dxa" w:w="100"/>
            </w:tcMar>
          </w:tcPr>
          <w:p>
            <w:pPr>
              <w:spacing w:after="0" w:line="260"/>
            </w:pPr>
            <w:r>
              <w:rPr>
                <w:b w:val="false"/>
                <w:bCs w:val="false"/>
                <w:sz w:val="19"/>
                <w:szCs w:val="19"/>
              </w:rPr>
              <w:t xml:space="preserve">Tipado estático en todo el stack; mismo lenguaje en cliente y servidor reduce fricción.</w:t>
            </w:r>
          </w:p>
        </w:tc>
      </w:tr>
      <w:tr>
        <w:tc>
          <w:tcPr>
            <w:tcW w:type="dxa" w:w="2300"/>
            <w:tcMar>
              <w:top w:type="dxa" w:w="60"/>
              <w:left w:type="dxa" w:w="100"/>
              <w:bottom w:type="dxa" w:w="60"/>
              <w:right w:type="dxa" w:w="100"/>
            </w:tcMar>
          </w:tcPr>
          <w:p>
            <w:pPr>
              <w:spacing w:after="0" w:line="260"/>
            </w:pPr>
            <w:r>
              <w:rPr>
                <w:b w:val="false"/>
                <w:bCs w:val="false"/>
                <w:sz w:val="19"/>
                <w:szCs w:val="19"/>
              </w:rPr>
              <w:t xml:space="preserve">Express 5.2</w:t>
            </w:r>
          </w:p>
        </w:tc>
        <w:tc>
          <w:tcPr>
            <w:tcW w:type="dxa" w:w="1700"/>
            <w:tcMar>
              <w:top w:type="dxa" w:w="60"/>
              <w:left w:type="dxa" w:w="100"/>
              <w:bottom w:type="dxa" w:w="60"/>
              <w:right w:type="dxa" w:w="100"/>
            </w:tcMar>
          </w:tcPr>
          <w:p>
            <w:pPr>
              <w:spacing w:after="0" w:line="260"/>
            </w:pPr>
            <w:r>
              <w:rPr>
                <w:b w:val="false"/>
                <w:bCs w:val="false"/>
                <w:sz w:val="19"/>
                <w:szCs w:val="19"/>
              </w:rPr>
              <w:t xml:space="preserve">Framework HTTP</w:t>
            </w:r>
          </w:p>
        </w:tc>
        <w:tc>
          <w:tcPr>
            <w:tcW w:type="dxa" w:w="5360"/>
            <w:tcMar>
              <w:top w:type="dxa" w:w="60"/>
              <w:left w:type="dxa" w:w="100"/>
              <w:bottom w:type="dxa" w:w="60"/>
              <w:right w:type="dxa" w:w="100"/>
            </w:tcMar>
          </w:tcPr>
          <w:p>
            <w:pPr>
              <w:spacing w:after="0" w:line="260"/>
            </w:pPr>
            <w:r>
              <w:rPr>
                <w:b w:val="false"/>
                <w:bCs w:val="false"/>
                <w:sz w:val="19"/>
                <w:szCs w:val="19"/>
              </w:rPr>
              <w:t xml:space="preserve">Minimalista y maduro; suficiente para una API CRUD sin la complejidad de NestJS.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Prisma 7.8 + @prisma/adapter-pg</w:t>
            </w:r>
          </w:p>
        </w:tc>
        <w:tc>
          <w:tcPr>
            <w:tcW w:type="dxa" w:w="1700"/>
            <w:tcMar>
              <w:top w:type="dxa" w:w="60"/>
              <w:left w:type="dxa" w:w="100"/>
              <w:bottom w:type="dxa" w:w="60"/>
              <w:right w:type="dxa" w:w="100"/>
            </w:tcMar>
          </w:tcPr>
          <w:p>
            <w:pPr>
              <w:spacing w:after="0" w:line="260"/>
            </w:pPr>
            <w:r>
              <w:rPr>
                <w:b w:val="false"/>
                <w:bCs w:val="false"/>
                <w:sz w:val="19"/>
                <w:szCs w:val="19"/>
              </w:rPr>
              <w:t xml:space="preserve">ORM</w:t>
            </w:r>
          </w:p>
        </w:tc>
        <w:tc>
          <w:tcPr>
            <w:tcW w:type="dxa" w:w="5360"/>
            <w:tcMar>
              <w:top w:type="dxa" w:w="60"/>
              <w:left w:type="dxa" w:w="100"/>
              <w:bottom w:type="dxa" w:w="60"/>
              <w:right w:type="dxa" w:w="100"/>
            </w:tcMar>
          </w:tcPr>
          <w:p>
            <w:pPr>
              <w:spacing w:after="0" w:line="260"/>
            </w:pPr>
            <w:r>
              <w:rPr>
                <w:b w:val="false"/>
                <w:bCs w:val="false"/>
                <w:sz w:val="19"/>
                <w:szCs w:val="19"/>
              </w:rPr>
              <w:t xml:space="preserve">Esquema declarativo, migraciones versionadas y tipos TypeScript generados que eliminan errores de acceso a datos.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PostgreSQL 18</w:t>
            </w:r>
          </w:p>
        </w:tc>
        <w:tc>
          <w:tcPr>
            <w:tcW w:type="dxa" w:w="1700"/>
            <w:tcMar>
              <w:top w:type="dxa" w:w="60"/>
              <w:left w:type="dxa" w:w="100"/>
              <w:bottom w:type="dxa" w:w="60"/>
              <w:right w:type="dxa" w:w="100"/>
            </w:tcMar>
          </w:tcPr>
          <w:p>
            <w:pPr>
              <w:spacing w:after="0" w:line="260"/>
            </w:pPr>
            <w:r>
              <w:rPr>
                <w:b w:val="false"/>
                <w:bCs w:val="false"/>
                <w:sz w:val="19"/>
                <w:szCs w:val="19"/>
              </w:rPr>
              <w:t xml:space="preserve">Base de datos</w:t>
            </w:r>
          </w:p>
        </w:tc>
        <w:tc>
          <w:tcPr>
            <w:tcW w:type="dxa" w:w="5360"/>
            <w:tcMar>
              <w:top w:type="dxa" w:w="60"/>
              <w:left w:type="dxa" w:w="100"/>
              <w:bottom w:type="dxa" w:w="60"/>
              <w:right w:type="dxa" w:w="100"/>
            </w:tcMar>
          </w:tcPr>
          <w:p>
            <w:pPr>
              <w:spacing w:after="0" w:line="260"/>
            </w:pPr>
            <w:r>
              <w:rPr>
                <w:b w:val="false"/>
                <w:bCs w:val="false"/>
                <w:sz w:val="19"/>
                <w:szCs w:val="19"/>
              </w:rPr>
              <w:t xml:space="preserve">Relacional, robusta y gratuita; ideal para datos con relaciones fuertes como tickets/usuarios/departamentos.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jsonwebtoken 9</w:t>
            </w:r>
          </w:p>
        </w:tc>
        <w:tc>
          <w:tcPr>
            <w:tcW w:type="dxa" w:w="1700"/>
            <w:tcMar>
              <w:top w:type="dxa" w:w="60"/>
              <w:left w:type="dxa" w:w="100"/>
              <w:bottom w:type="dxa" w:w="60"/>
              <w:right w:type="dxa" w:w="100"/>
            </w:tcMar>
          </w:tcPr>
          <w:p>
            <w:pPr>
              <w:spacing w:after="0" w:line="260"/>
            </w:pPr>
            <w:r>
              <w:rPr>
                <w:b w:val="false"/>
                <w:bCs w:val="false"/>
                <w:sz w:val="19"/>
                <w:szCs w:val="19"/>
              </w:rPr>
              <w:t xml:space="preserve">Autenticación</w:t>
            </w:r>
          </w:p>
        </w:tc>
        <w:tc>
          <w:tcPr>
            <w:tcW w:type="dxa" w:w="5360"/>
            <w:tcMar>
              <w:top w:type="dxa" w:w="60"/>
              <w:left w:type="dxa" w:w="100"/>
              <w:bottom w:type="dxa" w:w="60"/>
              <w:right w:type="dxa" w:w="100"/>
            </w:tcMar>
          </w:tcPr>
          <w:p>
            <w:pPr>
              <w:spacing w:after="0" w:line="260"/>
            </w:pPr>
            <w:r>
              <w:rPr>
                <w:b w:val="false"/>
                <w:bCs w:val="false"/>
                <w:sz w:val="19"/>
                <w:szCs w:val="19"/>
              </w:rPr>
              <w:t xml:space="preserve">Sesiones sin estado (stateless): el servidor no guarda sesiones, lo que simplifica el despliegue en un solo servidor pequeño.</w:t>
            </w:r>
          </w:p>
        </w:tc>
      </w:tr>
      <w:tr>
        <w:tc>
          <w:tcPr>
            <w:tcW w:type="dxa" w:w="2300"/>
            <w:tcMar>
              <w:top w:type="dxa" w:w="60"/>
              <w:left w:type="dxa" w:w="100"/>
              <w:bottom w:type="dxa" w:w="60"/>
              <w:right w:type="dxa" w:w="100"/>
            </w:tcMar>
          </w:tcPr>
          <w:p>
            <w:pPr>
              <w:spacing w:after="0" w:line="260"/>
            </w:pPr>
            <w:r>
              <w:rPr>
                <w:b w:val="false"/>
                <w:bCs w:val="false"/>
                <w:sz w:val="19"/>
                <w:szCs w:val="19"/>
              </w:rPr>
              <w:t xml:space="preserve">bcryptjs 3</w:t>
            </w:r>
          </w:p>
        </w:tc>
        <w:tc>
          <w:tcPr>
            <w:tcW w:type="dxa" w:w="1700"/>
            <w:tcMar>
              <w:top w:type="dxa" w:w="60"/>
              <w:left w:type="dxa" w:w="100"/>
              <w:bottom w:type="dxa" w:w="60"/>
              <w:right w:type="dxa" w:w="100"/>
            </w:tcMar>
          </w:tcPr>
          <w:p>
            <w:pPr>
              <w:spacing w:after="0" w:line="260"/>
            </w:pPr>
            <w:r>
              <w:rPr>
                <w:b w:val="false"/>
                <w:bCs w:val="false"/>
                <w:sz w:val="19"/>
                <w:szCs w:val="19"/>
              </w:rPr>
              <w:t xml:space="preserve">Hash de contraseñas</w:t>
            </w:r>
          </w:p>
        </w:tc>
        <w:tc>
          <w:tcPr>
            <w:tcW w:type="dxa" w:w="5360"/>
            <w:tcMar>
              <w:top w:type="dxa" w:w="60"/>
              <w:left w:type="dxa" w:w="100"/>
              <w:bottom w:type="dxa" w:w="60"/>
              <w:right w:type="dxa" w:w="100"/>
            </w:tcMar>
          </w:tcPr>
          <w:p>
            <w:pPr>
              <w:spacing w:after="0" w:line="260"/>
            </w:pPr>
            <w:r>
              <w:rPr>
                <w:b w:val="false"/>
                <w:bCs w:val="false"/>
                <w:sz w:val="19"/>
                <w:szCs w:val="19"/>
              </w:rPr>
              <w:t xml:space="preserve">Estándar de la industria para almacenar contraseñas de forma segura (nunca en texto plano).</w:t>
            </w:r>
          </w:p>
        </w:tc>
      </w:tr>
      <w:tr>
        <w:tc>
          <w:tcPr>
            <w:tcW w:type="dxa" w:w="2300"/>
            <w:tcMar>
              <w:top w:type="dxa" w:w="60"/>
              <w:left w:type="dxa" w:w="100"/>
              <w:bottom w:type="dxa" w:w="60"/>
              <w:right w:type="dxa" w:w="100"/>
            </w:tcMar>
          </w:tcPr>
          <w:p>
            <w:pPr>
              <w:spacing w:after="0" w:line="260"/>
            </w:pPr>
            <w:r>
              <w:rPr>
                <w:b w:val="false"/>
                <w:bCs w:val="false"/>
                <w:sz w:val="19"/>
                <w:szCs w:val="19"/>
              </w:rPr>
              <w:t xml:space="preserve">helmet 8 y cors 2.8</w:t>
            </w:r>
          </w:p>
        </w:tc>
        <w:tc>
          <w:tcPr>
            <w:tcW w:type="dxa" w:w="1700"/>
            <w:tcMar>
              <w:top w:type="dxa" w:w="60"/>
              <w:left w:type="dxa" w:w="100"/>
              <w:bottom w:type="dxa" w:w="60"/>
              <w:right w:type="dxa" w:w="100"/>
            </w:tcMar>
          </w:tcPr>
          <w:p>
            <w:pPr>
              <w:spacing w:after="0" w:line="260"/>
            </w:pPr>
            <w:r>
              <w:rPr>
                <w:b w:val="false"/>
                <w:bCs w:val="false"/>
                <w:sz w:val="19"/>
                <w:szCs w:val="19"/>
              </w:rPr>
              <w:t xml:space="preserve">Seguridad HTTP</w:t>
            </w:r>
          </w:p>
        </w:tc>
        <w:tc>
          <w:tcPr>
            <w:tcW w:type="dxa" w:w="5360"/>
            <w:tcMar>
              <w:top w:type="dxa" w:w="60"/>
              <w:left w:type="dxa" w:w="100"/>
              <w:bottom w:type="dxa" w:w="60"/>
              <w:right w:type="dxa" w:w="100"/>
            </w:tcMar>
          </w:tcPr>
          <w:p>
            <w:pPr>
              <w:spacing w:after="0" w:line="260"/>
            </w:pPr>
            <w:r>
              <w:rPr>
                <w:b w:val="false"/>
                <w:bCs w:val="false"/>
                <w:sz w:val="19"/>
                <w:szCs w:val="19"/>
              </w:rPr>
              <w:t xml:space="preserve">Cabeceras de seguridad por defecto y permiso de llamadas desde el dominio del frontend.</w:t>
            </w:r>
          </w:p>
        </w:tc>
      </w:tr>
      <w:tr>
        <w:tc>
          <w:tcPr>
            <w:tcW w:type="dxa" w:w="2300"/>
            <w:tcMar>
              <w:top w:type="dxa" w:w="60"/>
              <w:left w:type="dxa" w:w="100"/>
              <w:bottom w:type="dxa" w:w="60"/>
              <w:right w:type="dxa" w:w="100"/>
            </w:tcMar>
          </w:tcPr>
          <w:p>
            <w:pPr>
              <w:spacing w:after="0" w:line="260"/>
            </w:pPr>
            <w:r>
              <w:rPr>
                <w:b w:val="false"/>
                <w:bCs w:val="false"/>
                <w:sz w:val="19"/>
                <w:szCs w:val="19"/>
              </w:rPr>
              <w:t xml:space="preserve">dotenv 17</w:t>
            </w:r>
          </w:p>
        </w:tc>
        <w:tc>
          <w:tcPr>
            <w:tcW w:type="dxa" w:w="1700"/>
            <w:tcMar>
              <w:top w:type="dxa" w:w="60"/>
              <w:left w:type="dxa" w:w="100"/>
              <w:bottom w:type="dxa" w:w="60"/>
              <w:right w:type="dxa" w:w="100"/>
            </w:tcMar>
          </w:tcPr>
          <w:p>
            <w:pPr>
              <w:spacing w:after="0" w:line="260"/>
            </w:pPr>
            <w:r>
              <w:rPr>
                <w:b w:val="false"/>
                <w:bCs w:val="false"/>
                <w:sz w:val="19"/>
                <w:szCs w:val="19"/>
              </w:rPr>
              <w:t xml:space="preserve">Configuración</w:t>
            </w:r>
          </w:p>
        </w:tc>
        <w:tc>
          <w:tcPr>
            <w:tcW w:type="dxa" w:w="5360"/>
            <w:tcMar>
              <w:top w:type="dxa" w:w="60"/>
              <w:left w:type="dxa" w:w="100"/>
              <w:bottom w:type="dxa" w:w="60"/>
              <w:right w:type="dxa" w:w="100"/>
            </w:tcMar>
          </w:tcPr>
          <w:p>
            <w:pPr>
              <w:spacing w:after="0" w:line="260"/>
            </w:pPr>
            <w:r>
              <w:rPr>
                <w:b w:val="false"/>
                <w:bCs w:val="false"/>
                <w:sz w:val="19"/>
                <w:szCs w:val="19"/>
              </w:rPr>
              <w:t xml:space="preserve">Variables sensibles (DATABASE_URL, JWT_SECRET) fuera del código fuente.</w:t>
            </w:r>
          </w:p>
        </w:tc>
      </w:tr>
      <w:tr>
        <w:tc>
          <w:tcPr>
            <w:tcW w:type="dxa" w:w="2300"/>
            <w:tcMar>
              <w:top w:type="dxa" w:w="60"/>
              <w:left w:type="dxa" w:w="100"/>
              <w:bottom w:type="dxa" w:w="60"/>
              <w:right w:type="dxa" w:w="100"/>
            </w:tcMar>
          </w:tcPr>
          <w:p>
            <w:pPr>
              <w:spacing w:after="0" w:line="260"/>
            </w:pPr>
            <w:r>
              <w:rPr>
                <w:b w:val="false"/>
                <w:bCs w:val="false"/>
                <w:sz w:val="19"/>
                <w:szCs w:val="19"/>
              </w:rPr>
              <w:t xml:space="preserve">tsx 4</w:t>
            </w:r>
          </w:p>
        </w:tc>
        <w:tc>
          <w:tcPr>
            <w:tcW w:type="dxa" w:w="1700"/>
            <w:tcMar>
              <w:top w:type="dxa" w:w="60"/>
              <w:left w:type="dxa" w:w="100"/>
              <w:bottom w:type="dxa" w:w="60"/>
              <w:right w:type="dxa" w:w="100"/>
            </w:tcMar>
          </w:tcPr>
          <w:p>
            <w:pPr>
              <w:spacing w:after="0" w:line="260"/>
            </w:pPr>
            <w:r>
              <w:rPr>
                <w:b w:val="false"/>
                <w:bCs w:val="false"/>
                <w:sz w:val="19"/>
                <w:szCs w:val="19"/>
              </w:rPr>
              <w:t xml:space="preserve">Ejecución</w:t>
            </w:r>
          </w:p>
        </w:tc>
        <w:tc>
          <w:tcPr>
            <w:tcW w:type="dxa" w:w="5360"/>
            <w:tcMar>
              <w:top w:type="dxa" w:w="60"/>
              <w:left w:type="dxa" w:w="100"/>
              <w:bottom w:type="dxa" w:w="60"/>
              <w:right w:type="dxa" w:w="100"/>
            </w:tcMar>
          </w:tcPr>
          <w:p>
            <w:pPr>
              <w:spacing w:after="0" w:line="260"/>
            </w:pPr>
            <w:r>
              <w:rPr>
                <w:b w:val="false"/>
                <w:bCs w:val="false"/>
                <w:sz w:val="19"/>
                <w:szCs w:val="19"/>
              </w:rPr>
              <w:t xml:space="preserve">Corre TypeScript directamente sin paso de compilación previo, agilizando el desarrollo.</w:t>
            </w:r>
          </w:p>
        </w:tc>
      </w:tr>
      <w:tr>
        <w:tc>
          <w:tcPr>
            <w:tcW w:type="dxa" w:w="2300"/>
            <w:tcMar>
              <w:top w:type="dxa" w:w="60"/>
              <w:left w:type="dxa" w:w="100"/>
              <w:bottom w:type="dxa" w:w="60"/>
              <w:right w:type="dxa" w:w="100"/>
            </w:tcMar>
          </w:tcPr>
          <w:p>
            <w:pPr>
              <w:spacing w:after="0" w:line="260"/>
            </w:pPr>
            <w:r>
              <w:rPr>
                <w:b w:val="false"/>
                <w:bCs w:val="false"/>
                <w:sz w:val="19"/>
                <w:szCs w:val="19"/>
              </w:rPr>
              <w:t xml:space="preserve">Docker Compose</w:t>
            </w:r>
          </w:p>
        </w:tc>
        <w:tc>
          <w:tcPr>
            <w:tcW w:type="dxa" w:w="1700"/>
            <w:tcMar>
              <w:top w:type="dxa" w:w="60"/>
              <w:left w:type="dxa" w:w="100"/>
              <w:bottom w:type="dxa" w:w="60"/>
              <w:right w:type="dxa" w:w="100"/>
            </w:tcMar>
          </w:tcPr>
          <w:p>
            <w:pPr>
              <w:spacing w:after="0" w:line="260"/>
            </w:pPr>
            <w:r>
              <w:rPr>
                <w:b w:val="false"/>
                <w:bCs w:val="false"/>
                <w:sz w:val="19"/>
                <w:szCs w:val="19"/>
              </w:rPr>
              <w:t xml:space="preserve">Infraestructura local</w:t>
            </w:r>
          </w:p>
        </w:tc>
        <w:tc>
          <w:tcPr>
            <w:tcW w:type="dxa" w:w="5360"/>
            <w:tcMar>
              <w:top w:type="dxa" w:w="60"/>
              <w:left w:type="dxa" w:w="100"/>
              <w:bottom w:type="dxa" w:w="60"/>
              <w:right w:type="dxa" w:w="100"/>
            </w:tcMar>
          </w:tcPr>
          <w:p>
            <w:pPr>
              <w:spacing w:after="0" w:line="260"/>
            </w:pPr>
            <w:r>
              <w:rPr>
                <w:b w:val="false"/>
                <w:bCs w:val="false"/>
                <w:sz w:val="19"/>
                <w:szCs w:val="19"/>
              </w:rPr>
              <w:t xml:space="preserve">Levanta PostgreSQL con un comando, sin instalarlo nativamente en la máquina de desarrollo.</w:t>
            </w:r>
          </w:p>
        </w:tc>
      </w:tr>
    </w:tbl>
    <w:p>
      <w:pPr>
        <w:spacing w:after="160"/>
      </w:pPr>
    </w:p>
    <w:p>
      <w:pPr>
        <w:pStyle w:val="Heading1"/>
        <w:spacing w:after="200" w:before="360"/>
      </w:pPr>
      <w:r>
        <w:rPr>
          <w:b/>
          <w:bCs/>
          <w:color w:val="10312B"/>
        </w:rPr>
        <w:t xml:space="preserve">4. Tecnologías del frontend</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300"/>
        <w:gridCol w:w="1700"/>
        <w:gridCol w:w="5360"/>
      </w:tblGrid>
      <w:tr>
        <w:trPr>
          <w:tblHeader/>
        </w:trPr>
        <w:tc>
          <w:tcPr>
            <w:tcW w:type="dxa" w:w="2300"/>
            <w:shd w:fill="10312B" w:val="clear"/>
            <w:tcMar>
              <w:top w:type="dxa" w:w="60"/>
              <w:left w:type="dxa" w:w="100"/>
              <w:bottom w:type="dxa" w:w="60"/>
              <w:right w:type="dxa" w:w="100"/>
            </w:tcMar>
          </w:tcPr>
          <w:p>
            <w:pPr>
              <w:spacing w:after="0" w:line="260"/>
            </w:pPr>
            <w:r>
              <w:rPr>
                <w:b/>
                <w:bCs/>
                <w:color w:val="FFFFFF"/>
                <w:sz w:val="19"/>
                <w:szCs w:val="19"/>
              </w:rPr>
              <w:t xml:space="preserve">Tecnología</w:t>
            </w:r>
          </w:p>
        </w:tc>
        <w:tc>
          <w:tcPr>
            <w:tcW w:type="dxa" w:w="1700"/>
            <w:shd w:fill="10312B" w:val="clear"/>
            <w:tcMar>
              <w:top w:type="dxa" w:w="60"/>
              <w:left w:type="dxa" w:w="100"/>
              <w:bottom w:type="dxa" w:w="60"/>
              <w:right w:type="dxa" w:w="100"/>
            </w:tcMar>
          </w:tcPr>
          <w:p>
            <w:pPr>
              <w:spacing w:after="0" w:line="260"/>
            </w:pPr>
            <w:r>
              <w:rPr>
                <w:b/>
                <w:bCs/>
                <w:color w:val="FFFFFF"/>
                <w:sz w:val="19"/>
                <w:szCs w:val="19"/>
              </w:rPr>
              <w:t xml:space="preserve">Rol</w:t>
            </w:r>
          </w:p>
        </w:tc>
        <w:tc>
          <w:tcPr>
            <w:tcW w:type="dxa" w:w="5360"/>
            <w:shd w:fill="10312B" w:val="clear"/>
            <w:tcMar>
              <w:top w:type="dxa" w:w="60"/>
              <w:left w:type="dxa" w:w="100"/>
              <w:bottom w:type="dxa" w:w="60"/>
              <w:right w:type="dxa" w:w="100"/>
            </w:tcMar>
          </w:tcPr>
          <w:p>
            <w:pPr>
              <w:spacing w:after="0" w:line="260"/>
            </w:pPr>
            <w:r>
              <w:rPr>
                <w:b/>
                <w:bCs/>
                <w:color w:val="FFFFFF"/>
                <w:sz w:val="19"/>
                <w:szCs w:val="19"/>
              </w:rPr>
              <w:t xml:space="preserve">Por qué se eligió</w:t>
            </w:r>
          </w:p>
        </w:tc>
      </w:tr>
      <w:tr>
        <w:tc>
          <w:tcPr>
            <w:tcW w:type="dxa" w:w="2300"/>
            <w:tcMar>
              <w:top w:type="dxa" w:w="60"/>
              <w:left w:type="dxa" w:w="100"/>
              <w:bottom w:type="dxa" w:w="60"/>
              <w:right w:type="dxa" w:w="100"/>
            </w:tcMar>
          </w:tcPr>
          <w:p>
            <w:pPr>
              <w:spacing w:after="0" w:line="260"/>
            </w:pPr>
            <w:r>
              <w:rPr>
                <w:b w:val="false"/>
                <w:bCs w:val="false"/>
                <w:sz w:val="19"/>
                <w:szCs w:val="19"/>
              </w:rPr>
              <w:t xml:space="preserve">React 19 + Vite 8</w:t>
            </w:r>
          </w:p>
        </w:tc>
        <w:tc>
          <w:tcPr>
            <w:tcW w:type="dxa" w:w="1700"/>
            <w:tcMar>
              <w:top w:type="dxa" w:w="60"/>
              <w:left w:type="dxa" w:w="100"/>
              <w:bottom w:type="dxa" w:w="60"/>
              <w:right w:type="dxa" w:w="100"/>
            </w:tcMar>
          </w:tcPr>
          <w:p>
            <w:pPr>
              <w:spacing w:after="0" w:line="260"/>
            </w:pPr>
            <w:r>
              <w:rPr>
                <w:b w:val="false"/>
                <w:bCs w:val="false"/>
                <w:sz w:val="19"/>
                <w:szCs w:val="19"/>
              </w:rPr>
              <w:t xml:space="preserve">Framework / build</w:t>
            </w:r>
          </w:p>
        </w:tc>
        <w:tc>
          <w:tcPr>
            <w:tcW w:type="dxa" w:w="5360"/>
            <w:tcMar>
              <w:top w:type="dxa" w:w="60"/>
              <w:left w:type="dxa" w:w="100"/>
              <w:bottom w:type="dxa" w:w="60"/>
              <w:right w:type="dxa" w:w="100"/>
            </w:tcMar>
          </w:tcPr>
          <w:p>
            <w:pPr>
              <w:spacing w:after="0" w:line="260"/>
            </w:pPr>
            <w:r>
              <w:rPr>
                <w:b w:val="false"/>
                <w:bCs w:val="false"/>
                <w:sz w:val="19"/>
                <w:szCs w:val="19"/>
              </w:rPr>
              <w:t xml:space="preserve">SPA con arranque y recarga instantáneos en desarrollo; build de producción optimizado y estático (ideal para un servidor pequeño).</w:t>
            </w:r>
          </w:p>
        </w:tc>
      </w:tr>
      <w:tr>
        <w:tc>
          <w:tcPr>
            <w:tcW w:type="dxa" w:w="2300"/>
            <w:tcMar>
              <w:top w:type="dxa" w:w="60"/>
              <w:left w:type="dxa" w:w="100"/>
              <w:bottom w:type="dxa" w:w="60"/>
              <w:right w:type="dxa" w:w="100"/>
            </w:tcMar>
          </w:tcPr>
          <w:p>
            <w:pPr>
              <w:spacing w:after="0" w:line="260"/>
            </w:pPr>
            <w:r>
              <w:rPr>
                <w:b w:val="false"/>
                <w:bCs w:val="false"/>
                <w:sz w:val="19"/>
                <w:szCs w:val="19"/>
              </w:rPr>
              <w:t xml:space="preserve">TypeScript 6</w:t>
            </w:r>
          </w:p>
        </w:tc>
        <w:tc>
          <w:tcPr>
            <w:tcW w:type="dxa" w:w="1700"/>
            <w:tcMar>
              <w:top w:type="dxa" w:w="60"/>
              <w:left w:type="dxa" w:w="100"/>
              <w:bottom w:type="dxa" w:w="60"/>
              <w:right w:type="dxa" w:w="100"/>
            </w:tcMar>
          </w:tcPr>
          <w:p>
            <w:pPr>
              <w:spacing w:after="0" w:line="260"/>
            </w:pPr>
            <w:r>
              <w:rPr>
                <w:b w:val="false"/>
                <w:bCs w:val="false"/>
                <w:sz w:val="19"/>
                <w:szCs w:val="19"/>
              </w:rPr>
              <w:t xml:space="preserve">Lenguaje</w:t>
            </w:r>
          </w:p>
        </w:tc>
        <w:tc>
          <w:tcPr>
            <w:tcW w:type="dxa" w:w="5360"/>
            <w:tcMar>
              <w:top w:type="dxa" w:w="60"/>
              <w:left w:type="dxa" w:w="100"/>
              <w:bottom w:type="dxa" w:w="60"/>
              <w:right w:type="dxa" w:w="100"/>
            </w:tcMar>
          </w:tcPr>
          <w:p>
            <w:pPr>
              <w:spacing w:after="0" w:line="260"/>
            </w:pPr>
            <w:r>
              <w:rPr>
                <w:b w:val="false"/>
                <w:bCs w:val="false"/>
                <w:sz w:val="19"/>
                <w:szCs w:val="19"/>
              </w:rPr>
              <w:t xml:space="preserve">Los tipos del frontend espejan los modelos de Prisma; los errores se detectan al compilar, no en producción.</w:t>
            </w:r>
          </w:p>
        </w:tc>
      </w:tr>
      <w:tr>
        <w:tc>
          <w:tcPr>
            <w:tcW w:type="dxa" w:w="2300"/>
            <w:tcMar>
              <w:top w:type="dxa" w:w="60"/>
              <w:left w:type="dxa" w:w="100"/>
              <w:bottom w:type="dxa" w:w="60"/>
              <w:right w:type="dxa" w:w="100"/>
            </w:tcMar>
          </w:tcPr>
          <w:p>
            <w:pPr>
              <w:spacing w:after="0" w:line="260"/>
            </w:pPr>
            <w:r>
              <w:rPr>
                <w:b w:val="false"/>
                <w:bCs w:val="false"/>
                <w:sz w:val="19"/>
                <w:szCs w:val="19"/>
              </w:rPr>
              <w:t xml:space="preserve">React Router 7</w:t>
            </w:r>
          </w:p>
        </w:tc>
        <w:tc>
          <w:tcPr>
            <w:tcW w:type="dxa" w:w="1700"/>
            <w:tcMar>
              <w:top w:type="dxa" w:w="60"/>
              <w:left w:type="dxa" w:w="100"/>
              <w:bottom w:type="dxa" w:w="60"/>
              <w:right w:type="dxa" w:w="100"/>
            </w:tcMar>
          </w:tcPr>
          <w:p>
            <w:pPr>
              <w:spacing w:after="0" w:line="260"/>
            </w:pPr>
            <w:r>
              <w:rPr>
                <w:b w:val="false"/>
                <w:bCs w:val="false"/>
                <w:sz w:val="19"/>
                <w:szCs w:val="19"/>
              </w:rPr>
              <w:t xml:space="preserve">Enrutamiento</w:t>
            </w:r>
          </w:p>
        </w:tc>
        <w:tc>
          <w:tcPr>
            <w:tcW w:type="dxa" w:w="5360"/>
            <w:tcMar>
              <w:top w:type="dxa" w:w="60"/>
              <w:left w:type="dxa" w:w="100"/>
              <w:bottom w:type="dxa" w:w="60"/>
              <w:right w:type="dxa" w:w="100"/>
            </w:tcMar>
          </w:tcPr>
          <w:p>
            <w:pPr>
              <w:spacing w:after="0" w:line="260"/>
            </w:pPr>
            <w:r>
              <w:rPr>
                <w:b w:val="false"/>
                <w:bCs w:val="false"/>
                <w:sz w:val="19"/>
                <w:szCs w:val="19"/>
              </w:rPr>
              <w:t xml:space="preserve">Rutas anidadas por rol con guardas de acceso (ProtectedRoute) y redirección automática según el rol de la sesión.</w:t>
            </w:r>
          </w:p>
        </w:tc>
      </w:tr>
      <w:tr>
        <w:tc>
          <w:tcPr>
            <w:tcW w:type="dxa" w:w="2300"/>
            <w:tcMar>
              <w:top w:type="dxa" w:w="60"/>
              <w:left w:type="dxa" w:w="100"/>
              <w:bottom w:type="dxa" w:w="60"/>
              <w:right w:type="dxa" w:w="100"/>
            </w:tcMar>
          </w:tcPr>
          <w:p>
            <w:pPr>
              <w:spacing w:after="0" w:line="260"/>
            </w:pPr>
            <w:r>
              <w:rPr>
                <w:b w:val="false"/>
                <w:bCs w:val="false"/>
                <w:sz w:val="19"/>
                <w:szCs w:val="19"/>
              </w:rPr>
              <w:t xml:space="preserve">TanStack Query 5</w:t>
            </w:r>
          </w:p>
        </w:tc>
        <w:tc>
          <w:tcPr>
            <w:tcW w:type="dxa" w:w="1700"/>
            <w:tcMar>
              <w:top w:type="dxa" w:w="60"/>
              <w:left w:type="dxa" w:w="100"/>
              <w:bottom w:type="dxa" w:w="60"/>
              <w:right w:type="dxa" w:w="100"/>
            </w:tcMar>
          </w:tcPr>
          <w:p>
            <w:pPr>
              <w:spacing w:after="0" w:line="260"/>
            </w:pPr>
            <w:r>
              <w:rPr>
                <w:b w:val="false"/>
                <w:bCs w:val="false"/>
                <w:sz w:val="19"/>
                <w:szCs w:val="19"/>
              </w:rPr>
              <w:t xml:space="preserve">Estado de servidor</w:t>
            </w:r>
          </w:p>
        </w:tc>
        <w:tc>
          <w:tcPr>
            <w:tcW w:type="dxa" w:w="5360"/>
            <w:tcMar>
              <w:top w:type="dxa" w:w="60"/>
              <w:left w:type="dxa" w:w="100"/>
              <w:bottom w:type="dxa" w:w="60"/>
              <w:right w:type="dxa" w:w="100"/>
            </w:tcMar>
          </w:tcPr>
          <w:p>
            <w:pPr>
              <w:spacing w:after="0" w:line="260"/>
            </w:pPr>
            <w:r>
              <w:rPr>
                <w:b w:val="false"/>
                <w:bCs w:val="false"/>
                <w:sz w:val="19"/>
                <w:szCs w:val="19"/>
              </w:rPr>
              <w:t xml:space="preserve">Cache de datos, reintentos e invalidación tras cada mutación; su refetchInterval implementa la actualización de la cola del técnico cada 8 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Zustand 5</w:t>
            </w:r>
          </w:p>
        </w:tc>
        <w:tc>
          <w:tcPr>
            <w:tcW w:type="dxa" w:w="1700"/>
            <w:tcMar>
              <w:top w:type="dxa" w:w="60"/>
              <w:left w:type="dxa" w:w="100"/>
              <w:bottom w:type="dxa" w:w="60"/>
              <w:right w:type="dxa" w:w="100"/>
            </w:tcMar>
          </w:tcPr>
          <w:p>
            <w:pPr>
              <w:spacing w:after="0" w:line="260"/>
            </w:pPr>
            <w:r>
              <w:rPr>
                <w:b w:val="false"/>
                <w:bCs w:val="false"/>
                <w:sz w:val="19"/>
                <w:szCs w:val="19"/>
              </w:rPr>
              <w:t xml:space="preserve">Estado de sesión</w:t>
            </w:r>
          </w:p>
        </w:tc>
        <w:tc>
          <w:tcPr>
            <w:tcW w:type="dxa" w:w="5360"/>
            <w:tcMar>
              <w:top w:type="dxa" w:w="60"/>
              <w:left w:type="dxa" w:w="100"/>
              <w:bottom w:type="dxa" w:w="60"/>
              <w:right w:type="dxa" w:w="100"/>
            </w:tcMar>
          </w:tcPr>
          <w:p>
            <w:pPr>
              <w:spacing w:after="0" w:line="260"/>
            </w:pPr>
            <w:r>
              <w:rPr>
                <w:b w:val="false"/>
                <w:bCs w:val="false"/>
                <w:sz w:val="19"/>
                <w:szCs w:val="19"/>
              </w:rPr>
              <w:t xml:space="preserve">Almacena { usuario, token } persistido en localStorage con una API mínima; mucho más ligero que Redux para esta necesidad.</w:t>
            </w:r>
          </w:p>
        </w:tc>
      </w:tr>
      <w:tr>
        <w:tc>
          <w:tcPr>
            <w:tcW w:type="dxa" w:w="2300"/>
            <w:tcMar>
              <w:top w:type="dxa" w:w="60"/>
              <w:left w:type="dxa" w:w="100"/>
              <w:bottom w:type="dxa" w:w="60"/>
              <w:right w:type="dxa" w:w="100"/>
            </w:tcMar>
          </w:tcPr>
          <w:p>
            <w:pPr>
              <w:spacing w:after="0" w:line="260"/>
            </w:pPr>
            <w:r>
              <w:rPr>
                <w:b w:val="false"/>
                <w:bCs w:val="false"/>
                <w:sz w:val="19"/>
                <w:szCs w:val="19"/>
              </w:rPr>
              <w:t xml:space="preserve">Axios 1.18</w:t>
            </w:r>
          </w:p>
        </w:tc>
        <w:tc>
          <w:tcPr>
            <w:tcW w:type="dxa" w:w="1700"/>
            <w:tcMar>
              <w:top w:type="dxa" w:w="60"/>
              <w:left w:type="dxa" w:w="100"/>
              <w:bottom w:type="dxa" w:w="60"/>
              <w:right w:type="dxa" w:w="100"/>
            </w:tcMar>
          </w:tcPr>
          <w:p>
            <w:pPr>
              <w:spacing w:after="0" w:line="260"/>
            </w:pPr>
            <w:r>
              <w:rPr>
                <w:b w:val="false"/>
                <w:bCs w:val="false"/>
                <w:sz w:val="19"/>
                <w:szCs w:val="19"/>
              </w:rPr>
              <w:t xml:space="preserve">Cliente HTTP</w:t>
            </w:r>
          </w:p>
        </w:tc>
        <w:tc>
          <w:tcPr>
            <w:tcW w:type="dxa" w:w="5360"/>
            <w:tcMar>
              <w:top w:type="dxa" w:w="60"/>
              <w:left w:type="dxa" w:w="100"/>
              <w:bottom w:type="dxa" w:w="60"/>
              <w:right w:type="dxa" w:w="100"/>
            </w:tcMar>
          </w:tcPr>
          <w:p>
            <w:pPr>
              <w:spacing w:after="0" w:line="260"/>
            </w:pPr>
            <w:r>
              <w:rPr>
                <w:b w:val="false"/>
                <w:bCs w:val="false"/>
                <w:sz w:val="19"/>
                <w:szCs w:val="19"/>
              </w:rPr>
              <w:t xml:space="preserve">Interceptores centralizados: inyectan el token JWT en cada petición y ante un 401 cierran sesión y redirigen al login.</w:t>
            </w:r>
          </w:p>
        </w:tc>
      </w:tr>
      <w:tr>
        <w:tc>
          <w:tcPr>
            <w:tcW w:type="dxa" w:w="2300"/>
            <w:tcMar>
              <w:top w:type="dxa" w:w="60"/>
              <w:left w:type="dxa" w:w="100"/>
              <w:bottom w:type="dxa" w:w="60"/>
              <w:right w:type="dxa" w:w="100"/>
            </w:tcMar>
          </w:tcPr>
          <w:p>
            <w:pPr>
              <w:spacing w:after="0" w:line="260"/>
            </w:pPr>
            <w:r>
              <w:rPr>
                <w:b w:val="false"/>
                <w:bCs w:val="false"/>
                <w:sz w:val="19"/>
                <w:szCs w:val="19"/>
              </w:rPr>
              <w:t xml:space="preserve">Tailwind CSS 4 + shadcn/ui</w:t>
            </w:r>
          </w:p>
        </w:tc>
        <w:tc>
          <w:tcPr>
            <w:tcW w:type="dxa" w:w="1700"/>
            <w:tcMar>
              <w:top w:type="dxa" w:w="60"/>
              <w:left w:type="dxa" w:w="100"/>
              <w:bottom w:type="dxa" w:w="60"/>
              <w:right w:type="dxa" w:w="100"/>
            </w:tcMar>
          </w:tcPr>
          <w:p>
            <w:pPr>
              <w:spacing w:after="0" w:line="260"/>
            </w:pPr>
            <w:r>
              <w:rPr>
                <w:b w:val="false"/>
                <w:bCs w:val="false"/>
                <w:sz w:val="19"/>
                <w:szCs w:val="19"/>
              </w:rPr>
              <w:t xml:space="preserve">Estilos / componentes</w:t>
            </w:r>
          </w:p>
        </w:tc>
        <w:tc>
          <w:tcPr>
            <w:tcW w:type="dxa" w:w="5360"/>
            <w:tcMar>
              <w:top w:type="dxa" w:w="60"/>
              <w:left w:type="dxa" w:w="100"/>
              <w:bottom w:type="dxa" w:w="60"/>
              <w:right w:type="dxa" w:w="100"/>
            </w:tcMar>
          </w:tcPr>
          <w:p>
            <w:pPr>
              <w:spacing w:after="0" w:line="260"/>
            </w:pPr>
            <w:r>
              <w:rPr>
                <w:b w:val="false"/>
                <w:bCs w:val="false"/>
                <w:sz w:val="19"/>
                <w:szCs w:val="19"/>
              </w:rPr>
              <w:t xml:space="preserve">Componentes accesibles (Radix/Base UI) con tokens de color personalizables; permitió aplicar la paleta institucional en un solo archivo CSS.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React Hook Form 7 + Zod 4</w:t>
            </w:r>
          </w:p>
        </w:tc>
        <w:tc>
          <w:tcPr>
            <w:tcW w:type="dxa" w:w="1700"/>
            <w:tcMar>
              <w:top w:type="dxa" w:w="60"/>
              <w:left w:type="dxa" w:w="100"/>
              <w:bottom w:type="dxa" w:w="60"/>
              <w:right w:type="dxa" w:w="100"/>
            </w:tcMar>
          </w:tcPr>
          <w:p>
            <w:pPr>
              <w:spacing w:after="0" w:line="260"/>
            </w:pPr>
            <w:r>
              <w:rPr>
                <w:b w:val="false"/>
                <w:bCs w:val="false"/>
                <w:sz w:val="19"/>
                <w:szCs w:val="19"/>
              </w:rPr>
              <w:t xml:space="preserve">Formularios</w:t>
            </w:r>
          </w:p>
        </w:tc>
        <w:tc>
          <w:tcPr>
            <w:tcW w:type="dxa" w:w="5360"/>
            <w:tcMar>
              <w:top w:type="dxa" w:w="60"/>
              <w:left w:type="dxa" w:w="100"/>
              <w:bottom w:type="dxa" w:w="60"/>
              <w:right w:type="dxa" w:w="100"/>
            </w:tcMar>
          </w:tcPr>
          <w:p>
            <w:pPr>
              <w:spacing w:after="0" w:line="260"/>
            </w:pPr>
            <w:r>
              <w:rPr>
                <w:b w:val="false"/>
                <w:bCs w:val="false"/>
                <w:sz w:val="19"/>
                <w:szCs w:val="19"/>
              </w:rPr>
              <w:t xml:space="preserve">Validación declarativa en el cliente que refleja las reglas del backend (campos obligatorios, longitudes mínimas) con mensajes en español.</w:t>
            </w:r>
          </w:p>
        </w:tc>
      </w:tr>
      <w:tr>
        <w:tc>
          <w:tcPr>
            <w:tcW w:type="dxa" w:w="2300"/>
            <w:tcMar>
              <w:top w:type="dxa" w:w="60"/>
              <w:left w:type="dxa" w:w="100"/>
              <w:bottom w:type="dxa" w:w="60"/>
              <w:right w:type="dxa" w:w="100"/>
            </w:tcMar>
          </w:tcPr>
          <w:p>
            <w:pPr>
              <w:spacing w:after="0" w:line="260"/>
            </w:pPr>
            <w:r>
              <w:rPr>
                <w:b w:val="false"/>
                <w:bCs w:val="false"/>
                <w:sz w:val="19"/>
                <w:szCs w:val="19"/>
              </w:rPr>
              <w:t xml:space="preserve">Public Sans (Fontsource)</w:t>
            </w:r>
          </w:p>
        </w:tc>
        <w:tc>
          <w:tcPr>
            <w:tcW w:type="dxa" w:w="1700"/>
            <w:tcMar>
              <w:top w:type="dxa" w:w="60"/>
              <w:left w:type="dxa" w:w="100"/>
              <w:bottom w:type="dxa" w:w="60"/>
              <w:right w:type="dxa" w:w="100"/>
            </w:tcMar>
          </w:tcPr>
          <w:p>
            <w:pPr>
              <w:spacing w:after="0" w:line="260"/>
            </w:pPr>
            <w:r>
              <w:rPr>
                <w:b w:val="false"/>
                <w:bCs w:val="false"/>
                <w:sz w:val="19"/>
                <w:szCs w:val="19"/>
              </w:rPr>
              <w:t xml:space="preserve">Tipografía</w:t>
            </w:r>
          </w:p>
        </w:tc>
        <w:tc>
          <w:tcPr>
            <w:tcW w:type="dxa" w:w="5360"/>
            <w:tcMar>
              <w:top w:type="dxa" w:w="60"/>
              <w:left w:type="dxa" w:w="100"/>
              <w:bottom w:type="dxa" w:w="60"/>
              <w:right w:type="dxa" w:w="100"/>
            </w:tcMar>
          </w:tcPr>
          <w:p>
            <w:pPr>
              <w:spacing w:after="0" w:line="260"/>
            </w:pPr>
            <w:r>
              <w:rPr>
                <w:b w:val="false"/>
                <w:bCs w:val="false"/>
                <w:sz w:val="19"/>
                <w:szCs w:val="19"/>
              </w:rPr>
              <w:t xml:space="preserve">Fuente diseñada específicamente para plataformas de gobierno; formal, legible y de código abierto, servida localmente (sin llamadas a Google Fonts).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next-themes 0.4</w:t>
            </w:r>
          </w:p>
        </w:tc>
        <w:tc>
          <w:tcPr>
            <w:tcW w:type="dxa" w:w="1700"/>
            <w:tcMar>
              <w:top w:type="dxa" w:w="60"/>
              <w:left w:type="dxa" w:w="100"/>
              <w:bottom w:type="dxa" w:w="60"/>
              <w:right w:type="dxa" w:w="100"/>
            </w:tcMar>
          </w:tcPr>
          <w:p>
            <w:pPr>
              <w:spacing w:after="0" w:line="260"/>
            </w:pPr>
            <w:r>
              <w:rPr>
                <w:b w:val="false"/>
                <w:bCs w:val="false"/>
                <w:sz w:val="19"/>
                <w:szCs w:val="19"/>
              </w:rPr>
              <w:t xml:space="preserve">Tema claro/oscuro</w:t>
            </w:r>
          </w:p>
        </w:tc>
        <w:tc>
          <w:tcPr>
            <w:tcW w:type="dxa" w:w="5360"/>
            <w:tcMar>
              <w:top w:type="dxa" w:w="60"/>
              <w:left w:type="dxa" w:w="100"/>
              <w:bottom w:type="dxa" w:w="60"/>
              <w:right w:type="dxa" w:w="100"/>
            </w:tcMar>
          </w:tcPr>
          <w:p>
            <w:pPr>
              <w:spacing w:after="0" w:line="260"/>
            </w:pPr>
            <w:r>
              <w:rPr>
                <w:b w:val="false"/>
                <w:bCs w:val="false"/>
                <w:sz w:val="19"/>
                <w:szCs w:val="19"/>
              </w:rPr>
              <w:t xml:space="preserve">Gestiona la preferencia de tema por dispositivo (claro, oscuro o el del sistema) y la persiste en el navegador; activa la paleta oscura institucional ya definida en CSS.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jsPDF 3</w:t>
            </w:r>
          </w:p>
        </w:tc>
        <w:tc>
          <w:tcPr>
            <w:tcW w:type="dxa" w:w="1700"/>
            <w:tcMar>
              <w:top w:type="dxa" w:w="60"/>
              <w:left w:type="dxa" w:w="100"/>
              <w:bottom w:type="dxa" w:w="60"/>
              <w:right w:type="dxa" w:w="100"/>
            </w:tcMar>
          </w:tcPr>
          <w:p>
            <w:pPr>
              <w:spacing w:after="0" w:line="260"/>
            </w:pPr>
            <w:r>
              <w:rPr>
                <w:b w:val="false"/>
                <w:bCs w:val="false"/>
                <w:sz w:val="19"/>
                <w:szCs w:val="19"/>
              </w:rPr>
              <w:t xml:space="preserve">Generación de PDF</w:t>
            </w:r>
          </w:p>
        </w:tc>
        <w:tc>
          <w:tcPr>
            <w:tcW w:type="dxa" w:w="5360"/>
            <w:tcMar>
              <w:top w:type="dxa" w:w="60"/>
              <w:left w:type="dxa" w:w="100"/>
              <w:bottom w:type="dxa" w:w="60"/>
              <w:right w:type="dxa" w:w="100"/>
            </w:tcMar>
          </w:tcPr>
          <w:p>
            <w:pPr>
              <w:spacing w:after="0" w:line="260"/>
            </w:pPr>
            <w:r>
              <w:rPr>
                <w:b w:val="false"/>
                <w:bCs w:val="false"/>
                <w:sz w:val="19"/>
                <w:szCs w:val="19"/>
              </w:rPr>
              <w:t xml:space="preserve">Construye el Dictamen Técnico en PDF directamente en el navegador, con el membrete oficial de fondo; sin carga para el servidor ni dependencias externas.</w:t>
            </w:r>
          </w:p>
        </w:tc>
      </w:tr>
      <w:tr>
        <w:tc>
          <w:tcPr>
            <w:tcW w:type="dxa" w:w="2300"/>
            <w:tcMar>
              <w:top w:type="dxa" w:w="60"/>
              <w:left w:type="dxa" w:w="100"/>
              <w:bottom w:type="dxa" w:w="60"/>
              <w:right w:type="dxa" w:w="100"/>
            </w:tcMar>
          </w:tcPr>
          <w:p>
            <w:pPr>
              <w:spacing w:after="0" w:line="260"/>
            </w:pPr>
            <w:r>
              <w:rPr>
                <w:b w:val="false"/>
                <w:bCs w:val="false"/>
                <w:sz w:val="19"/>
                <w:szCs w:val="19"/>
              </w:rPr>
              <w:t xml:space="preserve">sonner y lucide-react</w:t>
            </w:r>
          </w:p>
        </w:tc>
        <w:tc>
          <w:tcPr>
            <w:tcW w:type="dxa" w:w="1700"/>
            <w:tcMar>
              <w:top w:type="dxa" w:w="60"/>
              <w:left w:type="dxa" w:w="100"/>
              <w:bottom w:type="dxa" w:w="60"/>
              <w:right w:type="dxa" w:w="100"/>
            </w:tcMar>
          </w:tcPr>
          <w:p>
            <w:pPr>
              <w:spacing w:after="0" w:line="260"/>
            </w:pPr>
            <w:r>
              <w:rPr>
                <w:b w:val="false"/>
                <w:bCs w:val="false"/>
                <w:sz w:val="19"/>
                <w:szCs w:val="19"/>
              </w:rPr>
              <w:t xml:space="preserve">Notificaciones / iconos</w:t>
            </w:r>
          </w:p>
        </w:tc>
        <w:tc>
          <w:tcPr>
            <w:tcW w:type="dxa" w:w="5360"/>
            <w:tcMar>
              <w:top w:type="dxa" w:w="60"/>
              <w:left w:type="dxa" w:w="100"/>
              <w:bottom w:type="dxa" w:w="60"/>
              <w:right w:type="dxa" w:w="100"/>
            </w:tcMar>
          </w:tcPr>
          <w:p>
            <w:pPr>
              <w:spacing w:after="0" w:line="260"/>
            </w:pPr>
            <w:r>
              <w:rPr>
                <w:b w:val="false"/>
                <w:bCs w:val="false"/>
                <w:sz w:val="19"/>
                <w:szCs w:val="19"/>
              </w:rPr>
              <w:t xml:space="preserve">Avisos de éxito/error no intrusivos e iconografía consistente y ligera.</w:t>
            </w:r>
          </w:p>
        </w:tc>
      </w:tr>
    </w:tbl>
    <w:p>
      <w:pPr>
        <w:spacing w:after="160"/>
      </w:pPr>
    </w:p>
    <w:p>
      <w:pPr>
        <w:pStyle w:val="Heading1"/>
        <w:spacing w:after="200" w:before="360"/>
      </w:pPr>
      <w:r>
        <w:rPr>
          <w:b/>
          <w:bCs/>
          <w:color w:val="10312B"/>
        </w:rPr>
        <w:t xml:space="preserve">5. Decisiones de diseño y su justificación</w:t>
      </w:r>
    </w:p>
    <w:p>
      <w:pPr>
        <w:pStyle w:val="Heading2"/>
        <w:spacing w:after="160" w:before="280"/>
      </w:pPr>
      <w:r>
        <w:rPr>
          <w:b/>
          <w:bCs/>
          <w:color w:val="006657"/>
        </w:rPr>
        <w:t xml:space="preserve">5.1 Actualización por sondeo (polling) en lugar de WebSockets</w:t>
      </w:r>
    </w:p>
    <w:p>
      <w:pPr>
        <w:spacing w:after="160" w:line="300"/>
        <w:jc w:val="both"/>
      </w:pPr>
      <w:r>
        <w:rPr>
          <w:sz w:val="22"/>
          <w:szCs w:val="22"/>
        </w:rPr>
        <w:t xml:space="preserve">La cola del técnico se refresca cada 8 segundos mediante TanStack Query en vez de usar WebSockets/Socket.io. Razones: (1) el backend es REST puro y no se quiso modificar su arquitectura; (2) para el volumen de tickets de una dependencia estatal el sondeo es más que suficiente; (3) consume menos memoria en el servidor —relevante con 1 GB de RAM— al no mantener conexiones abiertas por cliente. Si en el futuro se necesitara push real, basta reemplazar un hook sin tocar la interfaz.</w:t>
      </w:r>
    </w:p>
    <w:p>
      <w:pPr>
        <w:pStyle w:val="Heading2"/>
        <w:spacing w:after="160" w:before="280"/>
      </w:pPr>
      <w:r>
        <w:rPr>
          <w:b/>
          <w:bCs/>
          <w:color w:val="006657"/>
        </w:rPr>
        <w:t xml:space="preserve">5.2 Filtrado y paginación en el cliente</w:t>
      </w:r>
    </w:p>
    <w:p>
      <w:pPr>
        <w:spacing w:after="160" w:line="300"/>
        <w:jc w:val="both"/>
      </w:pPr>
      <w:r>
        <w:rPr>
          <w:sz w:val="22"/>
          <w:szCs w:val="22"/>
        </w:rPr>
        <w:t xml:space="preserve">La API no acepta parámetros de filtrado, por lo que las listas se filtran, ordenan y paginan en el navegador (20 tickets por página). Con el volumen esperado esto es instantáneo y evita desarrollar y mantener query params en el backend. La paginación limita cuántas filas se montan en el DOM a la vez, cuidando la memoria del navegador. Si el histórico creciera a decenas de miles de tickets, el siguiente paso natural sería paginación en el servidor.</w:t>
      </w:r>
    </w:p>
    <w:p>
      <w:pPr>
        <w:pStyle w:val="Heading2"/>
        <w:spacing w:after="160" w:before="280"/>
      </w:pPr>
      <w:r>
        <w:rPr>
          <w:b/>
          <w:bCs/>
          <w:color w:val="006657"/>
        </w:rPr>
        <w:t xml:space="preserve">5.3 Reporte de cierre obligatorio con doble validación</w:t>
      </w:r>
    </w:p>
    <w:p>
      <w:pPr>
        <w:spacing w:after="160" w:line="300"/>
        <w:jc w:val="both"/>
      </w:pPr>
      <w:r>
        <w:rPr>
          <w:sz w:val="22"/>
          <w:szCs w:val="22"/>
        </w:rPr>
        <w:t xml:space="preserve">Cerrar un ticket exige un reporte de solución. La regla se valida dos veces: en el formulario (feedback inmediato) y en el controlador del backend, que rechaza con error 400 cualquier intento de cerrar sin nota, incluso llamando a la API directamente. Este patrón de defensa en profundidad garantiza que siempre quede constancia de qué se hizo, visible para los tres roles.</w:t>
      </w:r>
    </w:p>
    <w:p>
      <w:pPr>
        <w:pStyle w:val="Heading2"/>
        <w:spacing w:after="160" w:before="280"/>
      </w:pPr>
      <w:r>
        <w:rPr>
          <w:b/>
          <w:bCs/>
          <w:color w:val="006657"/>
        </w:rPr>
        <w:t xml:space="preserve">5.4 Fechas de cierre gestionadas por el servidor</w:t>
      </w:r>
    </w:p>
    <w:p>
      <w:pPr>
        <w:spacing w:after="160" w:line="300"/>
        <w:jc w:val="both"/>
      </w:pPr>
      <w:r>
        <w:rPr>
          <w:sz w:val="22"/>
          <w:szCs w:val="22"/>
        </w:rPr>
        <w:t xml:space="preserve">fechaCierre se registra automáticamente al pasar un ticket a CERRADO y se limpia si se reabre. El cliente nunca la envía: así la métrica de duración de atención es confiable y no manipulable desde el navegador.</w:t>
      </w:r>
    </w:p>
    <w:p>
      <w:pPr>
        <w:pStyle w:val="Heading2"/>
        <w:spacing w:after="160" w:before="280"/>
      </w:pPr>
      <w:r>
        <w:rPr>
          <w:b/>
          <w:bCs/>
          <w:color w:val="006657"/>
        </w:rPr>
        <w:t xml:space="preserve">5.5 Normalización de roles en el cliente</w:t>
      </w:r>
    </w:p>
    <w:p>
      <w:pPr>
        <w:spacing w:after="160" w:line="300"/>
        <w:jc w:val="both"/>
      </w:pPr>
      <w:r>
        <w:rPr>
          <w:sz w:val="22"/>
          <w:szCs w:val="22"/>
        </w:rPr>
        <w:t xml:space="preserve">El campo rol es texto libre en la base de datos y existían registros con capitalización inconsistente (“Tecnico” vs “TECNICO”). El frontend normaliza a mayúsculas antes de comparar, de modo que datos históricos y nuevos convivan sin errores de acceso.</w:t>
      </w:r>
    </w:p>
    <w:p>
      <w:pPr>
        <w:pStyle w:val="Heading2"/>
        <w:spacing w:after="160" w:before="280"/>
      </w:pPr>
      <w:r>
        <w:rPr>
          <w:b/>
          <w:bCs/>
          <w:color w:val="006657"/>
        </w:rPr>
        <w:t xml:space="preserve">5.6 Identidad institucional</w:t>
      </w:r>
    </w:p>
    <w:p>
      <w:pPr>
        <w:spacing w:after="160" w:line="300"/>
        <w:jc w:val="both"/>
      </w:pPr>
      <w:r>
        <w:rPr>
          <w:sz w:val="22"/>
          <w:szCs w:val="22"/>
        </w:rPr>
        <w:t xml:space="preserve">Los colores oficiales (Verde Bienestar #10312B, Verde Medio #006657, Dorado #BC955C, Beige #DDC9A3, Guinda #9F2241) se definieron como variables CSS que alimentan todos los componentes, incluido un modo oscuro derivado. Los estados de ticket usan tonos de esa misma paleta. El logotipo oficial se muestra sobre placa blanca en la barra lateral para respetar sus colores, y en la pantalla de acceso.</w:t>
      </w:r>
    </w:p>
    <w:p>
      <w:pPr>
        <w:pStyle w:val="Heading2"/>
        <w:spacing w:after="160" w:before="280"/>
      </w:pPr>
      <w:r>
        <w:rPr>
          <w:b/>
          <w:bCs/>
          <w:color w:val="006657"/>
        </w:rPr>
        <w:t xml:space="preserve">5.7 Configuración personal: modo oscuro y correo secundario</w:t>
      </w:r>
    </w:p>
    <w:p>
      <w:pPr>
        <w:spacing w:after="160" w:line="300"/>
        <w:jc w:val="both"/>
      </w:pPr>
      <w:r>
        <w:rPr>
          <w:sz w:val="22"/>
          <w:szCs w:val="22"/>
        </w:rPr>
        <w:t xml:space="preserve">Cada portal incluye una pestaña de Configuración con tres bloques. (1) Apariencia: tema claro, oscuro o el del sistema; la paleta oscura deriva de los mismos colores institucionales y la preferencia se guarda por dispositivo en el navegador, no en la base de datos, pues es un ajuste de presentación y no un dato de la persona. (2) Mi información: los datos del perfil se muestran en solo lectura — su edición queda reservada al administrador para mantener un padrón controlado. (3) Correo secundario: el único dato que cada quien edita; se valida el formato tanto en el formulario como en el servidor, y puede eliminarse dejándolo vacío. El encabezado de los portales también se personalizó: saluda por nombre según la hora del día en lugar de mostrar un título genérico.</w:t>
      </w:r>
    </w:p>
    <w:p>
      <w:pPr>
        <w:pStyle w:val="Heading2"/>
        <w:spacing w:after="160" w:before="280"/>
      </w:pPr>
      <w:r>
        <w:rPr>
          <w:b/>
          <w:bCs/>
          <w:color w:val="006657"/>
        </w:rPr>
        <w:t xml:space="preserve">5.8 Dictamen Técnico en PDF</w:t>
      </w:r>
    </w:p>
    <w:p>
      <w:pPr>
        <w:spacing w:after="160" w:line="300"/>
        <w:jc w:val="both"/>
      </w:pPr>
      <w:r>
        <w:rPr>
          <w:sz w:val="22"/>
          <w:szCs w:val="22"/>
        </w:rPr>
        <w:t xml:space="preserve">Cuando una falla de hardware requiere reemplazar una pieza o equipo, la Secretaría exige un “Dictamen Técnico” en formato oficial. Al cerrar un ticket, el técnico dispone de un botón opcional que abre un formulario con todos los campos del dictamen ya prellenados con lo que el sistema conoce (nombre, teléfono y departamento del usuario; modelo, número de serie e inventario del equipo; descripción del problema; y el reporte de cierre como observaciones), y descarga el documento en PDF con el membrete oficial de fondo.</w:t>
      </w:r>
    </w:p>
    <w:p>
      <w:pPr>
        <w:spacing w:after="160" w:line="300"/>
        <w:jc w:val="both"/>
      </w:pPr>
      <w:r>
        <w:rPr>
          <w:sz w:val="22"/>
          <w:szCs w:val="22"/>
        </w:rPr>
        <w:t xml:space="preserve">Se resolvió con la librería jsPDF y generación 100 % en el navegador, sin cambios de backend ni base de datos: el dictamen es un documento que se descarga, no un registro del sistema. Se reutilizó el membrete original extraído del formato Word proporcionado por la Secretaría, para máxima fidelidad. Un detalle relevante: sin compresión el PDF pesaba ~33 MB porque jsPDF incrusta la imagen como mapa de bits sin comprimir; activando la compresión Flate integrada, el archivo final pesa ~260 KB.</w:t>
      </w:r>
    </w:p>
    <w:p>
      <w:pPr>
        <w:pStyle w:val="Heading2"/>
        <w:spacing w:after="160" w:before="280"/>
      </w:pPr>
      <w:r>
        <w:rPr>
          <w:b/>
          <w:bCs/>
          <w:color w:val="006657"/>
        </w:rPr>
        <w:t xml:space="preserve">5.9 Seguridad y control de acceso</w:t>
      </w:r>
    </w:p>
    <w:p>
      <w:pPr>
        <w:spacing w:after="160" w:line="300"/>
        <w:jc w:val="both"/>
      </w:pPr>
      <w:r>
        <w:rPr>
          <w:sz w:val="22"/>
          <w:szCs w:val="22"/>
        </w:rPr>
        <w:t xml:space="preserve">Antes de la puesta en producción se endureció la seguridad del backend. Durante el desarrollo algunas rutas se dejaron abiertas para agilizar las pruebas; para el despliegue definitivo se cerraron con las siguientes medidas:</w:t>
      </w:r>
    </w:p>
    <w:p>
      <w:pPr>
        <w:pStyle w:val="ListParagraph"/>
        <w:numPr>
          <w:ilvl w:val="0"/>
          <w:numId w:val="2"/>
        </w:numPr>
        <w:spacing w:after="100" w:line="300"/>
      </w:pPr>
      <w:r>
        <w:rPr>
          <w:b/>
          <w:bCs/>
          <w:sz w:val="22"/>
          <w:szCs w:val="22"/>
        </w:rPr>
        <w:t xml:space="preserve">Autenticación obligatoria: </w:t>
      </w:r>
      <w:r>
        <w:rPr>
          <w:sz w:val="22"/>
          <w:szCs w:val="22"/>
        </w:rPr>
        <w:t xml:space="preserve">todas las rutas, excepto el inicio de sesión, exigen un token JWT válido. El middleware de autenticación se aplica antes de cualquier ruta de recursos, incluidas las de gestión de usuarios.</w:t>
      </w:r>
    </w:p>
    <w:p>
      <w:pPr>
        <w:pStyle w:val="ListParagraph"/>
        <w:numPr>
          <w:ilvl w:val="0"/>
          <w:numId w:val="2"/>
        </w:numPr>
        <w:spacing w:after="100" w:line="300"/>
      </w:pPr>
      <w:r>
        <w:rPr>
          <w:b/>
          <w:bCs/>
          <w:sz w:val="22"/>
          <w:szCs w:val="22"/>
        </w:rPr>
        <w:t xml:space="preserve">Autorización por rol: </w:t>
      </w:r>
      <w:r>
        <w:rPr>
          <w:sz w:val="22"/>
          <w:szCs w:val="22"/>
        </w:rPr>
        <w:t xml:space="preserve">un middleware requireAdmin restringe la gestión (crear, editar y eliminar usuarios, departamentos, máquinas y catálogo de servicios) exclusivamente a administradores. Las lecturas de catálogos permanecen disponibles para cualquier usuario autenticado, pues las necesitan los formularios de ticket. El rol se normaliza para tolerar diferencias de mayúsculas.</w:t>
      </w:r>
    </w:p>
    <w:p>
      <w:pPr>
        <w:pStyle w:val="ListParagraph"/>
        <w:numPr>
          <w:ilvl w:val="0"/>
          <w:numId w:val="2"/>
        </w:numPr>
        <w:spacing w:after="100" w:line="300"/>
      </w:pPr>
      <w:r>
        <w:rPr>
          <w:b/>
          <w:bCs/>
          <w:sz w:val="22"/>
          <w:szCs w:val="22"/>
        </w:rPr>
        <w:t xml:space="preserve">Regla self-or-admin en usuarios: </w:t>
      </w:r>
      <w:r>
        <w:rPr>
          <w:sz w:val="22"/>
          <w:szCs w:val="22"/>
        </w:rPr>
        <w:t xml:space="preserve">un usuario no administrador solo puede consultar y editar su propio perfil, y únicamente su correo secundario. Esto impide, por ejemplo, que alguien eleve su propio rol a administrador (el servidor responde 403 ante ese intento).</w:t>
      </w:r>
    </w:p>
    <w:p>
      <w:pPr>
        <w:pStyle w:val="ListParagraph"/>
        <w:numPr>
          <w:ilvl w:val="0"/>
          <w:numId w:val="2"/>
        </w:numPr>
        <w:spacing w:after="100" w:line="300"/>
      </w:pPr>
      <w:r>
        <w:rPr>
          <w:b/>
          <w:bCs/>
          <w:sz w:val="22"/>
          <w:szCs w:val="22"/>
        </w:rPr>
        <w:t xml:space="preserve">Contraseñas nunca expuestas: </w:t>
      </w:r>
      <w:r>
        <w:rPr>
          <w:sz w:val="22"/>
          <w:szCs w:val="22"/>
        </w:rPr>
        <w:t xml:space="preserve">el hash de la contraseña se elimina de todas las respuestas de la API a nivel de servidor, no solo en el cliente.</w:t>
      </w:r>
    </w:p>
    <w:p>
      <w:pPr>
        <w:pStyle w:val="ListParagraph"/>
        <w:numPr>
          <w:ilvl w:val="0"/>
          <w:numId w:val="2"/>
        </w:numPr>
        <w:spacing w:after="100" w:line="300"/>
      </w:pPr>
      <w:r>
        <w:rPr>
          <w:b/>
          <w:bCs/>
          <w:sz w:val="22"/>
          <w:szCs w:val="22"/>
        </w:rPr>
        <w:t xml:space="preserve">CORS restringible: </w:t>
      </w:r>
      <w:r>
        <w:rPr>
          <w:sz w:val="22"/>
          <w:szCs w:val="22"/>
        </w:rPr>
        <w:t xml:space="preserve">mediante la variable de entorno CORS_ORIGIN se limita el acceso a la API al dominio del frontend en producción.</w:t>
      </w:r>
    </w:p>
    <w:p>
      <w:pPr>
        <w:spacing w:after="160" w:line="300"/>
        <w:jc w:val="both"/>
      </w:pPr>
      <w:r>
        <w:rPr>
          <w:sz w:val="22"/>
          <w:szCs w:val="22"/>
        </w:rPr>
        <w:t xml:space="preserve">Estas comprobaciones se validaron end-to-end: solicitudes sin token reciben 401; un usuario común recibe 403 al intentar gestionar recursos o editar a otros; y el administrador conserva el acceso completo.</w:t>
      </w:r>
    </w:p>
    <w:p>
      <w:pPr>
        <w:pStyle w:val="Heading1"/>
        <w:spacing w:after="200" w:before="360"/>
      </w:pPr>
      <w:r>
        <w:rPr>
          <w:b/>
          <w:bCs/>
          <w:color w:val="10312B"/>
        </w:rPr>
        <w:t xml:space="preserve">6. Despliegue en producción (DigitalOcean)</w:t>
      </w:r>
    </w:p>
    <w:p>
      <w:pPr>
        <w:spacing w:after="160" w:line="300"/>
        <w:jc w:val="both"/>
      </w:pPr>
      <w:r>
        <w:rPr>
          <w:sz w:val="22"/>
          <w:szCs w:val="22"/>
        </w:rPr>
        <w:t xml:space="preserve">El sistema está </w:t>
      </w:r>
      <w:r>
        <w:rPr>
          <w:b/>
          <w:bCs/>
          <w:sz w:val="22"/>
          <w:szCs w:val="22"/>
        </w:rPr>
        <w:t xml:space="preserve">desplegado y en uso</w:t>
      </w:r>
      <w:r>
        <w:rPr>
          <w:sz w:val="22"/>
          <w:szCs w:val="22"/>
        </w:rPr>
        <w:t xml:space="preserve"> en un droplet de DigitalOcean con las especificaciones: </w:t>
      </w:r>
      <w:r>
        <w:rPr>
          <w:b/>
          <w:bCs/>
          <w:sz w:val="22"/>
          <w:szCs w:val="22"/>
        </w:rPr>
        <w:t xml:space="preserve">1 vCPU, 1 GB de RAM, 25 GB de disco, Ubuntu 24.04 (LTS) x64</w:t>
      </w:r>
      <w:r>
        <w:rPr>
          <w:sz w:val="22"/>
          <w:szCs w:val="22"/>
        </w:rPr>
        <w:t xml:space="preserve">. Se accede públicamente en </w:t>
      </w:r>
      <w:r>
        <w:rPr>
          <w:b/>
          <w:bCs/>
          <w:sz w:val="22"/>
          <w:szCs w:val="22"/>
        </w:rPr>
        <w:t xml:space="preserve">http://142.93.54.0</w:t>
      </w:r>
      <w:r>
        <w:rPr>
          <w:sz w:val="22"/>
          <w:szCs w:val="22"/>
        </w:rPr>
        <w:t xml:space="preserve">. Las decisiones tecnológicas del proyecto encajan bien con un servidor de este tamaño: el frontend compila a archivos estáticos (no consume RAM propia), la API es un único proceso Node.js sin estado de sesión, y el sondeo cada 8 s genera una carga mínima.</w:t>
      </w:r>
    </w:p>
    <w:p>
      <w:pPr>
        <w:pStyle w:val="Heading2"/>
        <w:spacing w:after="160" w:before="280"/>
      </w:pPr>
      <w:r>
        <w:rPr>
          <w:b/>
          <w:bCs/>
          <w:color w:val="006657"/>
        </w:rPr>
        <w:t xml:space="preserve">6.1 Infraestructura del servidor</w:t>
      </w:r>
    </w:p>
    <w:p>
      <w:pPr>
        <w:pStyle w:val="ListParagraph"/>
        <w:numPr>
          <w:ilvl w:val="0"/>
          <w:numId w:val="2"/>
        </w:numPr>
        <w:spacing w:after="100" w:line="300"/>
      </w:pPr>
      <w:r>
        <w:rPr>
          <w:b/>
          <w:bCs/>
          <w:sz w:val="22"/>
          <w:szCs w:val="22"/>
        </w:rPr>
        <w:t xml:space="preserve">Acceso por SSH con PuTTY: </w:t>
      </w:r>
      <w:r>
        <w:rPr>
          <w:sz w:val="22"/>
          <w:szCs w:val="22"/>
        </w:rPr>
        <w:t xml:space="preserve">la administración del servidor se realiza mediante conexión SSH desde PuTTY hacia el droplet.</w:t>
      </w:r>
    </w:p>
    <w:p>
      <w:pPr>
        <w:pStyle w:val="ListParagraph"/>
        <w:numPr>
          <w:ilvl w:val="0"/>
          <w:numId w:val="2"/>
        </w:numPr>
        <w:spacing w:after="100" w:line="300"/>
      </w:pPr>
      <w:r>
        <w:rPr>
          <w:b/>
          <w:bCs/>
          <w:sz w:val="22"/>
          <w:szCs w:val="22"/>
        </w:rPr>
        <w:t xml:space="preserve">Base de datos: </w:t>
      </w:r>
      <w:r>
        <w:rPr>
          <w:sz w:val="22"/>
          <w:szCs w:val="22"/>
        </w:rPr>
        <w:t xml:space="preserve">PostgreSQL corre en un contenedor dentro del servidor. La base de datos de desarrollo local se exportó e importó al contenedor del servidor, de modo que producción arrancó con los datos ya cargados.</w:t>
      </w:r>
    </w:p>
    <w:p>
      <w:pPr>
        <w:pStyle w:val="ListParagraph"/>
        <w:numPr>
          <w:ilvl w:val="0"/>
          <w:numId w:val="2"/>
        </w:numPr>
        <w:spacing w:after="100" w:line="300"/>
      </w:pPr>
      <w:r>
        <w:rPr>
          <w:b/>
          <w:bCs/>
          <w:sz w:val="22"/>
          <w:szCs w:val="22"/>
        </w:rPr>
        <w:t xml:space="preserve">PM2 como gestor de procesos: </w:t>
      </w:r>
      <w:r>
        <w:rPr>
          <w:sz w:val="22"/>
          <w:szCs w:val="22"/>
        </w:rPr>
        <w:t xml:space="preserve">mantiene viva la API Node, la reinicia si falla y la levanta al reiniciar el servidor. La configuración vive en ecosystem.config.cjs y se arranca en modo producción (--env production).</w:t>
      </w:r>
    </w:p>
    <w:p>
      <w:pPr>
        <w:pStyle w:val="ListParagraph"/>
        <w:numPr>
          <w:ilvl w:val="0"/>
          <w:numId w:val="2"/>
        </w:numPr>
        <w:spacing w:after="100" w:line="300"/>
      </w:pPr>
      <w:r>
        <w:rPr>
          <w:b/>
          <w:bCs/>
          <w:sz w:val="22"/>
          <w:szCs w:val="22"/>
        </w:rPr>
        <w:t xml:space="preserve">Nginx como servidor web: </w:t>
      </w:r>
      <w:r>
        <w:rPr>
          <w:sz w:val="22"/>
          <w:szCs w:val="22"/>
        </w:rPr>
        <w:t xml:space="preserve">sirve el build estático del frontend desde /var/www/helpdesk y actúa como punto de entrada del sitio. Los archivos pertenecen al usuario www-data.</w:t>
      </w:r>
    </w:p>
    <w:p>
      <w:pPr>
        <w:pStyle w:val="Heading2"/>
        <w:spacing w:after="160" w:before="280"/>
      </w:pPr>
      <w:r>
        <w:rPr>
          <w:b/>
          <w:bCs/>
          <w:color w:val="006657"/>
        </w:rPr>
        <w:t xml:space="preserve">6.2 Automatización del despliegue (deploy.sh)</w:t>
      </w:r>
    </w:p>
    <w:p>
      <w:pPr>
        <w:spacing w:after="160" w:line="300"/>
        <w:jc w:val="both"/>
      </w:pPr>
      <w:r>
        <w:rPr>
          <w:sz w:val="22"/>
          <w:szCs w:val="22"/>
        </w:rPr>
        <w:t xml:space="preserve">Para publicar cambios se creó un script de shell (deploy.sh) que compila y actualiza todo el proyecto con un solo comando. Cada vez que se sube un cambio a GitHub, ejecutar el script en el servidor realiza la secuencia completa:</w:t>
      </w:r>
    </w:p>
    <w:p>
      <w:pPr>
        <w:pStyle w:val="ListParagraph"/>
        <w:numPr>
          <w:ilvl w:val="0"/>
          <w:numId w:val="2"/>
        </w:numPr>
        <w:spacing w:after="100" w:line="300"/>
      </w:pPr>
      <w:r>
        <w:rPr>
          <w:sz w:val="22"/>
          <w:szCs w:val="22"/>
        </w:rPr>
        <w:t xml:space="preserve">git pull — trae los últimos cambios del repositorio.</w:t>
      </w:r>
    </w:p>
    <w:p>
      <w:pPr>
        <w:pStyle w:val="ListParagraph"/>
        <w:numPr>
          <w:ilvl w:val="0"/>
          <w:numId w:val="2"/>
        </w:numPr>
        <w:spacing w:after="100" w:line="300"/>
      </w:pPr>
      <w:r>
        <w:rPr>
          <w:sz w:val="22"/>
          <w:szCs w:val="22"/>
        </w:rPr>
        <w:t xml:space="preserve">npm install y npx prisma generate — instala dependencias del backend y regenera el cliente de Prisma.</w:t>
      </w:r>
    </w:p>
    <w:p>
      <w:pPr>
        <w:pStyle w:val="ListParagraph"/>
        <w:numPr>
          <w:ilvl w:val="0"/>
          <w:numId w:val="2"/>
        </w:numPr>
        <w:spacing w:after="100" w:line="300"/>
      </w:pPr>
      <w:r>
        <w:rPr>
          <w:sz w:val="22"/>
          <w:szCs w:val="22"/>
        </w:rPr>
        <w:t xml:space="preserve">rm -rf dist y npx tsc — recompila el backend TypeScript a JavaScript.</w:t>
      </w:r>
    </w:p>
    <w:p>
      <w:pPr>
        <w:pStyle w:val="ListParagraph"/>
        <w:numPr>
          <w:ilvl w:val="0"/>
          <w:numId w:val="2"/>
        </w:numPr>
        <w:spacing w:after="100" w:line="300"/>
      </w:pPr>
      <w:r>
        <w:rPr>
          <w:sz w:val="22"/>
          <w:szCs w:val="22"/>
        </w:rPr>
        <w:t xml:space="preserve">pm2 start ecosystem.config.cjs --env production y pm2 save — arranca/actualiza la API con PM2 y guarda el estado para que sobreviva a reinicios.</w:t>
      </w:r>
    </w:p>
    <w:p>
      <w:pPr>
        <w:pStyle w:val="ListParagraph"/>
        <w:numPr>
          <w:ilvl w:val="0"/>
          <w:numId w:val="2"/>
        </w:numPr>
        <w:spacing w:after="100" w:line="300"/>
      </w:pPr>
      <w:r>
        <w:rPr>
          <w:sz w:val="22"/>
          <w:szCs w:val="22"/>
        </w:rPr>
        <w:t xml:space="preserve">En frontend/: npm install, se limpia dist y npm run build — genera el build estático de producción.</w:t>
      </w:r>
    </w:p>
    <w:p>
      <w:pPr>
        <w:pStyle w:val="ListParagraph"/>
        <w:numPr>
          <w:ilvl w:val="0"/>
          <w:numId w:val="2"/>
        </w:numPr>
        <w:spacing w:after="100" w:line="300"/>
      </w:pPr>
      <w:r>
        <w:rPr>
          <w:sz w:val="22"/>
          <w:szCs w:val="22"/>
        </w:rPr>
        <w:t xml:space="preserve">Se reemplaza /var/www/helpdesk con el nuevo build (sudo cp -r dist), se ajustan permisos a www-data y se recarga Nginx (sudo systemctl reload nginx).</w:t>
      </w:r>
    </w:p>
    <w:p>
      <w:pPr>
        <w:spacing w:after="160" w:line="300"/>
        <w:jc w:val="both"/>
      </w:pPr>
      <w:r>
        <w:rPr>
          <w:sz w:val="22"/>
          <w:szCs w:val="22"/>
        </w:rPr>
        <w:t xml:space="preserve">Así, actualizar el sistema en producción se reduce a subir el cambio a GitHub y ejecutar ./deploy.sh en el servidor.</w:t>
      </w:r>
    </w:p>
    <w:p>
      <w:pPr>
        <w:pStyle w:val="Heading2"/>
        <w:spacing w:after="160" w:before="280"/>
      </w:pPr>
      <w:r>
        <w:rPr>
          <w:b/>
          <w:bCs/>
          <w:color w:val="006657"/>
        </w:rPr>
        <w:t xml:space="preserve">6.3 Variables de entorno en producción</w:t>
      </w:r>
    </w:p>
    <w:p>
      <w:pPr>
        <w:pStyle w:val="ListParagraph"/>
        <w:numPr>
          <w:ilvl w:val="0"/>
          <w:numId w:val="2"/>
        </w:numPr>
        <w:spacing w:after="100" w:line="300"/>
      </w:pPr>
      <w:r>
        <w:rPr>
          <w:b/>
          <w:bCs/>
          <w:sz w:val="22"/>
          <w:szCs w:val="22"/>
        </w:rPr>
        <w:t xml:space="preserve">DATABASE_URL: </w:t>
      </w:r>
      <w:r>
        <w:rPr>
          <w:sz w:val="22"/>
          <w:szCs w:val="22"/>
        </w:rPr>
        <w:t xml:space="preserve">cadena de conexión al contenedor de PostgreSQL del servidor.</w:t>
      </w:r>
    </w:p>
    <w:p>
      <w:pPr>
        <w:pStyle w:val="ListParagraph"/>
        <w:numPr>
          <w:ilvl w:val="0"/>
          <w:numId w:val="2"/>
        </w:numPr>
        <w:spacing w:after="100" w:line="300"/>
      </w:pPr>
      <w:r>
        <w:rPr>
          <w:b/>
          <w:bCs/>
          <w:sz w:val="22"/>
          <w:szCs w:val="22"/>
        </w:rPr>
        <w:t xml:space="preserve">JWT_SECRET: </w:t>
      </w:r>
      <w:r>
        <w:rPr>
          <w:sz w:val="22"/>
          <w:szCs w:val="22"/>
        </w:rPr>
        <w:t xml:space="preserve">secreto para firmar los tokens de sesión, distinto al de desarrollo.</w:t>
      </w:r>
    </w:p>
    <w:p>
      <w:pPr>
        <w:pStyle w:val="ListParagraph"/>
        <w:numPr>
          <w:ilvl w:val="0"/>
          <w:numId w:val="2"/>
        </w:numPr>
        <w:spacing w:after="100" w:line="300"/>
      </w:pPr>
      <w:r>
        <w:rPr>
          <w:b/>
          <w:bCs/>
          <w:sz w:val="22"/>
          <w:szCs w:val="22"/>
        </w:rPr>
        <w:t xml:space="preserve">CORS_ORIGIN: </w:t>
      </w:r>
      <w:r>
        <w:rPr>
          <w:sz w:val="22"/>
          <w:szCs w:val="22"/>
        </w:rPr>
        <w:t xml:space="preserve">restringe el acceso a la API al dominio/IP del frontend en producción.</w:t>
      </w:r>
    </w:p>
    <w:p>
      <w:pPr>
        <w:pStyle w:val="Heading2"/>
        <w:spacing w:after="160" w:before="280"/>
      </w:pPr>
      <w:r>
        <w:rPr>
          <w:b/>
          <w:bCs/>
          <w:color w:val="006657"/>
        </w:rPr>
        <w:t xml:space="preserve">6.4 Consideraciones de capacidad y siguientes pasos</w:t>
      </w:r>
    </w:p>
    <w:p>
      <w:pPr>
        <w:spacing w:after="160" w:line="300"/>
        <w:jc w:val="both"/>
      </w:pPr>
      <w:r>
        <w:rPr>
          <w:sz w:val="22"/>
          <w:szCs w:val="22"/>
        </w:rPr>
        <w:t xml:space="preserve">Con 1 vCPU y 1 GB de RAM el sistema atiende cómodamente a decenas de usuarios simultáneos de una dependencia: la API es ligera (consultas simples con índices por clave primaria) y el frontend corre en el navegador de cada usuario. Los 25 GB de disco son holgados: la base de datos de tickets crece en texto (kilobytes por ticket), por lo que años de operación caben sin problema. Si la carga creciera, el primer paso sería aumentar la RAM del droplet (resize), sin cambios de código.</w:t>
      </w:r>
    </w:p>
    <w:p>
      <w:pPr>
        <w:pStyle w:val="Heading1"/>
        <w:spacing w:after="200" w:before="360"/>
      </w:pPr>
      <w:r>
        <w:rPr>
          <w:b/>
          <w:bCs/>
          <w:color w:val="10312B"/>
        </w:rPr>
        <w:t xml:space="preserve">7. Recomendaciones futuras</w:t>
      </w:r>
    </w:p>
    <w:p>
      <w:pPr>
        <w:spacing w:after="160" w:line="300"/>
        <w:jc w:val="both"/>
      </w:pPr>
      <w:r>
        <w:rPr>
          <w:sz w:val="22"/>
          <w:szCs w:val="22"/>
        </w:rPr>
        <w:t xml:space="preserve">El sistema ya está en producción y operativo. Las siguientes mejoras no son urgentes, pero elevarían la seguridad y robustez del servicio a mediano plazo.</w:t>
      </w:r>
    </w:p>
    <w:p>
      <w:pPr>
        <w:pStyle w:val="Heading2"/>
        <w:spacing w:after="160" w:before="280"/>
      </w:pPr>
      <w:r>
        <w:rPr>
          <w:b/>
          <w:bCs/>
          <w:color w:val="006657"/>
        </w:rPr>
        <w:t xml:space="preserve">7.1 Dominio propio y HTTPS</w:t>
      </w:r>
    </w:p>
    <w:p>
      <w:pPr>
        <w:spacing w:after="160" w:line="300"/>
        <w:jc w:val="both"/>
      </w:pPr>
      <w:r>
        <w:rPr>
          <w:sz w:val="22"/>
          <w:szCs w:val="22"/>
        </w:rPr>
        <w:t xml:space="preserve">Actualmente el sistema se accede por IP sobre HTTP (http://142.93.54.0). La mejora más recomendable es asociar un dominio y habilitar HTTPS, porque cifra las contraseñas y datos en tránsito y elimina el aviso de “sitio no seguro” del navegador. Conviene aclarar que la parte técnica es sencilla; lo que suele tardar es conseguir el dominio, que es un trámite administrativo.</w:t>
      </w:r>
    </w:p>
    <w:p>
      <w:pPr>
        <w:spacing w:after="160" w:line="300"/>
        <w:jc w:val="both"/>
      </w:pPr>
      <w:r>
        <w:rPr>
          <w:b/>
          <w:bCs/>
          <w:sz w:val="22"/>
          <w:szCs w:val="22"/>
        </w:rPr>
        <w:t xml:space="preserve">1) Conseguir el dominio. </w:t>
      </w:r>
      <w:r>
        <w:rPr>
          <w:sz w:val="22"/>
          <w:szCs w:val="22"/>
        </w:rPr>
        <w:t xml:space="preserve">Un certificado gratuito de Let's Encrypt no puede emitirse para una IP pelona, por lo que primero se necesita un nombre de dominio. Para un sistema oficial, lo ideal es solicitar un subdominio gob.mx (por ejemplo cati.bienestar.gob.mx) a través del área de TI de la dependencia; como alternativa rápida puede adquirirse un dominio comercial de bajo costo.</w:t>
      </w:r>
    </w:p>
    <w:p>
      <w:pPr>
        <w:spacing w:after="160" w:line="300"/>
        <w:jc w:val="both"/>
      </w:pPr>
      <w:r>
        <w:rPr>
          <w:b/>
          <w:bCs/>
          <w:sz w:val="22"/>
          <w:szCs w:val="22"/>
        </w:rPr>
        <w:t xml:space="preserve">2) Apuntar el dominio al servidor. </w:t>
      </w:r>
      <w:r>
        <w:rPr>
          <w:sz w:val="22"/>
          <w:szCs w:val="22"/>
        </w:rPr>
        <w:t xml:space="preserve">En el panel del proveedor del dominio se crea un registro DNS tipo A que apunte al droplet (142.93.54.0). Es un cambio de un par de minutos, más el tiempo de propagación.</w:t>
      </w:r>
    </w:p>
    <w:p>
      <w:pPr>
        <w:spacing w:after="160" w:line="300"/>
        <w:jc w:val="both"/>
      </w:pPr>
      <w:r>
        <w:rPr>
          <w:b/>
          <w:bCs/>
          <w:sz w:val="22"/>
          <w:szCs w:val="22"/>
        </w:rPr>
        <w:t xml:space="preserve">3) Instalar el certificado con Certbot. </w:t>
      </w:r>
      <w:r>
        <w:rPr>
          <w:sz w:val="22"/>
          <w:szCs w:val="22"/>
        </w:rPr>
        <w:t xml:space="preserve">Con el dominio ya apuntando al servidor, HTTPS se activa prácticamente solo:</w:t>
      </w:r>
    </w:p>
    <w:p>
      <w:pPr>
        <w:pStyle w:val="ListParagraph"/>
        <w:numPr>
          <w:ilvl w:val="0"/>
          <w:numId w:val="2"/>
        </w:numPr>
        <w:spacing w:after="100" w:line="300"/>
      </w:pPr>
      <w:r>
        <w:rPr>
          <w:sz w:val="22"/>
          <w:szCs w:val="22"/>
        </w:rPr>
        <w:t xml:space="preserve">sudo apt install certbot python3-certbot-nginx</w:t>
      </w:r>
    </w:p>
    <w:p>
      <w:pPr>
        <w:pStyle w:val="ListParagraph"/>
        <w:numPr>
          <w:ilvl w:val="0"/>
          <w:numId w:val="2"/>
        </w:numPr>
        <w:spacing w:after="100" w:line="300"/>
      </w:pPr>
      <w:r>
        <w:rPr>
          <w:sz w:val="22"/>
          <w:szCs w:val="22"/>
        </w:rPr>
        <w:t xml:space="preserve">sudo certbot --nginx -d cati.tudominio.mx</w:t>
      </w:r>
    </w:p>
    <w:p>
      <w:pPr>
        <w:spacing w:after="160" w:line="300"/>
        <w:jc w:val="both"/>
      </w:pPr>
      <w:r>
        <w:rPr>
          <w:sz w:val="22"/>
          <w:szCs w:val="22"/>
        </w:rPr>
        <w:t xml:space="preserve">Certbot detecta la configuración de Nginx, obtiene el certificado, reescribe el bloque server para servir por HTTPS, redirige HTTP a HTTPS y programa la renovación automática (los certificados duran 90 días y se renuevan solos).</w:t>
      </w:r>
    </w:p>
    <w:p>
      <w:pPr>
        <w:spacing w:after="160" w:line="300"/>
        <w:jc w:val="both"/>
      </w:pPr>
      <w:r>
        <w:rPr>
          <w:b/>
          <w:bCs/>
          <w:sz w:val="22"/>
          <w:szCs w:val="22"/>
        </w:rPr>
        <w:t xml:space="preserve">4) Ajustar la configuración del proyecto. </w:t>
      </w:r>
      <w:r>
        <w:rPr>
          <w:sz w:val="22"/>
          <w:szCs w:val="22"/>
        </w:rPr>
        <w:t xml:space="preserve">Cambiar VITE_API_URL y CORS_ORIGIN al nuevo dominio con https:// y definir el server_name en Nginx. Son ajustes menores.</w:t>
      </w:r>
    </w:p>
    <w:p>
      <w:pPr>
        <w:spacing w:after="160" w:line="300"/>
        <w:jc w:val="both"/>
      </w:pPr>
      <w:r>
        <w:rPr>
          <w:b/>
          <w:bCs/>
          <w:sz w:val="22"/>
          <w:szCs w:val="22"/>
        </w:rPr>
        <w:t xml:space="preserve">Resumen de esfuerzo: </w:t>
      </w:r>
      <w:r>
        <w:rPr>
          <w:sz w:val="22"/>
          <w:szCs w:val="22"/>
        </w:rPr>
        <w:t xml:space="preserve">conseguir el dominio puede tardar (trámite), pero apuntar el DNS e instalar HTTPS toma alrededor de 20 minutos en total y no requiere cambios de código de la aplicación.</w:t>
      </w:r>
    </w:p>
    <w:p>
      <w:pPr>
        <w:pStyle w:val="Heading2"/>
        <w:spacing w:after="160" w:before="280"/>
      </w:pPr>
      <w:r>
        <w:rPr>
          <w:b/>
          <w:bCs/>
          <w:color w:val="006657"/>
        </w:rPr>
        <w:t xml:space="preserve">7.2 Respaldos automáticos de la base de datos</w:t>
      </w:r>
    </w:p>
    <w:p>
      <w:pPr>
        <w:spacing w:after="160" w:line="300"/>
        <w:jc w:val="both"/>
      </w:pPr>
      <w:r>
        <w:rPr>
          <w:sz w:val="22"/>
          <w:szCs w:val="22"/>
        </w:rPr>
        <w:t xml:space="preserve">Al estar en producción, conviene programar un respaldo periódico del contenedor de PostgreSQL (por ejemplo con pg_dump vía una tarea cron diaria) y guardarlo fuera del droplet, para poder recuperar la información ante una falla del servidor.</w:t>
      </w:r>
    </w:p>
    <w:p>
      <w:pPr>
        <w:pStyle w:val="Heading2"/>
        <w:spacing w:after="160" w:before="280"/>
      </w:pPr>
      <w:r>
        <w:rPr>
          <w:b/>
          <w:bCs/>
          <w:color w:val="006657"/>
        </w:rPr>
        <w:t xml:space="preserve">7.3 Endurecimiento adicional del servidor</w:t>
      </w:r>
    </w:p>
    <w:p>
      <w:pPr>
        <w:pStyle w:val="ListParagraph"/>
        <w:numPr>
          <w:ilvl w:val="0"/>
          <w:numId w:val="2"/>
        </w:numPr>
        <w:spacing w:after="100" w:line="300"/>
      </w:pPr>
      <w:r>
        <w:rPr>
          <w:b/>
          <w:bCs/>
          <w:sz w:val="22"/>
          <w:szCs w:val="22"/>
        </w:rPr>
        <w:t xml:space="preserve">Firewall (UFW): </w:t>
      </w:r>
      <w:r>
        <w:rPr>
          <w:sz w:val="22"/>
          <w:szCs w:val="22"/>
        </w:rPr>
        <w:t xml:space="preserve">permitir solo los puertos necesarios (22 SSH, 80 y 443), y mantener el puerto de la base de datos accesible únicamente en local.</w:t>
      </w:r>
    </w:p>
    <w:p>
      <w:pPr>
        <w:pStyle w:val="ListParagraph"/>
        <w:numPr>
          <w:ilvl w:val="0"/>
          <w:numId w:val="2"/>
        </w:numPr>
        <w:spacing w:after="100" w:line="300"/>
      </w:pPr>
      <w:r>
        <w:rPr>
          <w:b/>
          <w:bCs/>
          <w:sz w:val="22"/>
          <w:szCs w:val="22"/>
        </w:rPr>
        <w:t xml:space="preserve">Escalar recursos si crece la demanda: </w:t>
      </w:r>
      <w:r>
        <w:rPr>
          <w:sz w:val="22"/>
          <w:szCs w:val="22"/>
        </w:rPr>
        <w:t xml:space="preserve">si en el futuro aumentan los usuarios o el histórico de tickets, el primer paso es ampliar la RAM del droplet (resize), sin cambios de código.</w:t>
      </w:r>
    </w:p>
    <w:p>
      <w:pPr>
        <w:pStyle w:val="Heading1"/>
        <w:spacing w:after="200" w:before="360"/>
      </w:pPr>
      <w:r>
        <w:rPr>
          <w:b/>
          <w:bCs/>
          <w:color w:val="10312B"/>
        </w:rPr>
        <w:t xml:space="preserve">8. Conclusión</w:t>
      </w:r>
    </w:p>
    <w:p>
      <w:pPr>
        <w:spacing w:after="160" w:line="300"/>
        <w:jc w:val="both"/>
      </w:pPr>
      <w:r>
        <w:rPr>
          <w:sz w:val="22"/>
          <w:szCs w:val="22"/>
        </w:rPr>
        <w:t xml:space="preserve">CATI es un sistema completo, funcional y ya en producción, alineado a la identidad de la Secretaría del Bienestar. Las tecnologías elegidas —TypeScript de extremo a extremo, Express, Prisma/PostgreSQL, React con Vite y un ecosistema de UI moderno— priorizan mantenibilidad, seguridad y bajo consumo de recursos, lo que permite operarlo en un servidor económico de 1 GB de RAM. Antes del despliegue se cerraron los controles de seguridad (autenticación en todas las rutas, autorización por rol y protección de datos sensibles), y el flujo de actualización quedó automatizado con un único script, de modo que el mantenimiento continuo es sencillo.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2026-07-16T18:12:53.939Z</dcterms:created>
  <dcterms:modified xsi:type="dcterms:W3CDTF">2026-07-16T18:12:53.942Z</dcterms:modified>
</cp:coreProperties>
</file>

<file path=docProps/custom.xml><?xml version="1.0" encoding="utf-8"?>
<Properties xmlns="http://schemas.openxmlformats.org/officeDocument/2006/custom-properties" xmlns:vt="http://schemas.openxmlformats.org/officeDocument/2006/docPropsVTypes"/>
</file>