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27D44" w14:textId="605D8F65" w:rsidR="00423FCB" w:rsidRDefault="003C63AF" w:rsidP="003C63AF">
      <w:pPr>
        <w:spacing w:line="440" w:lineRule="exact"/>
        <w:ind w:firstLineChars="200" w:firstLine="480"/>
        <w:jc w:val="center"/>
        <w:rPr>
          <w:rFonts w:ascii="Times New Roman" w:eastAsia="宋体" w:hAnsi="Times New Roman"/>
          <w:sz w:val="24"/>
        </w:rPr>
      </w:pPr>
      <w:r>
        <w:rPr>
          <w:rFonts w:ascii="Times New Roman" w:eastAsia="宋体" w:hAnsi="Times New Roman" w:hint="eastAsia"/>
          <w:bCs/>
          <w:sz w:val="24"/>
        </w:rPr>
        <w:t>P</w:t>
      </w:r>
      <w:r w:rsidRPr="00870E3C">
        <w:rPr>
          <w:rFonts w:ascii="Times New Roman" w:eastAsia="宋体" w:hAnsi="Times New Roman"/>
          <w:bCs/>
          <w:sz w:val="24"/>
        </w:rPr>
        <w:t>WR</w:t>
      </w:r>
      <w:r>
        <w:rPr>
          <w:rFonts w:ascii="Times New Roman" w:eastAsia="宋体" w:hAnsi="Times New Roman" w:hint="eastAsia"/>
          <w:bCs/>
          <w:sz w:val="24"/>
        </w:rPr>
        <w:t>:</w:t>
      </w:r>
      <w:r w:rsidR="00870E3C" w:rsidRPr="003C63AF">
        <w:rPr>
          <w:rFonts w:ascii="Times New Roman" w:eastAsia="宋体" w:hAnsi="Times New Roman"/>
          <w:sz w:val="24"/>
        </w:rPr>
        <w:t>基于</w:t>
      </w:r>
      <w:r w:rsidRPr="003C63AF">
        <w:rPr>
          <w:rFonts w:ascii="Times New Roman" w:eastAsia="宋体" w:hAnsi="Times New Roman" w:hint="eastAsia"/>
          <w:sz w:val="24"/>
        </w:rPr>
        <w:t>预训练</w:t>
      </w:r>
      <w:r w:rsidR="00870E3C" w:rsidRPr="003C63AF">
        <w:rPr>
          <w:rFonts w:ascii="Times New Roman" w:eastAsia="宋体" w:hAnsi="Times New Roman"/>
          <w:sz w:val="24"/>
        </w:rPr>
        <w:t>的抗病毒肽预测方法</w:t>
      </w:r>
    </w:p>
    <w:p w14:paraId="00E1B49A" w14:textId="7F6F72EB" w:rsidR="00870E3C" w:rsidRPr="003C63AF" w:rsidRDefault="003C63AF" w:rsidP="000C2859">
      <w:pPr>
        <w:spacing w:line="440" w:lineRule="exact"/>
        <w:ind w:firstLineChars="200" w:firstLine="480"/>
        <w:jc w:val="center"/>
        <w:rPr>
          <w:rFonts w:ascii="Times New Roman" w:eastAsia="宋体" w:hAnsi="Times New Roman" w:hint="eastAsia"/>
          <w:sz w:val="24"/>
        </w:rPr>
      </w:pPr>
      <w:r>
        <w:rPr>
          <w:rFonts w:ascii="Times New Roman" w:eastAsia="宋体" w:hAnsi="Times New Roman" w:hint="eastAsia"/>
          <w:sz w:val="24"/>
        </w:rPr>
        <w:t xml:space="preserve">BX2516516 </w:t>
      </w:r>
      <w:r>
        <w:rPr>
          <w:rFonts w:ascii="Times New Roman" w:eastAsia="宋体" w:hAnsi="Times New Roman" w:hint="eastAsia"/>
          <w:sz w:val="24"/>
        </w:rPr>
        <w:t>魏卓宇</w:t>
      </w:r>
    </w:p>
    <w:p w14:paraId="22488AB0" w14:textId="77777777" w:rsidR="003C63AF" w:rsidRPr="003C63AF"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摘要</w:t>
      </w:r>
      <w:r w:rsidR="003C63AF" w:rsidRPr="003C63AF">
        <w:rPr>
          <w:rFonts w:ascii="Times New Roman" w:eastAsia="宋体" w:hAnsi="Times New Roman" w:hint="eastAsia"/>
          <w:b/>
          <w:sz w:val="24"/>
        </w:rPr>
        <w:t>:</w:t>
      </w:r>
    </w:p>
    <w:p w14:paraId="655364D2" w14:textId="7B14296B" w:rsidR="00870E3C" w:rsidRDefault="003C63AF" w:rsidP="003C63AF">
      <w:pPr>
        <w:spacing w:line="440" w:lineRule="exact"/>
        <w:ind w:firstLineChars="200" w:firstLine="480"/>
        <w:rPr>
          <w:rFonts w:ascii="Times New Roman" w:eastAsia="宋体" w:hAnsi="Times New Roman"/>
          <w:sz w:val="24"/>
        </w:rPr>
      </w:pPr>
      <w:r w:rsidRPr="003C63AF">
        <w:rPr>
          <w:rFonts w:ascii="Times New Roman" w:eastAsia="宋体" w:hAnsi="Times New Roman" w:hint="eastAsia"/>
          <w:sz w:val="24"/>
        </w:rPr>
        <w:t>抗病毒肽（</w:t>
      </w:r>
      <w:r w:rsidRPr="003C63AF">
        <w:rPr>
          <w:rFonts w:ascii="Times New Roman" w:eastAsia="宋体" w:hAnsi="Times New Roman" w:hint="eastAsia"/>
          <w:sz w:val="24"/>
        </w:rPr>
        <w:t>Antiviral Peptides, AVPs</w:t>
      </w:r>
      <w:r w:rsidRPr="003C63AF">
        <w:rPr>
          <w:rFonts w:ascii="Times New Roman" w:eastAsia="宋体" w:hAnsi="Times New Roman" w:hint="eastAsia"/>
          <w:sz w:val="24"/>
        </w:rPr>
        <w:t>）是一类由短链氨基酸构成的生物活性分子，在抗病毒药物研发中展现出巨大潜力。传统的</w:t>
      </w:r>
      <w:r w:rsidRPr="003C63AF">
        <w:rPr>
          <w:rFonts w:ascii="Times New Roman" w:eastAsia="宋体" w:hAnsi="Times New Roman" w:hint="eastAsia"/>
          <w:sz w:val="24"/>
        </w:rPr>
        <w:t>AVPs</w:t>
      </w:r>
      <w:r w:rsidRPr="003C63AF">
        <w:rPr>
          <w:rFonts w:ascii="Times New Roman" w:eastAsia="宋体" w:hAnsi="Times New Roman" w:hint="eastAsia"/>
          <w:sz w:val="24"/>
        </w:rPr>
        <w:t>鉴定方法（如湿实验）耗时长、成本高，而现有的前沿计算方法在预测精度方面仍存在不足。</w:t>
      </w:r>
      <w:r>
        <w:rPr>
          <w:rFonts w:ascii="Times New Roman" w:eastAsia="宋体" w:hAnsi="Times New Roman" w:hint="eastAsia"/>
          <w:sz w:val="24"/>
        </w:rPr>
        <w:t>当前研究</w:t>
      </w:r>
      <w:r w:rsidR="00870E3C" w:rsidRPr="00870E3C">
        <w:rPr>
          <w:rFonts w:ascii="Times New Roman" w:eastAsia="宋体" w:hAnsi="Times New Roman"/>
          <w:sz w:val="24"/>
        </w:rPr>
        <w:t>提出了一种基于</w:t>
      </w:r>
      <w:r>
        <w:rPr>
          <w:rFonts w:ascii="Times New Roman" w:eastAsia="宋体" w:hAnsi="Times New Roman" w:hint="eastAsia"/>
          <w:sz w:val="24"/>
        </w:rPr>
        <w:t>预训练</w:t>
      </w:r>
      <w:r w:rsidR="00870E3C" w:rsidRPr="00870E3C">
        <w:rPr>
          <w:rFonts w:ascii="Times New Roman" w:eastAsia="宋体" w:hAnsi="Times New Roman"/>
          <w:sz w:val="24"/>
        </w:rPr>
        <w:t>表示的抗病毒肽预测模型，命名为</w:t>
      </w:r>
      <w:r>
        <w:rPr>
          <w:rFonts w:ascii="Times New Roman" w:eastAsia="宋体" w:hAnsi="Times New Roman" w:hint="eastAsia"/>
          <w:bCs/>
          <w:sz w:val="24"/>
        </w:rPr>
        <w:t>P</w:t>
      </w:r>
      <w:r w:rsidR="00870E3C" w:rsidRPr="00870E3C">
        <w:rPr>
          <w:rFonts w:ascii="Times New Roman" w:eastAsia="宋体" w:hAnsi="Times New Roman"/>
          <w:bCs/>
          <w:sz w:val="24"/>
        </w:rPr>
        <w:t>WR</w:t>
      </w:r>
      <w:r w:rsidR="00870E3C" w:rsidRPr="00870E3C">
        <w:rPr>
          <w:rFonts w:ascii="Times New Roman" w:eastAsia="宋体" w:hAnsi="Times New Roman"/>
          <w:sz w:val="24"/>
        </w:rPr>
        <w:t>。鉴于抗病毒肽的二级结构主要由</w:t>
      </w:r>
      <w:r w:rsidR="00870E3C" w:rsidRPr="00870E3C">
        <w:rPr>
          <w:rFonts w:ascii="Times New Roman" w:eastAsia="宋体" w:hAnsi="Times New Roman"/>
          <w:sz w:val="24"/>
        </w:rPr>
        <w:t>α-</w:t>
      </w:r>
      <w:r w:rsidR="00870E3C" w:rsidRPr="00870E3C">
        <w:rPr>
          <w:rFonts w:ascii="Times New Roman" w:eastAsia="宋体" w:hAnsi="Times New Roman"/>
          <w:sz w:val="24"/>
        </w:rPr>
        <w:t>螺旋（</w:t>
      </w:r>
      <w:r w:rsidR="00870E3C" w:rsidRPr="00870E3C">
        <w:rPr>
          <w:rFonts w:ascii="Times New Roman" w:eastAsia="宋体" w:hAnsi="Times New Roman"/>
          <w:sz w:val="24"/>
        </w:rPr>
        <w:t>α-helix</w:t>
      </w:r>
      <w:r w:rsidR="00870E3C" w:rsidRPr="00870E3C">
        <w:rPr>
          <w:rFonts w:ascii="Times New Roman" w:eastAsia="宋体" w:hAnsi="Times New Roman"/>
          <w:sz w:val="24"/>
        </w:rPr>
        <w:t>）和环结构（</w:t>
      </w:r>
      <w:r w:rsidR="00870E3C" w:rsidRPr="00870E3C">
        <w:rPr>
          <w:rFonts w:ascii="Times New Roman" w:eastAsia="宋体" w:hAnsi="Times New Roman"/>
          <w:sz w:val="24"/>
        </w:rPr>
        <w:t>loop</w:t>
      </w:r>
      <w:r w:rsidR="00870E3C" w:rsidRPr="00870E3C">
        <w:rPr>
          <w:rFonts w:ascii="Times New Roman" w:eastAsia="宋体" w:hAnsi="Times New Roman"/>
          <w:sz w:val="24"/>
        </w:rPr>
        <w:t>）构成，我们分别引入</w:t>
      </w:r>
      <w:r w:rsidR="00870E3C" w:rsidRPr="00870E3C">
        <w:rPr>
          <w:rFonts w:ascii="Times New Roman" w:eastAsia="宋体" w:hAnsi="Times New Roman"/>
          <w:sz w:val="24"/>
        </w:rPr>
        <w:t>1mer</w:t>
      </w:r>
      <w:r w:rsidR="00870E3C" w:rsidRPr="00870E3C">
        <w:rPr>
          <w:rFonts w:ascii="Times New Roman" w:eastAsia="宋体" w:hAnsi="Times New Roman"/>
          <w:sz w:val="24"/>
        </w:rPr>
        <w:t>（对应环结构）和</w:t>
      </w:r>
      <w:r w:rsidR="00870E3C" w:rsidRPr="00870E3C">
        <w:rPr>
          <w:rFonts w:ascii="Times New Roman" w:eastAsia="宋体" w:hAnsi="Times New Roman"/>
          <w:sz w:val="24"/>
        </w:rPr>
        <w:t>4mer</w:t>
      </w:r>
      <w:r w:rsidR="00870E3C" w:rsidRPr="00870E3C">
        <w:rPr>
          <w:rFonts w:ascii="Times New Roman" w:eastAsia="宋体" w:hAnsi="Times New Roman"/>
          <w:sz w:val="24"/>
        </w:rPr>
        <w:t>（连续四个残基，对应</w:t>
      </w:r>
      <w:r w:rsidR="00870E3C" w:rsidRPr="00870E3C">
        <w:rPr>
          <w:rFonts w:ascii="Times New Roman" w:eastAsia="宋体" w:hAnsi="Times New Roman"/>
          <w:sz w:val="24"/>
        </w:rPr>
        <w:t xml:space="preserve"> α-</w:t>
      </w:r>
      <w:r w:rsidR="00870E3C" w:rsidRPr="00870E3C">
        <w:rPr>
          <w:rFonts w:ascii="Times New Roman" w:eastAsia="宋体" w:hAnsi="Times New Roman"/>
          <w:sz w:val="24"/>
        </w:rPr>
        <w:t>螺旋）作为</w:t>
      </w:r>
      <w:r w:rsidR="00870E3C" w:rsidRPr="00870E3C">
        <w:rPr>
          <w:rFonts w:ascii="Times New Roman" w:eastAsia="宋体" w:hAnsi="Times New Roman"/>
          <w:sz w:val="24"/>
        </w:rPr>
        <w:t>“</w:t>
      </w:r>
      <w:r w:rsidR="00870E3C" w:rsidRPr="00870E3C">
        <w:rPr>
          <w:rFonts w:ascii="Times New Roman" w:eastAsia="宋体" w:hAnsi="Times New Roman"/>
          <w:sz w:val="24"/>
        </w:rPr>
        <w:t>生物词</w:t>
      </w:r>
      <w:r w:rsidR="00870E3C" w:rsidRPr="00870E3C">
        <w:rPr>
          <w:rFonts w:ascii="Times New Roman" w:eastAsia="宋体" w:hAnsi="Times New Roman"/>
          <w:sz w:val="24"/>
        </w:rPr>
        <w:t>”</w:t>
      </w:r>
      <w:r w:rsidR="00870E3C" w:rsidRPr="00870E3C">
        <w:rPr>
          <w:rFonts w:ascii="Times New Roman" w:eastAsia="宋体" w:hAnsi="Times New Roman"/>
          <w:sz w:val="24"/>
        </w:rPr>
        <w:t>。具体而言，将肽序列分解为生物词，并通过</w:t>
      </w:r>
      <w:r w:rsidR="00870E3C" w:rsidRPr="00870E3C">
        <w:rPr>
          <w:rFonts w:ascii="Times New Roman" w:eastAsia="宋体" w:hAnsi="Times New Roman"/>
          <w:sz w:val="24"/>
        </w:rPr>
        <w:t>Word2Vec</w:t>
      </w:r>
      <w:r>
        <w:rPr>
          <w:rFonts w:ascii="Times New Roman" w:eastAsia="宋体" w:hAnsi="Times New Roman" w:hint="eastAsia"/>
          <w:sz w:val="24"/>
        </w:rPr>
        <w:t>预训练</w:t>
      </w:r>
      <w:r w:rsidR="00870E3C" w:rsidRPr="00870E3C">
        <w:rPr>
          <w:rFonts w:ascii="Times New Roman" w:eastAsia="宋体" w:hAnsi="Times New Roman"/>
          <w:sz w:val="24"/>
        </w:rPr>
        <w:t>模型学习其隐含的序列语义信息。进一步地，为了提取多尺度特征，本文构建了</w:t>
      </w:r>
      <w:r w:rsidR="00870E3C" w:rsidRPr="00870E3C">
        <w:rPr>
          <w:rFonts w:ascii="Times New Roman" w:eastAsia="宋体" w:hAnsi="Times New Roman"/>
          <w:sz w:val="24"/>
        </w:rPr>
        <w:t xml:space="preserve">CNN-Transformer </w:t>
      </w:r>
      <w:r w:rsidR="00870E3C" w:rsidRPr="00870E3C">
        <w:rPr>
          <w:rFonts w:ascii="Times New Roman" w:eastAsia="宋体" w:hAnsi="Times New Roman"/>
          <w:sz w:val="24"/>
        </w:rPr>
        <w:t>混合网络，对由</w:t>
      </w:r>
      <w:r w:rsidR="00870E3C" w:rsidRPr="00870E3C">
        <w:rPr>
          <w:rFonts w:ascii="Times New Roman" w:eastAsia="宋体" w:hAnsi="Times New Roman"/>
          <w:sz w:val="24"/>
        </w:rPr>
        <w:t>Word2Vec</w:t>
      </w:r>
      <w:r w:rsidR="00870E3C" w:rsidRPr="00870E3C">
        <w:rPr>
          <w:rFonts w:ascii="Times New Roman" w:eastAsia="宋体" w:hAnsi="Times New Roman"/>
          <w:sz w:val="24"/>
        </w:rPr>
        <w:t>生成的</w:t>
      </w:r>
      <w:r w:rsidR="00870E3C" w:rsidRPr="00870E3C">
        <w:rPr>
          <w:rFonts w:ascii="Times New Roman" w:eastAsia="宋体" w:hAnsi="Times New Roman"/>
          <w:sz w:val="24"/>
        </w:rPr>
        <w:t xml:space="preserve"> 1mer </w:t>
      </w:r>
      <w:r w:rsidR="00870E3C" w:rsidRPr="00870E3C">
        <w:rPr>
          <w:rFonts w:ascii="Times New Roman" w:eastAsia="宋体" w:hAnsi="Times New Roman"/>
          <w:sz w:val="24"/>
        </w:rPr>
        <w:t>与</w:t>
      </w:r>
      <w:r w:rsidR="00870E3C" w:rsidRPr="00870E3C">
        <w:rPr>
          <w:rFonts w:ascii="Times New Roman" w:eastAsia="宋体" w:hAnsi="Times New Roman"/>
          <w:sz w:val="24"/>
        </w:rPr>
        <w:t xml:space="preserve"> 4mer </w:t>
      </w:r>
      <w:r w:rsidR="00870E3C" w:rsidRPr="00870E3C">
        <w:rPr>
          <w:rFonts w:ascii="Times New Roman" w:eastAsia="宋体" w:hAnsi="Times New Roman"/>
          <w:sz w:val="24"/>
        </w:rPr>
        <w:t>嵌入向量进行联合建模。这是首次基于蛋白质二级结构规律对蛋白一级结构序列进行</w:t>
      </w:r>
      <w:r w:rsidR="00870E3C" w:rsidRPr="00870E3C">
        <w:rPr>
          <w:rFonts w:ascii="Times New Roman" w:eastAsia="宋体" w:hAnsi="Times New Roman"/>
          <w:sz w:val="24"/>
        </w:rPr>
        <w:t>“</w:t>
      </w:r>
      <w:r w:rsidR="00870E3C" w:rsidRPr="00870E3C">
        <w:rPr>
          <w:rFonts w:ascii="Times New Roman" w:eastAsia="宋体" w:hAnsi="Times New Roman"/>
          <w:sz w:val="24"/>
        </w:rPr>
        <w:t>词分割</w:t>
      </w:r>
      <w:r w:rsidR="00870E3C" w:rsidRPr="00870E3C">
        <w:rPr>
          <w:rFonts w:ascii="Times New Roman" w:eastAsia="宋体" w:hAnsi="Times New Roman"/>
          <w:sz w:val="24"/>
        </w:rPr>
        <w:t>”</w:t>
      </w:r>
      <w:r w:rsidR="00870E3C" w:rsidRPr="00870E3C">
        <w:rPr>
          <w:rFonts w:ascii="Times New Roman" w:eastAsia="宋体" w:hAnsi="Times New Roman"/>
          <w:sz w:val="24"/>
        </w:rPr>
        <w:t>的研究。实验结果表明，</w:t>
      </w:r>
      <w:r>
        <w:rPr>
          <w:rFonts w:ascii="Times New Roman" w:eastAsia="宋体" w:hAnsi="Times New Roman"/>
          <w:sz w:val="24"/>
        </w:rPr>
        <w:t>PWR</w:t>
      </w:r>
      <w:r w:rsidR="00870E3C" w:rsidRPr="00870E3C">
        <w:rPr>
          <w:rFonts w:ascii="Times New Roman" w:eastAsia="宋体" w:hAnsi="Times New Roman"/>
          <w:sz w:val="24"/>
        </w:rPr>
        <w:t>在独立测试集上显著优于现有方法，其</w:t>
      </w:r>
      <w:r w:rsidR="00870E3C" w:rsidRPr="00870E3C">
        <w:rPr>
          <w:rFonts w:ascii="Times New Roman" w:eastAsia="宋体" w:hAnsi="Times New Roman"/>
          <w:sz w:val="24"/>
        </w:rPr>
        <w:t xml:space="preserve"> AUROC </w:t>
      </w:r>
      <w:r w:rsidR="00870E3C" w:rsidRPr="00870E3C">
        <w:rPr>
          <w:rFonts w:ascii="Times New Roman" w:eastAsia="宋体" w:hAnsi="Times New Roman"/>
          <w:sz w:val="24"/>
        </w:rPr>
        <w:t>和</w:t>
      </w:r>
      <w:r w:rsidR="00870E3C" w:rsidRPr="00870E3C">
        <w:rPr>
          <w:rFonts w:ascii="Times New Roman" w:eastAsia="宋体" w:hAnsi="Times New Roman"/>
          <w:sz w:val="24"/>
        </w:rPr>
        <w:t xml:space="preserve"> MCC </w:t>
      </w:r>
      <w:r w:rsidR="00870E3C" w:rsidRPr="00870E3C">
        <w:rPr>
          <w:rFonts w:ascii="Times New Roman" w:eastAsia="宋体" w:hAnsi="Times New Roman"/>
          <w:sz w:val="24"/>
        </w:rPr>
        <w:t>分别提升了</w:t>
      </w:r>
      <w:r w:rsidR="00870E3C" w:rsidRPr="00870E3C">
        <w:rPr>
          <w:rFonts w:ascii="Times New Roman" w:eastAsia="宋体" w:hAnsi="Times New Roman"/>
          <w:sz w:val="24"/>
        </w:rPr>
        <w:t xml:space="preserve"> 4.6% </w:t>
      </w:r>
      <w:r w:rsidR="00870E3C" w:rsidRPr="00870E3C">
        <w:rPr>
          <w:rFonts w:ascii="Times New Roman" w:eastAsia="宋体" w:hAnsi="Times New Roman"/>
          <w:sz w:val="24"/>
        </w:rPr>
        <w:t>和</w:t>
      </w:r>
      <w:r w:rsidR="00870E3C" w:rsidRPr="00870E3C">
        <w:rPr>
          <w:rFonts w:ascii="Times New Roman" w:eastAsia="宋体" w:hAnsi="Times New Roman"/>
          <w:sz w:val="24"/>
        </w:rPr>
        <w:t xml:space="preserve"> 11.0%</w:t>
      </w:r>
      <w:r w:rsidR="00870E3C" w:rsidRPr="00870E3C">
        <w:rPr>
          <w:rFonts w:ascii="Times New Roman" w:eastAsia="宋体" w:hAnsi="Times New Roman"/>
          <w:sz w:val="24"/>
        </w:rPr>
        <w:t>。</w:t>
      </w:r>
    </w:p>
    <w:p w14:paraId="523F54B8" w14:textId="613CF125" w:rsidR="003C63AF" w:rsidRPr="003C63AF" w:rsidRDefault="003C63AF" w:rsidP="003C63AF">
      <w:pPr>
        <w:spacing w:line="480" w:lineRule="auto"/>
        <w:rPr>
          <w:rFonts w:ascii="Times New Roman" w:eastAsia="宋体" w:hAnsi="Times New Roman" w:cs="Times New Roman" w:hint="eastAsia"/>
          <w:sz w:val="24"/>
          <w:szCs w:val="24"/>
        </w:rPr>
      </w:pPr>
      <w:r w:rsidRPr="00074B66">
        <w:rPr>
          <w:rFonts w:ascii="Times New Roman" w:eastAsia="宋体" w:hAnsi="Times New Roman" w:cs="Times New Roman"/>
          <w:b/>
          <w:bCs/>
          <w:sz w:val="24"/>
          <w:szCs w:val="24"/>
        </w:rPr>
        <w:t>关键词</w:t>
      </w:r>
      <w:r w:rsidRPr="00074B66">
        <w:rPr>
          <w:rFonts w:ascii="Times New Roman" w:eastAsia="宋体" w:hAnsi="Times New Roman" w:cs="Times New Roman"/>
          <w:sz w:val="24"/>
          <w:szCs w:val="24"/>
        </w:rPr>
        <w:t>：抗病毒肽，</w:t>
      </w:r>
      <w:r>
        <w:rPr>
          <w:rFonts w:ascii="Times New Roman" w:eastAsia="宋体" w:hAnsi="Times New Roman" w:cs="Times New Roman" w:hint="eastAsia"/>
          <w:sz w:val="24"/>
          <w:szCs w:val="24"/>
        </w:rPr>
        <w:t>预训练</w:t>
      </w:r>
      <w:r w:rsidRPr="00074B66">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Transformer, </w:t>
      </w:r>
      <w:r w:rsidRPr="00074B66">
        <w:rPr>
          <w:rFonts w:ascii="Times New Roman" w:eastAsia="宋体" w:hAnsi="Times New Roman" w:cs="Times New Roman"/>
          <w:sz w:val="24"/>
          <w:szCs w:val="24"/>
        </w:rPr>
        <w:t>Word2Vec</w:t>
      </w:r>
      <w:r>
        <w:rPr>
          <w:rFonts w:ascii="Times New Roman" w:eastAsia="宋体" w:hAnsi="Times New Roman" w:cs="Times New Roman" w:hint="eastAsia"/>
          <w:sz w:val="24"/>
          <w:szCs w:val="24"/>
        </w:rPr>
        <w:t>,</w:t>
      </w:r>
      <w:r w:rsidRPr="00074B66">
        <w:rPr>
          <w:rFonts w:ascii="Times New Roman" w:eastAsia="宋体" w:hAnsi="Times New Roman" w:cs="Times New Roman"/>
          <w:sz w:val="24"/>
          <w:szCs w:val="24"/>
        </w:rPr>
        <w:t xml:space="preserve"> CNN</w:t>
      </w:r>
    </w:p>
    <w:p w14:paraId="0A138D48" w14:textId="383241D4" w:rsidR="00870E3C" w:rsidRPr="00870E3C"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 xml:space="preserve">1 </w:t>
      </w:r>
      <w:r w:rsidRPr="00870E3C">
        <w:rPr>
          <w:rFonts w:ascii="Times New Roman" w:eastAsia="宋体" w:hAnsi="Times New Roman"/>
          <w:b/>
          <w:sz w:val="24"/>
        </w:rPr>
        <w:t>引言</w:t>
      </w:r>
    </w:p>
    <w:p w14:paraId="2B1FC0E6" w14:textId="77777777"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近年来，人类在应对多种病毒威胁方面投入了大量研究力量。根据世界卫生组织（</w:t>
      </w:r>
      <w:r w:rsidRPr="00870E3C">
        <w:rPr>
          <w:rFonts w:ascii="Times New Roman" w:eastAsia="宋体" w:hAnsi="Times New Roman"/>
          <w:sz w:val="24"/>
        </w:rPr>
        <w:t>WHO</w:t>
      </w:r>
      <w:r w:rsidRPr="00870E3C">
        <w:rPr>
          <w:rFonts w:ascii="Times New Roman" w:eastAsia="宋体" w:hAnsi="Times New Roman"/>
          <w:sz w:val="24"/>
        </w:rPr>
        <w:t>）发布的《</w:t>
      </w:r>
      <w:r w:rsidRPr="00870E3C">
        <w:rPr>
          <w:rFonts w:ascii="Times New Roman" w:eastAsia="宋体" w:hAnsi="Times New Roman"/>
          <w:sz w:val="24"/>
        </w:rPr>
        <w:t xml:space="preserve">2023 </w:t>
      </w:r>
      <w:r w:rsidRPr="00870E3C">
        <w:rPr>
          <w:rFonts w:ascii="Times New Roman" w:eastAsia="宋体" w:hAnsi="Times New Roman"/>
          <w:sz w:val="24"/>
        </w:rPr>
        <w:t>年世界卫生统计报告》，截至</w:t>
      </w:r>
      <w:r w:rsidRPr="00870E3C">
        <w:rPr>
          <w:rFonts w:ascii="Times New Roman" w:eastAsia="宋体" w:hAnsi="Times New Roman"/>
          <w:sz w:val="24"/>
        </w:rPr>
        <w:t xml:space="preserve"> 2023 </w:t>
      </w:r>
      <w:r w:rsidRPr="00870E3C">
        <w:rPr>
          <w:rFonts w:ascii="Times New Roman" w:eastAsia="宋体" w:hAnsi="Times New Roman"/>
          <w:sz w:val="24"/>
        </w:rPr>
        <w:t>年</w:t>
      </w:r>
      <w:r w:rsidRPr="00870E3C">
        <w:rPr>
          <w:rFonts w:ascii="Times New Roman" w:eastAsia="宋体" w:hAnsi="Times New Roman"/>
          <w:sz w:val="24"/>
        </w:rPr>
        <w:t xml:space="preserve"> 3 </w:t>
      </w:r>
      <w:r w:rsidRPr="00870E3C">
        <w:rPr>
          <w:rFonts w:ascii="Times New Roman" w:eastAsia="宋体" w:hAnsi="Times New Roman"/>
          <w:sz w:val="24"/>
        </w:rPr>
        <w:t>月</w:t>
      </w:r>
      <w:r w:rsidRPr="00870E3C">
        <w:rPr>
          <w:rFonts w:ascii="Times New Roman" w:eastAsia="宋体" w:hAnsi="Times New Roman"/>
          <w:sz w:val="24"/>
        </w:rPr>
        <w:t xml:space="preserve"> 11 </w:t>
      </w:r>
      <w:r w:rsidRPr="00870E3C">
        <w:rPr>
          <w:rFonts w:ascii="Times New Roman" w:eastAsia="宋体" w:hAnsi="Times New Roman"/>
          <w:sz w:val="24"/>
        </w:rPr>
        <w:t>日，全球累计报告新冠肺炎（</w:t>
      </w:r>
      <w:r w:rsidRPr="00870E3C">
        <w:rPr>
          <w:rFonts w:ascii="Times New Roman" w:eastAsia="宋体" w:hAnsi="Times New Roman"/>
          <w:sz w:val="24"/>
        </w:rPr>
        <w:t>COVID-19</w:t>
      </w:r>
      <w:r w:rsidRPr="00870E3C">
        <w:rPr>
          <w:rFonts w:ascii="Times New Roman" w:eastAsia="宋体" w:hAnsi="Times New Roman"/>
          <w:sz w:val="24"/>
        </w:rPr>
        <w:t>）确诊病例超过</w:t>
      </w:r>
      <w:r w:rsidRPr="00870E3C">
        <w:rPr>
          <w:rFonts w:ascii="Times New Roman" w:eastAsia="宋体" w:hAnsi="Times New Roman"/>
          <w:sz w:val="24"/>
        </w:rPr>
        <w:t xml:space="preserve"> 7.59 </w:t>
      </w:r>
      <w:r w:rsidRPr="00870E3C">
        <w:rPr>
          <w:rFonts w:ascii="Times New Roman" w:eastAsia="宋体" w:hAnsi="Times New Roman"/>
          <w:sz w:val="24"/>
        </w:rPr>
        <w:t>亿例，死亡病例接近</w:t>
      </w:r>
      <w:r w:rsidRPr="00870E3C">
        <w:rPr>
          <w:rFonts w:ascii="Times New Roman" w:eastAsia="宋体" w:hAnsi="Times New Roman"/>
          <w:sz w:val="24"/>
        </w:rPr>
        <w:t xml:space="preserve"> 690 </w:t>
      </w:r>
      <w:r w:rsidRPr="00870E3C">
        <w:rPr>
          <w:rFonts w:ascii="Times New Roman" w:eastAsia="宋体" w:hAnsi="Times New Roman"/>
          <w:sz w:val="24"/>
        </w:rPr>
        <w:t>万例。病毒性疾病由于其高度致病性以及对抗病毒药物的快速耐药性，给公共卫生系统带来了巨大挑战。现有抗病毒药物种类有限，且常伴随疗效不足、耐药性升高及不良副作用等问题。</w:t>
      </w:r>
    </w:p>
    <w:p w14:paraId="7C3804CD" w14:textId="77777777"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抗病毒肽（</w:t>
      </w:r>
      <w:r w:rsidRPr="00870E3C">
        <w:rPr>
          <w:rFonts w:ascii="Times New Roman" w:eastAsia="宋体" w:hAnsi="Times New Roman"/>
          <w:sz w:val="24"/>
        </w:rPr>
        <w:t>AVP</w:t>
      </w:r>
      <w:r w:rsidRPr="00870E3C">
        <w:rPr>
          <w:rFonts w:ascii="Times New Roman" w:eastAsia="宋体" w:hAnsi="Times New Roman"/>
          <w:sz w:val="24"/>
        </w:rPr>
        <w:t>）是一类具有抗病毒活性的抗菌肽（</w:t>
      </w:r>
      <w:r w:rsidRPr="00870E3C">
        <w:rPr>
          <w:rFonts w:ascii="Times New Roman" w:eastAsia="宋体" w:hAnsi="Times New Roman"/>
          <w:sz w:val="24"/>
        </w:rPr>
        <w:t>Antimicrobial Peptides, AMPs</w:t>
      </w:r>
      <w:r w:rsidRPr="00870E3C">
        <w:rPr>
          <w:rFonts w:ascii="Times New Roman" w:eastAsia="宋体" w:hAnsi="Times New Roman"/>
          <w:sz w:val="24"/>
        </w:rPr>
        <w:t>）。与传统抗病毒药物相比，</w:t>
      </w:r>
      <w:r w:rsidRPr="00870E3C">
        <w:rPr>
          <w:rFonts w:ascii="Times New Roman" w:eastAsia="宋体" w:hAnsi="Times New Roman"/>
          <w:sz w:val="24"/>
        </w:rPr>
        <w:t xml:space="preserve">AVPs </w:t>
      </w:r>
      <w:r w:rsidRPr="00870E3C">
        <w:rPr>
          <w:rFonts w:ascii="Times New Roman" w:eastAsia="宋体" w:hAnsi="Times New Roman"/>
          <w:sz w:val="24"/>
        </w:rPr>
        <w:t>不仅能够有效抑制新发及耐药病毒，而且具有天然可降解、低毒性等优势，更重要的是，其往往表现出广谱抗病毒活性。因此，抗病毒肽近年来被视为传统化学抗病毒药物的重要替代方案。</w:t>
      </w:r>
    </w:p>
    <w:p w14:paraId="57D748B1" w14:textId="77777777"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近年来，机器学习方法在生物医学大数据处理方面表现出强大能力，并已成功应用于多种生物活性肽预测任务，其中也包括抗病毒肽预测。早期的</w:t>
      </w:r>
      <w:r w:rsidRPr="00870E3C">
        <w:rPr>
          <w:rFonts w:ascii="Times New Roman" w:eastAsia="宋体" w:hAnsi="Times New Roman"/>
          <w:sz w:val="24"/>
        </w:rPr>
        <w:t xml:space="preserve"> AVPpred </w:t>
      </w:r>
      <w:r w:rsidRPr="00870E3C">
        <w:rPr>
          <w:rFonts w:ascii="Times New Roman" w:eastAsia="宋体" w:hAnsi="Times New Roman"/>
          <w:sz w:val="24"/>
        </w:rPr>
        <w:t>模型基于支持向量机（</w:t>
      </w:r>
      <w:r w:rsidRPr="00870E3C">
        <w:rPr>
          <w:rFonts w:ascii="Times New Roman" w:eastAsia="宋体" w:hAnsi="Times New Roman"/>
          <w:sz w:val="24"/>
        </w:rPr>
        <w:t>SVM</w:t>
      </w:r>
      <w:r w:rsidRPr="00870E3C">
        <w:rPr>
          <w:rFonts w:ascii="Times New Roman" w:eastAsia="宋体" w:hAnsi="Times New Roman"/>
          <w:sz w:val="24"/>
        </w:rPr>
        <w:t>）构建；随后，随机森林（</w:t>
      </w:r>
      <w:r w:rsidRPr="00870E3C">
        <w:rPr>
          <w:rFonts w:ascii="Times New Roman" w:eastAsia="宋体" w:hAnsi="Times New Roman"/>
          <w:sz w:val="24"/>
        </w:rPr>
        <w:t>RF</w:t>
      </w:r>
      <w:r w:rsidRPr="00870E3C">
        <w:rPr>
          <w:rFonts w:ascii="Times New Roman" w:eastAsia="宋体" w:hAnsi="Times New Roman"/>
          <w:sz w:val="24"/>
        </w:rPr>
        <w:t>）、多分类模型以及生成对抗网络（</w:t>
      </w:r>
      <w:r w:rsidRPr="00870E3C">
        <w:rPr>
          <w:rFonts w:ascii="Times New Roman" w:eastAsia="宋体" w:hAnsi="Times New Roman"/>
          <w:sz w:val="24"/>
        </w:rPr>
        <w:t>GAN</w:t>
      </w:r>
      <w:r w:rsidRPr="00870E3C">
        <w:rPr>
          <w:rFonts w:ascii="Times New Roman" w:eastAsia="宋体" w:hAnsi="Times New Roman"/>
          <w:sz w:val="24"/>
        </w:rPr>
        <w:t>）等方法相继被引入。近期研究进一步结合进化特征、词嵌入</w:t>
      </w:r>
      <w:r w:rsidRPr="00870E3C">
        <w:rPr>
          <w:rFonts w:ascii="Times New Roman" w:eastAsia="宋体" w:hAnsi="Times New Roman"/>
          <w:sz w:val="24"/>
        </w:rPr>
        <w:lastRenderedPageBreak/>
        <w:t>特征及深度堆叠模型，显著提升了预测性能。</w:t>
      </w:r>
    </w:p>
    <w:p w14:paraId="790C983F" w14:textId="77777777"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尽管如此，多数传统机器学习方法仍依赖人工设计特征。近年来，蛋白语言模型（</w:t>
      </w:r>
      <w:r w:rsidRPr="00870E3C">
        <w:rPr>
          <w:rFonts w:ascii="Times New Roman" w:eastAsia="宋体" w:hAnsi="Times New Roman"/>
          <w:sz w:val="24"/>
        </w:rPr>
        <w:t>protein Language Models, pLMs</w:t>
      </w:r>
      <w:r w:rsidRPr="00870E3C">
        <w:rPr>
          <w:rFonts w:ascii="Times New Roman" w:eastAsia="宋体" w:hAnsi="Times New Roman"/>
          <w:sz w:val="24"/>
        </w:rPr>
        <w:t>）逐渐成为预测</w:t>
      </w:r>
      <w:r w:rsidRPr="00870E3C">
        <w:rPr>
          <w:rFonts w:ascii="Times New Roman" w:eastAsia="宋体" w:hAnsi="Times New Roman"/>
          <w:sz w:val="24"/>
        </w:rPr>
        <w:t xml:space="preserve"> AVPs </w:t>
      </w:r>
      <w:r w:rsidRPr="00870E3C">
        <w:rPr>
          <w:rFonts w:ascii="Times New Roman" w:eastAsia="宋体" w:hAnsi="Times New Roman"/>
          <w:sz w:val="24"/>
        </w:rPr>
        <w:t>的新趋势，如基于</w:t>
      </w:r>
      <w:r w:rsidRPr="00870E3C">
        <w:rPr>
          <w:rFonts w:ascii="Times New Roman" w:eastAsia="宋体" w:hAnsi="Times New Roman"/>
          <w:sz w:val="24"/>
        </w:rPr>
        <w:t xml:space="preserve"> ESM </w:t>
      </w:r>
      <w:r w:rsidRPr="00870E3C">
        <w:rPr>
          <w:rFonts w:ascii="Times New Roman" w:eastAsia="宋体" w:hAnsi="Times New Roman"/>
          <w:sz w:val="24"/>
        </w:rPr>
        <w:t>或</w:t>
      </w:r>
      <w:r w:rsidRPr="00870E3C">
        <w:rPr>
          <w:rFonts w:ascii="Times New Roman" w:eastAsia="宋体" w:hAnsi="Times New Roman"/>
          <w:sz w:val="24"/>
        </w:rPr>
        <w:t xml:space="preserve"> ProtT5 </w:t>
      </w:r>
      <w:r w:rsidRPr="00870E3C">
        <w:rPr>
          <w:rFonts w:ascii="Times New Roman" w:eastAsia="宋体" w:hAnsi="Times New Roman"/>
          <w:sz w:val="24"/>
        </w:rPr>
        <w:t>的模型。然而，这类方法往往忽略了肽的二级结构信息，而已有研究表明，二级结构特征在</w:t>
      </w:r>
      <w:r w:rsidRPr="00870E3C">
        <w:rPr>
          <w:rFonts w:ascii="Times New Roman" w:eastAsia="宋体" w:hAnsi="Times New Roman"/>
          <w:sz w:val="24"/>
        </w:rPr>
        <w:t xml:space="preserve"> AVP </w:t>
      </w:r>
      <w:r w:rsidRPr="00870E3C">
        <w:rPr>
          <w:rFonts w:ascii="Times New Roman" w:eastAsia="宋体" w:hAnsi="Times New Roman"/>
          <w:sz w:val="24"/>
        </w:rPr>
        <w:t>预测中具有至关重要的作用。</w:t>
      </w:r>
    </w:p>
    <w:p w14:paraId="7339A2F1" w14:textId="77777777" w:rsid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为高效提取肽序列中的二级结构信息，本文提出</w:t>
      </w:r>
      <w:r w:rsidRPr="00870E3C">
        <w:rPr>
          <w:rFonts w:ascii="Times New Roman" w:eastAsia="宋体" w:hAnsi="Times New Roman"/>
          <w:sz w:val="24"/>
        </w:rPr>
        <w:t>“</w:t>
      </w:r>
      <w:r w:rsidRPr="00870E3C">
        <w:rPr>
          <w:rFonts w:ascii="Times New Roman" w:eastAsia="宋体" w:hAnsi="Times New Roman"/>
          <w:sz w:val="24"/>
        </w:rPr>
        <w:t>生物词（</w:t>
      </w:r>
      <w:r w:rsidRPr="00870E3C">
        <w:rPr>
          <w:rFonts w:ascii="Times New Roman" w:eastAsia="宋体" w:hAnsi="Times New Roman"/>
          <w:sz w:val="24"/>
        </w:rPr>
        <w:t>biological words</w:t>
      </w:r>
      <w:r w:rsidRPr="00870E3C">
        <w:rPr>
          <w:rFonts w:ascii="Times New Roman" w:eastAsia="宋体" w:hAnsi="Times New Roman"/>
          <w:sz w:val="24"/>
        </w:rPr>
        <w:t>）</w:t>
      </w:r>
      <w:r w:rsidRPr="00870E3C">
        <w:rPr>
          <w:rFonts w:ascii="Times New Roman" w:eastAsia="宋体" w:hAnsi="Times New Roman"/>
          <w:sz w:val="24"/>
        </w:rPr>
        <w:t>”</w:t>
      </w:r>
      <w:r w:rsidRPr="00870E3C">
        <w:rPr>
          <w:rFonts w:ascii="Times New Roman" w:eastAsia="宋体" w:hAnsi="Times New Roman"/>
          <w:sz w:val="24"/>
        </w:rPr>
        <w:t>的概念，并将其引入蛋白语言建模框架。考虑到小肽的二级结构主要由</w:t>
      </w:r>
      <w:r w:rsidRPr="00870E3C">
        <w:rPr>
          <w:rFonts w:ascii="Times New Roman" w:eastAsia="宋体" w:hAnsi="Times New Roman"/>
          <w:sz w:val="24"/>
        </w:rPr>
        <w:t xml:space="preserve"> α-</w:t>
      </w:r>
      <w:r w:rsidRPr="00870E3C">
        <w:rPr>
          <w:rFonts w:ascii="Times New Roman" w:eastAsia="宋体" w:hAnsi="Times New Roman"/>
          <w:sz w:val="24"/>
        </w:rPr>
        <w:t>螺旋和环结构构成，我们分别采用</w:t>
      </w:r>
      <w:r w:rsidRPr="00870E3C">
        <w:rPr>
          <w:rFonts w:ascii="Times New Roman" w:eastAsia="宋体" w:hAnsi="Times New Roman"/>
          <w:sz w:val="24"/>
        </w:rPr>
        <w:t xml:space="preserve"> 1mer </w:t>
      </w:r>
      <w:r w:rsidRPr="00870E3C">
        <w:rPr>
          <w:rFonts w:ascii="Times New Roman" w:eastAsia="宋体" w:hAnsi="Times New Roman"/>
          <w:sz w:val="24"/>
        </w:rPr>
        <w:t>与</w:t>
      </w:r>
      <w:r w:rsidRPr="00870E3C">
        <w:rPr>
          <w:rFonts w:ascii="Times New Roman" w:eastAsia="宋体" w:hAnsi="Times New Roman"/>
          <w:sz w:val="24"/>
        </w:rPr>
        <w:t xml:space="preserve"> 4mer </w:t>
      </w:r>
      <w:r w:rsidRPr="00870E3C">
        <w:rPr>
          <w:rFonts w:ascii="Times New Roman" w:eastAsia="宋体" w:hAnsi="Times New Roman"/>
          <w:sz w:val="24"/>
        </w:rPr>
        <w:t>对肽序列进行分词，并据此预训练蛋白语言模型。实验结果表明，该方法能够有效捕获关键序列信息，并在预测精度上显著优于现有模型。</w:t>
      </w:r>
    </w:p>
    <w:p w14:paraId="6ABD65FE" w14:textId="6A86D25A" w:rsidR="000C2859" w:rsidRPr="00870E3C" w:rsidRDefault="000C2859" w:rsidP="000C2859">
      <w:pPr>
        <w:spacing w:line="240" w:lineRule="atLeast"/>
        <w:ind w:firstLineChars="200" w:firstLine="480"/>
        <w:rPr>
          <w:rFonts w:ascii="Times New Roman" w:eastAsia="宋体" w:hAnsi="Times New Roman" w:hint="eastAsia"/>
          <w:sz w:val="24"/>
        </w:rPr>
      </w:pPr>
      <w:r w:rsidRPr="00074B66">
        <w:rPr>
          <w:rFonts w:ascii="Times New Roman" w:eastAsia="宋体" w:hAnsi="Times New Roman" w:cs="Times New Roman"/>
          <w:noProof/>
          <w:sz w:val="24"/>
          <w:szCs w:val="24"/>
        </w:rPr>
        <w:drawing>
          <wp:inline distT="0" distB="0" distL="0" distR="0" wp14:anchorId="5140C5B3" wp14:editId="7BEFC490">
            <wp:extent cx="5274310" cy="2966720"/>
            <wp:effectExtent l="0" t="0" r="2540" b="508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288E3FD8" w14:textId="031D8983" w:rsidR="00870E3C"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 xml:space="preserve">2 </w:t>
      </w:r>
      <w:r w:rsidRPr="00870E3C">
        <w:rPr>
          <w:rFonts w:ascii="Times New Roman" w:eastAsia="宋体" w:hAnsi="Times New Roman"/>
          <w:b/>
          <w:sz w:val="24"/>
        </w:rPr>
        <w:t>材料与方法</w:t>
      </w:r>
    </w:p>
    <w:p w14:paraId="208F69F5" w14:textId="31E1CC0C" w:rsidR="000C2859" w:rsidRPr="00870E3C" w:rsidRDefault="000C2859" w:rsidP="000C2859">
      <w:pPr>
        <w:spacing w:line="440" w:lineRule="exact"/>
        <w:ind w:firstLineChars="200" w:firstLine="480"/>
        <w:rPr>
          <w:rFonts w:ascii="Times New Roman" w:eastAsia="宋体" w:hAnsi="Times New Roman" w:hint="eastAsia"/>
          <w:sz w:val="24"/>
        </w:rPr>
      </w:pPr>
      <w:r w:rsidRPr="000C2859">
        <w:rPr>
          <w:rFonts w:ascii="Times New Roman" w:eastAsia="宋体" w:hAnsi="Times New Roman"/>
          <w:sz w:val="24"/>
        </w:rPr>
        <w:t>模型工作流程主要包括以下步骤：</w:t>
      </w:r>
      <w:r w:rsidRPr="000C2859">
        <w:rPr>
          <w:rFonts w:ascii="Times New Roman" w:eastAsia="宋体" w:hAnsi="Times New Roman"/>
          <w:sz w:val="24"/>
        </w:rPr>
        <w:t>(1)</w:t>
      </w:r>
      <w:r w:rsidRPr="000C2859">
        <w:rPr>
          <w:rFonts w:ascii="Times New Roman" w:eastAsia="宋体" w:hAnsi="Times New Roman"/>
          <w:sz w:val="24"/>
        </w:rPr>
        <w:t>构建抗病毒肽数据集，并将序列处理成固定长度。</w:t>
      </w:r>
      <w:r w:rsidRPr="000C2859">
        <w:rPr>
          <w:rFonts w:ascii="Times New Roman" w:eastAsia="宋体" w:hAnsi="Times New Roman"/>
          <w:sz w:val="24"/>
        </w:rPr>
        <w:t>(2)</w:t>
      </w:r>
      <w:r w:rsidRPr="000C2859">
        <w:rPr>
          <w:rFonts w:ascii="Times New Roman" w:eastAsia="宋体" w:hAnsi="Times New Roman"/>
          <w:sz w:val="24"/>
        </w:rPr>
        <w:t>特征表示：考虑到这些肽的二级结构主要为</w:t>
      </w:r>
      <w:r w:rsidRPr="000C2859">
        <w:rPr>
          <w:rFonts w:ascii="Times New Roman" w:eastAsia="宋体" w:hAnsi="Times New Roman"/>
          <w:sz w:val="24"/>
        </w:rPr>
        <w:t>α-</w:t>
      </w:r>
      <w:r w:rsidRPr="000C2859">
        <w:rPr>
          <w:rFonts w:ascii="Times New Roman" w:eastAsia="宋体" w:hAnsi="Times New Roman"/>
          <w:sz w:val="24"/>
        </w:rPr>
        <w:t>螺旋和</w:t>
      </w:r>
      <w:r w:rsidRPr="000C2859">
        <w:rPr>
          <w:rFonts w:ascii="Times New Roman" w:eastAsia="宋体" w:hAnsi="Times New Roman"/>
          <w:sz w:val="24"/>
        </w:rPr>
        <w:t>loop</w:t>
      </w:r>
      <w:r w:rsidRPr="000C2859">
        <w:rPr>
          <w:rFonts w:ascii="Times New Roman" w:eastAsia="宋体" w:hAnsi="Times New Roman"/>
          <w:sz w:val="24"/>
        </w:rPr>
        <w:t>环，将肽序列分别表示为四个残基作为一个单词，和一个残基作为一个单词的自然语言句子。然后将这些句子分别输入到两个</w:t>
      </w:r>
      <w:r w:rsidRPr="000C2859">
        <w:rPr>
          <w:rFonts w:ascii="Times New Roman" w:eastAsia="宋体" w:hAnsi="Times New Roman"/>
          <w:sz w:val="24"/>
        </w:rPr>
        <w:t>Word2Vec</w:t>
      </w:r>
      <w:r w:rsidRPr="000C2859">
        <w:rPr>
          <w:rFonts w:ascii="Times New Roman" w:eastAsia="宋体" w:hAnsi="Times New Roman"/>
          <w:sz w:val="24"/>
        </w:rPr>
        <w:t>预训练模型中，分别得到两个嵌入矩阵。</w:t>
      </w:r>
      <w:r w:rsidRPr="000C2859">
        <w:rPr>
          <w:rFonts w:ascii="Times New Roman" w:eastAsia="宋体" w:hAnsi="Times New Roman"/>
          <w:sz w:val="24"/>
        </w:rPr>
        <w:t>(3)</w:t>
      </w:r>
      <w:r w:rsidRPr="000C2859">
        <w:rPr>
          <w:rFonts w:ascii="Times New Roman" w:eastAsia="宋体" w:hAnsi="Times New Roman"/>
          <w:sz w:val="24"/>
        </w:rPr>
        <w:t>主要神经网络：为了进一步从这些数据中提取有意义的特征信息，将两个</w:t>
      </w:r>
      <w:r w:rsidRPr="000C2859">
        <w:rPr>
          <w:rFonts w:ascii="Times New Roman" w:eastAsia="宋体" w:hAnsi="Times New Roman"/>
          <w:sz w:val="24"/>
        </w:rPr>
        <w:t>Word2Vec</w:t>
      </w:r>
      <w:r w:rsidRPr="000C2859">
        <w:rPr>
          <w:rFonts w:ascii="Times New Roman" w:eastAsia="宋体" w:hAnsi="Times New Roman"/>
          <w:sz w:val="24"/>
        </w:rPr>
        <w:t>模型得到的嵌入矩阵信息馈送到两个网络通道中。第一个通道是一个混合神经网络，即由三层一维</w:t>
      </w:r>
      <w:r w:rsidRPr="000C2859">
        <w:rPr>
          <w:rFonts w:ascii="Times New Roman" w:eastAsia="宋体" w:hAnsi="Times New Roman"/>
          <w:sz w:val="24"/>
        </w:rPr>
        <w:t>CNN</w:t>
      </w:r>
      <w:r w:rsidRPr="000C2859">
        <w:rPr>
          <w:rFonts w:ascii="Times New Roman" w:eastAsia="宋体" w:hAnsi="Times New Roman"/>
          <w:sz w:val="24"/>
        </w:rPr>
        <w:t>和三层</w:t>
      </w:r>
      <w:r w:rsidRPr="000C2859">
        <w:rPr>
          <w:rFonts w:ascii="Times New Roman" w:eastAsia="宋体" w:hAnsi="Times New Roman"/>
          <w:sz w:val="24"/>
        </w:rPr>
        <w:t>Transformer</w:t>
      </w:r>
      <w:r w:rsidRPr="000C2859">
        <w:rPr>
          <w:rFonts w:ascii="Times New Roman" w:eastAsia="宋体" w:hAnsi="Times New Roman"/>
          <w:sz w:val="24"/>
        </w:rPr>
        <w:t>编码器层（在下一节中标记为</w:t>
      </w:r>
      <w:r w:rsidRPr="000C2859">
        <w:rPr>
          <w:rFonts w:ascii="Times New Roman" w:eastAsia="宋体" w:hAnsi="Times New Roman"/>
          <w:sz w:val="24"/>
        </w:rPr>
        <w:t>Transformer1</w:t>
      </w:r>
      <w:r w:rsidRPr="000C2859">
        <w:rPr>
          <w:rFonts w:ascii="Times New Roman" w:eastAsia="宋体" w:hAnsi="Times New Roman"/>
          <w:sz w:val="24"/>
        </w:rPr>
        <w:t>）组成。并对变压器编码器的输出进行了三层全连接层处理。第二个通道只是三层</w:t>
      </w:r>
      <w:r w:rsidRPr="000C2859">
        <w:rPr>
          <w:rFonts w:ascii="Times New Roman" w:eastAsia="宋体" w:hAnsi="Times New Roman"/>
          <w:sz w:val="24"/>
        </w:rPr>
        <w:t>Transformer</w:t>
      </w:r>
      <w:r w:rsidRPr="000C2859">
        <w:rPr>
          <w:rFonts w:ascii="Times New Roman" w:eastAsia="宋体" w:hAnsi="Times New Roman"/>
          <w:sz w:val="24"/>
        </w:rPr>
        <w:t>编码器层（在下一节中标记为</w:t>
      </w:r>
      <w:r w:rsidRPr="000C2859">
        <w:rPr>
          <w:rFonts w:ascii="Times New Roman" w:eastAsia="宋体" w:hAnsi="Times New Roman"/>
          <w:sz w:val="24"/>
        </w:rPr>
        <w:lastRenderedPageBreak/>
        <w:t>Transformer2</w:t>
      </w:r>
      <w:r w:rsidRPr="000C2859">
        <w:rPr>
          <w:rFonts w:ascii="Times New Roman" w:eastAsia="宋体" w:hAnsi="Times New Roman"/>
          <w:sz w:val="24"/>
        </w:rPr>
        <w:t>）。</w:t>
      </w:r>
      <w:r w:rsidRPr="000C2859">
        <w:rPr>
          <w:rFonts w:ascii="Times New Roman" w:eastAsia="宋体" w:hAnsi="Times New Roman"/>
          <w:sz w:val="24"/>
        </w:rPr>
        <w:t>(4)</w:t>
      </w:r>
      <w:r w:rsidRPr="000C2859">
        <w:rPr>
          <w:rFonts w:ascii="Times New Roman" w:eastAsia="宋体" w:hAnsi="Times New Roman"/>
          <w:sz w:val="24"/>
        </w:rPr>
        <w:t>预测：将从主要神经网络的两个通道中提取的特征进行拼接，然后输入到全连接网络中，得出最终的预测概率，</w:t>
      </w:r>
      <w:r w:rsidRPr="000C2859">
        <w:rPr>
          <w:rFonts w:ascii="Times New Roman" w:eastAsia="宋体" w:hAnsi="Times New Roman" w:hint="eastAsia"/>
          <w:sz w:val="24"/>
        </w:rPr>
        <w:t>如图所示</w:t>
      </w:r>
      <w:r w:rsidRPr="000C2859">
        <w:rPr>
          <w:rFonts w:ascii="Times New Roman" w:eastAsia="宋体" w:hAnsi="Times New Roman"/>
          <w:sz w:val="24"/>
        </w:rPr>
        <w:t>。</w:t>
      </w:r>
    </w:p>
    <w:p w14:paraId="74341A2E" w14:textId="1F310FA7" w:rsidR="00870E3C" w:rsidRPr="00870E3C"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 xml:space="preserve">2.1 </w:t>
      </w:r>
      <w:r w:rsidRPr="00870E3C">
        <w:rPr>
          <w:rFonts w:ascii="Times New Roman" w:eastAsia="宋体" w:hAnsi="Times New Roman"/>
          <w:b/>
          <w:sz w:val="24"/>
        </w:rPr>
        <w:t>数据集</w:t>
      </w:r>
    </w:p>
    <w:p w14:paraId="18CEF873" w14:textId="6E312AA3" w:rsidR="003C63AF" w:rsidRPr="00870E3C" w:rsidRDefault="00870E3C" w:rsidP="000C2859">
      <w:pPr>
        <w:spacing w:line="440" w:lineRule="exact"/>
        <w:ind w:firstLineChars="200" w:firstLine="480"/>
        <w:rPr>
          <w:rFonts w:ascii="Times New Roman" w:eastAsia="宋体" w:hAnsi="Times New Roman" w:hint="eastAsia"/>
          <w:sz w:val="24"/>
        </w:rPr>
      </w:pPr>
      <w:r w:rsidRPr="00870E3C">
        <w:rPr>
          <w:rFonts w:ascii="Times New Roman" w:eastAsia="宋体" w:hAnsi="Times New Roman"/>
          <w:sz w:val="24"/>
        </w:rPr>
        <w:t>本文采用</w:t>
      </w:r>
      <w:r w:rsidRPr="00870E3C">
        <w:rPr>
          <w:rFonts w:ascii="Times New Roman" w:eastAsia="宋体" w:hAnsi="Times New Roman"/>
          <w:sz w:val="24"/>
        </w:rPr>
        <w:t>Pinacho-Castellanos</w:t>
      </w:r>
      <w:r w:rsidRPr="00870E3C">
        <w:rPr>
          <w:rFonts w:ascii="Times New Roman" w:eastAsia="宋体" w:hAnsi="Times New Roman"/>
          <w:sz w:val="24"/>
        </w:rPr>
        <w:t>等人构建的、目前规模最大的实验验证非冗余肽数据集，以保证公平比较。正样本来自</w:t>
      </w:r>
      <w:r w:rsidRPr="00870E3C">
        <w:rPr>
          <w:rFonts w:ascii="Times New Roman" w:eastAsia="宋体" w:hAnsi="Times New Roman"/>
          <w:sz w:val="24"/>
        </w:rPr>
        <w:t xml:space="preserve"> starPepDB </w:t>
      </w:r>
      <w:r w:rsidRPr="00870E3C">
        <w:rPr>
          <w:rFonts w:ascii="Times New Roman" w:eastAsia="宋体" w:hAnsi="Times New Roman"/>
          <w:sz w:val="24"/>
        </w:rPr>
        <w:t>中的抗病毒肽，经筛选后最终获得</w:t>
      </w:r>
      <w:r w:rsidRPr="00870E3C">
        <w:rPr>
          <w:rFonts w:ascii="Times New Roman" w:eastAsia="宋体" w:hAnsi="Times New Roman"/>
          <w:sz w:val="24"/>
        </w:rPr>
        <w:t xml:space="preserve"> 2944 </w:t>
      </w:r>
      <w:r w:rsidRPr="00870E3C">
        <w:rPr>
          <w:rFonts w:ascii="Times New Roman" w:eastAsia="宋体" w:hAnsi="Times New Roman"/>
          <w:sz w:val="24"/>
        </w:rPr>
        <w:t>条</w:t>
      </w:r>
      <w:r w:rsidRPr="00870E3C">
        <w:rPr>
          <w:rFonts w:ascii="Times New Roman" w:eastAsia="宋体" w:hAnsi="Times New Roman"/>
          <w:sz w:val="24"/>
        </w:rPr>
        <w:t xml:space="preserve"> AVPs</w:t>
      </w:r>
      <w:r w:rsidRPr="00870E3C">
        <w:rPr>
          <w:rFonts w:ascii="Times New Roman" w:eastAsia="宋体" w:hAnsi="Times New Roman"/>
          <w:sz w:val="24"/>
        </w:rPr>
        <w:t>。负样本从</w:t>
      </w:r>
      <w:r w:rsidRPr="00870E3C">
        <w:rPr>
          <w:rFonts w:ascii="Times New Roman" w:eastAsia="宋体" w:hAnsi="Times New Roman"/>
          <w:sz w:val="24"/>
        </w:rPr>
        <w:t xml:space="preserve"> UniProt </w:t>
      </w:r>
      <w:r w:rsidRPr="00870E3C">
        <w:rPr>
          <w:rFonts w:ascii="Times New Roman" w:eastAsia="宋体" w:hAnsi="Times New Roman"/>
          <w:sz w:val="24"/>
        </w:rPr>
        <w:t>数据库中筛选得到，并通过</w:t>
      </w:r>
      <w:r w:rsidRPr="00870E3C">
        <w:rPr>
          <w:rFonts w:ascii="Times New Roman" w:eastAsia="宋体" w:hAnsi="Times New Roman"/>
          <w:sz w:val="24"/>
        </w:rPr>
        <w:t xml:space="preserve"> CD-HIT </w:t>
      </w:r>
      <w:r w:rsidRPr="00870E3C">
        <w:rPr>
          <w:rFonts w:ascii="Times New Roman" w:eastAsia="宋体" w:hAnsi="Times New Roman"/>
          <w:sz w:val="24"/>
        </w:rPr>
        <w:t>去冗余处理后随机选取</w:t>
      </w:r>
      <w:r w:rsidRPr="00870E3C">
        <w:rPr>
          <w:rFonts w:ascii="Times New Roman" w:eastAsia="宋体" w:hAnsi="Times New Roman"/>
          <w:sz w:val="24"/>
        </w:rPr>
        <w:t xml:space="preserve"> 2944 </w:t>
      </w:r>
      <w:r w:rsidRPr="00870E3C">
        <w:rPr>
          <w:rFonts w:ascii="Times New Roman" w:eastAsia="宋体" w:hAnsi="Times New Roman"/>
          <w:sz w:val="24"/>
        </w:rPr>
        <w:t>条。最终数据集包含</w:t>
      </w:r>
      <w:r w:rsidRPr="00870E3C">
        <w:rPr>
          <w:rFonts w:ascii="Times New Roman" w:eastAsia="宋体" w:hAnsi="Times New Roman"/>
          <w:sz w:val="24"/>
        </w:rPr>
        <w:t xml:space="preserve"> 5888 </w:t>
      </w:r>
      <w:r w:rsidRPr="00870E3C">
        <w:rPr>
          <w:rFonts w:ascii="Times New Roman" w:eastAsia="宋体" w:hAnsi="Times New Roman"/>
          <w:sz w:val="24"/>
        </w:rPr>
        <w:t>条样本，其中</w:t>
      </w:r>
      <w:r w:rsidRPr="00870E3C">
        <w:rPr>
          <w:rFonts w:ascii="Times New Roman" w:eastAsia="宋体" w:hAnsi="Times New Roman"/>
          <w:sz w:val="24"/>
        </w:rPr>
        <w:t xml:space="preserve"> 80% </w:t>
      </w:r>
      <w:r w:rsidRPr="00870E3C">
        <w:rPr>
          <w:rFonts w:ascii="Times New Roman" w:eastAsia="宋体" w:hAnsi="Times New Roman"/>
          <w:sz w:val="24"/>
        </w:rPr>
        <w:t>用于训练，其余作为独立测试集。</w:t>
      </w:r>
    </w:p>
    <w:p w14:paraId="7A152EB2" w14:textId="2D77F650" w:rsidR="00870E3C" w:rsidRPr="00870E3C"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 xml:space="preserve">2.2 </w:t>
      </w:r>
      <w:r w:rsidRPr="00870E3C">
        <w:rPr>
          <w:rFonts w:ascii="Times New Roman" w:eastAsia="宋体" w:hAnsi="Times New Roman"/>
          <w:b/>
          <w:sz w:val="24"/>
        </w:rPr>
        <w:t>基于</w:t>
      </w:r>
      <w:r w:rsidR="000C2859">
        <w:rPr>
          <w:rFonts w:ascii="Times New Roman" w:eastAsia="宋体" w:hAnsi="Times New Roman" w:hint="eastAsia"/>
          <w:b/>
          <w:sz w:val="24"/>
        </w:rPr>
        <w:t>预训练</w:t>
      </w:r>
      <w:r w:rsidRPr="00870E3C">
        <w:rPr>
          <w:rFonts w:ascii="Times New Roman" w:eastAsia="宋体" w:hAnsi="Times New Roman"/>
          <w:b/>
          <w:sz w:val="24"/>
        </w:rPr>
        <w:t xml:space="preserve">Word2Vec </w:t>
      </w:r>
      <w:r w:rsidRPr="00870E3C">
        <w:rPr>
          <w:rFonts w:ascii="Times New Roman" w:eastAsia="宋体" w:hAnsi="Times New Roman"/>
          <w:b/>
          <w:sz w:val="24"/>
        </w:rPr>
        <w:t>的生物词表示</w:t>
      </w:r>
    </w:p>
    <w:p w14:paraId="19AD657E" w14:textId="77777777"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鉴于大多数抗病毒肽主要由</w:t>
      </w:r>
      <w:r w:rsidRPr="00870E3C">
        <w:rPr>
          <w:rFonts w:ascii="Times New Roman" w:eastAsia="宋体" w:hAnsi="Times New Roman"/>
          <w:sz w:val="24"/>
        </w:rPr>
        <w:t xml:space="preserve"> α-</w:t>
      </w:r>
      <w:r w:rsidRPr="00870E3C">
        <w:rPr>
          <w:rFonts w:ascii="Times New Roman" w:eastAsia="宋体" w:hAnsi="Times New Roman"/>
          <w:sz w:val="24"/>
        </w:rPr>
        <w:t>螺旋和环结构组成，本文将肽序列分别划分为</w:t>
      </w:r>
      <w:r w:rsidRPr="00870E3C">
        <w:rPr>
          <w:rFonts w:ascii="Times New Roman" w:eastAsia="宋体" w:hAnsi="Times New Roman"/>
          <w:sz w:val="24"/>
        </w:rPr>
        <w:t xml:space="preserve"> 4mer </w:t>
      </w:r>
      <w:r w:rsidRPr="00870E3C">
        <w:rPr>
          <w:rFonts w:ascii="Times New Roman" w:eastAsia="宋体" w:hAnsi="Times New Roman"/>
          <w:sz w:val="24"/>
        </w:rPr>
        <w:t>与</w:t>
      </w:r>
      <w:r w:rsidRPr="00870E3C">
        <w:rPr>
          <w:rFonts w:ascii="Times New Roman" w:eastAsia="宋体" w:hAnsi="Times New Roman"/>
          <w:sz w:val="24"/>
        </w:rPr>
        <w:t xml:space="preserve"> 1mer </w:t>
      </w:r>
      <w:r w:rsidRPr="00870E3C">
        <w:rPr>
          <w:rFonts w:ascii="Times New Roman" w:eastAsia="宋体" w:hAnsi="Times New Roman"/>
          <w:sz w:val="24"/>
        </w:rPr>
        <w:t>生物词。</w:t>
      </w:r>
      <w:r w:rsidRPr="00870E3C">
        <w:rPr>
          <w:rFonts w:ascii="Times New Roman" w:eastAsia="宋体" w:hAnsi="Times New Roman"/>
          <w:sz w:val="24"/>
        </w:rPr>
        <w:t>α-</w:t>
      </w:r>
      <w:r w:rsidRPr="00870E3C">
        <w:rPr>
          <w:rFonts w:ascii="Times New Roman" w:eastAsia="宋体" w:hAnsi="Times New Roman"/>
          <w:sz w:val="24"/>
        </w:rPr>
        <w:t>螺旋沿主轴每约</w:t>
      </w:r>
      <w:r w:rsidRPr="00870E3C">
        <w:rPr>
          <w:rFonts w:ascii="Times New Roman" w:eastAsia="宋体" w:hAnsi="Times New Roman"/>
          <w:sz w:val="24"/>
        </w:rPr>
        <w:t xml:space="preserve"> 3.7 </w:t>
      </w:r>
      <w:r w:rsidRPr="00870E3C">
        <w:rPr>
          <w:rFonts w:ascii="Times New Roman" w:eastAsia="宋体" w:hAnsi="Times New Roman"/>
          <w:sz w:val="24"/>
        </w:rPr>
        <w:t>个残基上升一次，因此连续四个残基能够较好表征其结构特征。借鉴自然语言处理中多粒度建模的思想，不同尺度的</w:t>
      </w:r>
      <w:r w:rsidRPr="00870E3C">
        <w:rPr>
          <w:rFonts w:ascii="Times New Roman" w:eastAsia="宋体" w:hAnsi="Times New Roman"/>
          <w:sz w:val="24"/>
        </w:rPr>
        <w:t>“</w:t>
      </w:r>
      <w:r w:rsidRPr="00870E3C">
        <w:rPr>
          <w:rFonts w:ascii="Times New Roman" w:eastAsia="宋体" w:hAnsi="Times New Roman"/>
          <w:sz w:val="24"/>
        </w:rPr>
        <w:t>词</w:t>
      </w:r>
      <w:r w:rsidRPr="00870E3C">
        <w:rPr>
          <w:rFonts w:ascii="Times New Roman" w:eastAsia="宋体" w:hAnsi="Times New Roman"/>
          <w:sz w:val="24"/>
        </w:rPr>
        <w:t>”</w:t>
      </w:r>
      <w:r w:rsidRPr="00870E3C">
        <w:rPr>
          <w:rFonts w:ascii="Times New Roman" w:eastAsia="宋体" w:hAnsi="Times New Roman"/>
          <w:sz w:val="24"/>
        </w:rPr>
        <w:t>有助于捕获更丰富的语义信息。</w:t>
      </w:r>
    </w:p>
    <w:p w14:paraId="2C1B4BF2" w14:textId="77777777"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在获得生物词序列后，采用</w:t>
      </w:r>
      <w:r w:rsidRPr="00870E3C">
        <w:rPr>
          <w:rFonts w:ascii="Times New Roman" w:eastAsia="宋体" w:hAnsi="Times New Roman"/>
          <w:sz w:val="24"/>
        </w:rPr>
        <w:t xml:space="preserve"> Word2Vec </w:t>
      </w:r>
      <w:r w:rsidRPr="00870E3C">
        <w:rPr>
          <w:rFonts w:ascii="Times New Roman" w:eastAsia="宋体" w:hAnsi="Times New Roman"/>
          <w:sz w:val="24"/>
        </w:rPr>
        <w:t>模型生成词嵌入向量。本文选用连续词袋模型（</w:t>
      </w:r>
      <w:r w:rsidRPr="00870E3C">
        <w:rPr>
          <w:rFonts w:ascii="Times New Roman" w:eastAsia="宋体" w:hAnsi="Times New Roman"/>
          <w:sz w:val="24"/>
        </w:rPr>
        <w:t>CBOW</w:t>
      </w:r>
      <w:r w:rsidRPr="00870E3C">
        <w:rPr>
          <w:rFonts w:ascii="Times New Roman" w:eastAsia="宋体" w:hAnsi="Times New Roman"/>
          <w:sz w:val="24"/>
        </w:rPr>
        <w:t>），其目标函数如下所示：</w:t>
      </w:r>
    </w:p>
    <w:p w14:paraId="75102B60" w14:textId="0815DBC8" w:rsidR="000C2859" w:rsidRDefault="000C2859" w:rsidP="000C2859">
      <w:pPr>
        <w:spacing w:line="440" w:lineRule="exact"/>
        <w:ind w:firstLineChars="200" w:firstLine="420"/>
        <w:rPr>
          <w:rFonts w:hint="eastAsia"/>
        </w:rPr>
      </w:pPr>
      <w:r>
        <w:t xml:space="preserve">     </w:t>
      </w:r>
      <m:oMath>
        <m:r>
          <w:rPr>
            <w:rFonts w:ascii="Cambria Math" w:hAnsi="Cambria Math"/>
          </w:rPr>
          <m:t>Z</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func>
              <m:funcPr>
                <m:ctrlPr>
                  <w:rPr>
                    <w:rFonts w:ascii="Cambria Math" w:hAnsi="Cambria Math"/>
                  </w:rPr>
                </m:ctrlPr>
              </m:funcPr>
              <m:fName>
                <m:r>
                  <w:rPr>
                    <w:rFonts w:ascii="Cambria Math" w:hAnsi="Cambria Math"/>
                  </w:rPr>
                  <m:t>log</m:t>
                </m:r>
              </m:fNa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e>
            </m:func>
          </m:e>
        </m:nary>
      </m:oMath>
      <w:r>
        <w:t xml:space="preserve">   </w:t>
      </w:r>
    </w:p>
    <w:p w14:paraId="739A2FF3" w14:textId="77777777" w:rsidR="00870E3C" w:rsidRPr="00870E3C"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 xml:space="preserve">3 </w:t>
      </w:r>
      <w:r w:rsidRPr="00870E3C">
        <w:rPr>
          <w:rFonts w:ascii="Times New Roman" w:eastAsia="宋体" w:hAnsi="Times New Roman"/>
          <w:b/>
          <w:sz w:val="24"/>
        </w:rPr>
        <w:t>结果（</w:t>
      </w:r>
      <w:r w:rsidRPr="00870E3C">
        <w:rPr>
          <w:rFonts w:ascii="Times New Roman" w:eastAsia="宋体" w:hAnsi="Times New Roman"/>
          <w:b/>
          <w:sz w:val="24"/>
        </w:rPr>
        <w:t>Results</w:t>
      </w:r>
      <w:r w:rsidRPr="00870E3C">
        <w:rPr>
          <w:rFonts w:ascii="Times New Roman" w:eastAsia="宋体" w:hAnsi="Times New Roman"/>
          <w:b/>
          <w:sz w:val="24"/>
        </w:rPr>
        <w:t>）</w:t>
      </w:r>
    </w:p>
    <w:p w14:paraId="45A5B744" w14:textId="63383E64" w:rsidR="00870E3C" w:rsidRPr="00870E3C"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3.</w:t>
      </w:r>
      <w:r w:rsidR="000C2859">
        <w:rPr>
          <w:rFonts w:ascii="Times New Roman" w:eastAsia="宋体" w:hAnsi="Times New Roman" w:hint="eastAsia"/>
          <w:b/>
          <w:sz w:val="24"/>
        </w:rPr>
        <w:t>1</w:t>
      </w:r>
      <w:r w:rsidRPr="00870E3C">
        <w:rPr>
          <w:rFonts w:ascii="Times New Roman" w:eastAsia="宋体" w:hAnsi="Times New Roman"/>
          <w:b/>
          <w:sz w:val="24"/>
        </w:rPr>
        <w:t xml:space="preserve"> </w:t>
      </w:r>
      <w:r w:rsidRPr="00870E3C">
        <w:rPr>
          <w:rFonts w:ascii="Times New Roman" w:eastAsia="宋体" w:hAnsi="Times New Roman"/>
          <w:b/>
          <w:sz w:val="24"/>
        </w:rPr>
        <w:t>与现有方法的比较</w:t>
      </w:r>
    </w:p>
    <w:p w14:paraId="173B57A0" w14:textId="61EDEB79" w:rsidR="000C2859" w:rsidRPr="00870E3C" w:rsidRDefault="00870E3C" w:rsidP="000C2859">
      <w:pPr>
        <w:spacing w:line="440" w:lineRule="exact"/>
        <w:ind w:firstLineChars="200" w:firstLine="480"/>
        <w:rPr>
          <w:rFonts w:ascii="Times New Roman" w:eastAsia="宋体" w:hAnsi="Times New Roman" w:hint="eastAsia"/>
          <w:sz w:val="24"/>
        </w:rPr>
      </w:pPr>
      <w:r w:rsidRPr="00870E3C">
        <w:rPr>
          <w:rFonts w:ascii="Times New Roman" w:eastAsia="宋体" w:hAnsi="Times New Roman"/>
          <w:sz w:val="24"/>
        </w:rPr>
        <w:t>在独立测试集及三个外部测试集上，</w:t>
      </w:r>
      <w:r w:rsidR="003C63AF">
        <w:rPr>
          <w:rFonts w:ascii="Times New Roman" w:eastAsia="宋体" w:hAnsi="Times New Roman"/>
          <w:sz w:val="24"/>
        </w:rPr>
        <w:t>PWR</w:t>
      </w:r>
      <w:r w:rsidRPr="00870E3C">
        <w:rPr>
          <w:rFonts w:ascii="Times New Roman" w:eastAsia="宋体" w:hAnsi="Times New Roman"/>
          <w:sz w:val="24"/>
        </w:rPr>
        <w:t>均显著优于当前主流方法，如</w:t>
      </w:r>
      <w:r w:rsidRPr="00870E3C">
        <w:rPr>
          <w:rFonts w:ascii="Times New Roman" w:eastAsia="宋体" w:hAnsi="Times New Roman"/>
          <w:sz w:val="24"/>
        </w:rPr>
        <w:t xml:space="preserve"> UniDL4BioPep</w:t>
      </w:r>
      <w:r w:rsidRPr="00870E3C">
        <w:rPr>
          <w:rFonts w:ascii="Times New Roman" w:eastAsia="宋体" w:hAnsi="Times New Roman"/>
          <w:sz w:val="24"/>
        </w:rPr>
        <w:t>、</w:t>
      </w:r>
      <w:r w:rsidRPr="00870E3C">
        <w:rPr>
          <w:rFonts w:ascii="Times New Roman" w:eastAsia="宋体" w:hAnsi="Times New Roman"/>
          <w:sz w:val="24"/>
        </w:rPr>
        <w:t>AI4AVP</w:t>
      </w:r>
      <w:r w:rsidRPr="00870E3C">
        <w:rPr>
          <w:rFonts w:ascii="Times New Roman" w:eastAsia="宋体" w:hAnsi="Times New Roman"/>
          <w:sz w:val="24"/>
        </w:rPr>
        <w:t>、</w:t>
      </w:r>
      <w:r w:rsidRPr="00870E3C">
        <w:rPr>
          <w:rFonts w:ascii="Times New Roman" w:eastAsia="宋体" w:hAnsi="Times New Roman"/>
          <w:sz w:val="24"/>
        </w:rPr>
        <w:t xml:space="preserve">AVP-IFT </w:t>
      </w:r>
      <w:r w:rsidRPr="00870E3C">
        <w:rPr>
          <w:rFonts w:ascii="Times New Roman" w:eastAsia="宋体" w:hAnsi="Times New Roman"/>
          <w:sz w:val="24"/>
        </w:rPr>
        <w:t>等，表现出更强的鲁棒性与泛化能力。</w:t>
      </w:r>
    </w:p>
    <w:tbl>
      <w:tblPr>
        <w:tblW w:w="7140" w:type="dxa"/>
        <w:tblLook w:val="04A0" w:firstRow="1" w:lastRow="0" w:firstColumn="1" w:lastColumn="0" w:noHBand="0" w:noVBand="1"/>
      </w:tblPr>
      <w:tblGrid>
        <w:gridCol w:w="2340"/>
        <w:gridCol w:w="900"/>
        <w:gridCol w:w="990"/>
        <w:gridCol w:w="990"/>
        <w:gridCol w:w="990"/>
        <w:gridCol w:w="930"/>
      </w:tblGrid>
      <w:tr w:rsidR="000C2859" w:rsidRPr="00D448F5" w14:paraId="7A2F167B" w14:textId="77777777" w:rsidTr="00381437">
        <w:trPr>
          <w:trHeight w:val="330"/>
        </w:trPr>
        <w:tc>
          <w:tcPr>
            <w:tcW w:w="2340" w:type="dxa"/>
            <w:tcBorders>
              <w:top w:val="single" w:sz="8" w:space="0" w:color="000000"/>
              <w:left w:val="nil"/>
              <w:bottom w:val="single" w:sz="8" w:space="0" w:color="000000"/>
            </w:tcBorders>
            <w:shd w:val="clear" w:color="auto" w:fill="auto"/>
            <w:hideMark/>
          </w:tcPr>
          <w:p w14:paraId="3C2EEBC7" w14:textId="77777777" w:rsidR="000C2859" w:rsidRPr="003B6EC0" w:rsidRDefault="000C2859" w:rsidP="00381437">
            <w:pPr>
              <w:widowControl/>
              <w:rPr>
                <w:rFonts w:ascii="Times New Roman" w:eastAsia="宋体" w:hAnsi="Times New Roman" w:cs="Times New Roman"/>
                <w:color w:val="000000"/>
                <w:kern w:val="0"/>
                <w:sz w:val="24"/>
                <w:szCs w:val="24"/>
                <w:vertAlign w:val="superscript"/>
              </w:rPr>
            </w:pPr>
            <w:r w:rsidRPr="00D448F5">
              <w:rPr>
                <w:rFonts w:ascii="Times New Roman" w:eastAsia="宋体" w:hAnsi="Times New Roman" w:cs="Times New Roman"/>
                <w:color w:val="000000"/>
                <w:kern w:val="0"/>
                <w:sz w:val="24"/>
                <w:szCs w:val="24"/>
              </w:rPr>
              <w:t>Models</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color w:val="000000"/>
                <w:kern w:val="0"/>
                <w:sz w:val="24"/>
                <w:szCs w:val="24"/>
                <w:vertAlign w:val="superscript"/>
              </w:rPr>
              <w:t>a</w:t>
            </w:r>
          </w:p>
        </w:tc>
        <w:tc>
          <w:tcPr>
            <w:tcW w:w="900" w:type="dxa"/>
            <w:tcBorders>
              <w:top w:val="single" w:sz="8" w:space="0" w:color="000000"/>
              <w:bottom w:val="single" w:sz="8" w:space="0" w:color="000000"/>
            </w:tcBorders>
            <w:shd w:val="clear" w:color="auto" w:fill="auto"/>
            <w:hideMark/>
          </w:tcPr>
          <w:p w14:paraId="6F17FF71"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ACC</w:t>
            </w:r>
          </w:p>
        </w:tc>
        <w:tc>
          <w:tcPr>
            <w:tcW w:w="990" w:type="dxa"/>
            <w:tcBorders>
              <w:top w:val="single" w:sz="8" w:space="0" w:color="000000"/>
              <w:bottom w:val="single" w:sz="8" w:space="0" w:color="000000"/>
            </w:tcBorders>
            <w:shd w:val="clear" w:color="auto" w:fill="auto"/>
            <w:hideMark/>
          </w:tcPr>
          <w:p w14:paraId="06AF7D34"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SN</w:t>
            </w:r>
          </w:p>
        </w:tc>
        <w:tc>
          <w:tcPr>
            <w:tcW w:w="990" w:type="dxa"/>
            <w:tcBorders>
              <w:top w:val="single" w:sz="8" w:space="0" w:color="000000"/>
              <w:bottom w:val="single" w:sz="8" w:space="0" w:color="000000"/>
            </w:tcBorders>
            <w:shd w:val="clear" w:color="auto" w:fill="auto"/>
            <w:hideMark/>
          </w:tcPr>
          <w:p w14:paraId="1562DDC7"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SP</w:t>
            </w:r>
          </w:p>
        </w:tc>
        <w:tc>
          <w:tcPr>
            <w:tcW w:w="990" w:type="dxa"/>
            <w:tcBorders>
              <w:top w:val="single" w:sz="8" w:space="0" w:color="000000"/>
              <w:bottom w:val="single" w:sz="8" w:space="0" w:color="000000"/>
            </w:tcBorders>
            <w:shd w:val="clear" w:color="auto" w:fill="auto"/>
            <w:hideMark/>
          </w:tcPr>
          <w:p w14:paraId="0CE2E361"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MCC</w:t>
            </w:r>
          </w:p>
        </w:tc>
        <w:tc>
          <w:tcPr>
            <w:tcW w:w="930" w:type="dxa"/>
            <w:tcBorders>
              <w:top w:val="single" w:sz="8" w:space="0" w:color="000000"/>
              <w:bottom w:val="single" w:sz="8" w:space="0" w:color="000000"/>
              <w:right w:val="nil"/>
            </w:tcBorders>
            <w:shd w:val="clear" w:color="auto" w:fill="auto"/>
            <w:hideMark/>
          </w:tcPr>
          <w:p w14:paraId="7739A9AC" w14:textId="77777777" w:rsidR="000C2859" w:rsidRPr="003B6EC0" w:rsidRDefault="000C2859" w:rsidP="00381437">
            <w:pPr>
              <w:widowControl/>
              <w:rPr>
                <w:rFonts w:ascii="Times New Roman" w:eastAsia="宋体" w:hAnsi="Times New Roman" w:cs="Times New Roman"/>
                <w:color w:val="000000"/>
                <w:kern w:val="0"/>
                <w:sz w:val="24"/>
                <w:szCs w:val="24"/>
                <w:vertAlign w:val="superscript"/>
              </w:rPr>
            </w:pPr>
            <w:r w:rsidRPr="00D448F5">
              <w:rPr>
                <w:rFonts w:ascii="Times New Roman" w:eastAsia="宋体" w:hAnsi="Times New Roman" w:cs="Times New Roman"/>
                <w:color w:val="000000"/>
                <w:kern w:val="0"/>
                <w:sz w:val="24"/>
                <w:szCs w:val="24"/>
              </w:rPr>
              <w:t>AUC</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color w:val="000000"/>
                <w:kern w:val="0"/>
                <w:sz w:val="24"/>
                <w:szCs w:val="24"/>
                <w:vertAlign w:val="superscript"/>
              </w:rPr>
              <w:t>b</w:t>
            </w:r>
          </w:p>
        </w:tc>
      </w:tr>
      <w:tr w:rsidR="000C2859" w:rsidRPr="00D448F5" w14:paraId="4AFD03E1" w14:textId="77777777" w:rsidTr="00381437">
        <w:trPr>
          <w:trHeight w:val="315"/>
        </w:trPr>
        <w:tc>
          <w:tcPr>
            <w:tcW w:w="2340" w:type="dxa"/>
            <w:tcBorders>
              <w:top w:val="nil"/>
              <w:left w:val="nil"/>
              <w:bottom w:val="nil"/>
            </w:tcBorders>
            <w:shd w:val="clear" w:color="auto" w:fill="auto"/>
            <w:hideMark/>
          </w:tcPr>
          <w:p w14:paraId="7B7E5535"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UniDL4BioPep</w:t>
            </w:r>
          </w:p>
        </w:tc>
        <w:tc>
          <w:tcPr>
            <w:tcW w:w="900" w:type="dxa"/>
            <w:tcBorders>
              <w:top w:val="nil"/>
              <w:bottom w:val="nil"/>
            </w:tcBorders>
            <w:shd w:val="clear" w:color="auto" w:fill="auto"/>
            <w:hideMark/>
          </w:tcPr>
          <w:p w14:paraId="3897BB14"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0.842</w:t>
            </w:r>
          </w:p>
        </w:tc>
        <w:tc>
          <w:tcPr>
            <w:tcW w:w="990" w:type="dxa"/>
            <w:tcBorders>
              <w:top w:val="nil"/>
              <w:bottom w:val="nil"/>
            </w:tcBorders>
            <w:shd w:val="clear" w:color="auto" w:fill="auto"/>
            <w:hideMark/>
          </w:tcPr>
          <w:p w14:paraId="2FF0CC9A"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0.916</w:t>
            </w:r>
          </w:p>
        </w:tc>
        <w:tc>
          <w:tcPr>
            <w:tcW w:w="990" w:type="dxa"/>
            <w:tcBorders>
              <w:top w:val="nil"/>
              <w:bottom w:val="nil"/>
            </w:tcBorders>
            <w:shd w:val="clear" w:color="auto" w:fill="auto"/>
            <w:hideMark/>
          </w:tcPr>
          <w:p w14:paraId="43E5FDB9"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0.79</w:t>
            </w:r>
            <w:r>
              <w:rPr>
                <w:rFonts w:ascii="Times New Roman" w:eastAsia="宋体" w:hAnsi="Times New Roman" w:cs="Times New Roman"/>
                <w:color w:val="000000"/>
                <w:kern w:val="0"/>
                <w:sz w:val="24"/>
                <w:szCs w:val="24"/>
              </w:rPr>
              <w:t>0</w:t>
            </w:r>
          </w:p>
        </w:tc>
        <w:tc>
          <w:tcPr>
            <w:tcW w:w="990" w:type="dxa"/>
            <w:tcBorders>
              <w:top w:val="nil"/>
              <w:bottom w:val="nil"/>
            </w:tcBorders>
            <w:shd w:val="clear" w:color="auto" w:fill="auto"/>
            <w:hideMark/>
          </w:tcPr>
          <w:p w14:paraId="69436A83"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0.694</w:t>
            </w:r>
          </w:p>
        </w:tc>
        <w:tc>
          <w:tcPr>
            <w:tcW w:w="930" w:type="dxa"/>
            <w:tcBorders>
              <w:top w:val="nil"/>
              <w:bottom w:val="nil"/>
              <w:right w:val="nil"/>
            </w:tcBorders>
            <w:shd w:val="clear" w:color="auto" w:fill="auto"/>
            <w:hideMark/>
          </w:tcPr>
          <w:p w14:paraId="5A5A084B"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0.907</w:t>
            </w:r>
          </w:p>
        </w:tc>
      </w:tr>
      <w:tr w:rsidR="000C2859" w:rsidRPr="00D448F5" w14:paraId="68541F49" w14:textId="77777777" w:rsidTr="00381437">
        <w:trPr>
          <w:trHeight w:val="378"/>
        </w:trPr>
        <w:tc>
          <w:tcPr>
            <w:tcW w:w="2340" w:type="dxa"/>
            <w:tcBorders>
              <w:top w:val="nil"/>
              <w:left w:val="nil"/>
              <w:bottom w:val="nil"/>
            </w:tcBorders>
            <w:shd w:val="clear" w:color="auto" w:fill="auto"/>
            <w:hideMark/>
          </w:tcPr>
          <w:p w14:paraId="678AB863"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ABPDiscover</w:t>
            </w:r>
          </w:p>
        </w:tc>
        <w:tc>
          <w:tcPr>
            <w:tcW w:w="900" w:type="dxa"/>
            <w:tcBorders>
              <w:top w:val="nil"/>
              <w:bottom w:val="nil"/>
            </w:tcBorders>
            <w:shd w:val="clear" w:color="auto" w:fill="auto"/>
            <w:vAlign w:val="center"/>
            <w:hideMark/>
          </w:tcPr>
          <w:p w14:paraId="4FD08C26"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0.828</w:t>
            </w:r>
          </w:p>
        </w:tc>
        <w:tc>
          <w:tcPr>
            <w:tcW w:w="990" w:type="dxa"/>
            <w:tcBorders>
              <w:top w:val="nil"/>
              <w:bottom w:val="nil"/>
            </w:tcBorders>
            <w:shd w:val="clear" w:color="auto" w:fill="auto"/>
            <w:vAlign w:val="center"/>
            <w:hideMark/>
          </w:tcPr>
          <w:p w14:paraId="0E9D7403"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0.764</w:t>
            </w:r>
          </w:p>
        </w:tc>
        <w:tc>
          <w:tcPr>
            <w:tcW w:w="990" w:type="dxa"/>
            <w:tcBorders>
              <w:top w:val="nil"/>
              <w:bottom w:val="nil"/>
            </w:tcBorders>
            <w:shd w:val="clear" w:color="auto" w:fill="auto"/>
            <w:vAlign w:val="center"/>
            <w:hideMark/>
          </w:tcPr>
          <w:p w14:paraId="49784146"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0.892</w:t>
            </w:r>
          </w:p>
        </w:tc>
        <w:tc>
          <w:tcPr>
            <w:tcW w:w="990" w:type="dxa"/>
            <w:tcBorders>
              <w:top w:val="nil"/>
              <w:bottom w:val="nil"/>
            </w:tcBorders>
            <w:shd w:val="clear" w:color="auto" w:fill="auto"/>
            <w:vAlign w:val="center"/>
            <w:hideMark/>
          </w:tcPr>
          <w:p w14:paraId="256CFE63"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0.662</w:t>
            </w:r>
          </w:p>
        </w:tc>
        <w:tc>
          <w:tcPr>
            <w:tcW w:w="930" w:type="dxa"/>
            <w:tcBorders>
              <w:top w:val="nil"/>
              <w:bottom w:val="nil"/>
              <w:right w:val="nil"/>
            </w:tcBorders>
            <w:shd w:val="clear" w:color="auto" w:fill="auto"/>
            <w:vAlign w:val="center"/>
            <w:hideMark/>
          </w:tcPr>
          <w:p w14:paraId="6167DB47" w14:textId="77777777" w:rsidR="000C2859" w:rsidRPr="00D448F5" w:rsidRDefault="000C2859" w:rsidP="00381437">
            <w:pPr>
              <w:widowControl/>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0.896</w:t>
            </w:r>
          </w:p>
        </w:tc>
      </w:tr>
      <w:tr w:rsidR="000C2859" w:rsidRPr="00D448F5" w14:paraId="2B3C154A" w14:textId="77777777" w:rsidTr="00381437">
        <w:trPr>
          <w:trHeight w:val="315"/>
        </w:trPr>
        <w:tc>
          <w:tcPr>
            <w:tcW w:w="2340" w:type="dxa"/>
            <w:tcBorders>
              <w:top w:val="nil"/>
              <w:left w:val="nil"/>
              <w:bottom w:val="nil"/>
            </w:tcBorders>
            <w:shd w:val="clear" w:color="auto" w:fill="auto"/>
            <w:vAlign w:val="center"/>
          </w:tcPr>
          <w:p w14:paraId="7E413451"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AI4AVP</w:t>
            </w:r>
          </w:p>
        </w:tc>
        <w:tc>
          <w:tcPr>
            <w:tcW w:w="900" w:type="dxa"/>
            <w:tcBorders>
              <w:top w:val="nil"/>
              <w:bottom w:val="nil"/>
            </w:tcBorders>
            <w:shd w:val="clear" w:color="auto" w:fill="auto"/>
            <w:vAlign w:val="center"/>
          </w:tcPr>
          <w:p w14:paraId="268110D9"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0.815</w:t>
            </w:r>
          </w:p>
        </w:tc>
        <w:tc>
          <w:tcPr>
            <w:tcW w:w="990" w:type="dxa"/>
            <w:tcBorders>
              <w:top w:val="nil"/>
              <w:bottom w:val="nil"/>
            </w:tcBorders>
            <w:shd w:val="clear" w:color="auto" w:fill="auto"/>
            <w:vAlign w:val="center"/>
          </w:tcPr>
          <w:p w14:paraId="40700D67"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0.664</w:t>
            </w:r>
          </w:p>
        </w:tc>
        <w:tc>
          <w:tcPr>
            <w:tcW w:w="990" w:type="dxa"/>
            <w:tcBorders>
              <w:top w:val="nil"/>
              <w:bottom w:val="nil"/>
            </w:tcBorders>
            <w:shd w:val="clear" w:color="auto" w:fill="auto"/>
            <w:vAlign w:val="center"/>
          </w:tcPr>
          <w:p w14:paraId="25BF0794"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0.966</w:t>
            </w:r>
          </w:p>
        </w:tc>
        <w:tc>
          <w:tcPr>
            <w:tcW w:w="990" w:type="dxa"/>
            <w:tcBorders>
              <w:top w:val="nil"/>
              <w:bottom w:val="nil"/>
            </w:tcBorders>
            <w:shd w:val="clear" w:color="auto" w:fill="auto"/>
            <w:vAlign w:val="center"/>
          </w:tcPr>
          <w:p w14:paraId="2C928678"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0.661</w:t>
            </w:r>
          </w:p>
        </w:tc>
        <w:tc>
          <w:tcPr>
            <w:tcW w:w="930" w:type="dxa"/>
            <w:tcBorders>
              <w:top w:val="nil"/>
              <w:bottom w:val="nil"/>
              <w:right w:val="nil"/>
            </w:tcBorders>
            <w:shd w:val="clear" w:color="auto" w:fill="auto"/>
            <w:vAlign w:val="center"/>
          </w:tcPr>
          <w:p w14:paraId="0C3D6AEF"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0.910</w:t>
            </w:r>
          </w:p>
        </w:tc>
      </w:tr>
      <w:tr w:rsidR="000C2859" w:rsidRPr="00D448F5" w14:paraId="79D3F73B" w14:textId="77777777" w:rsidTr="00381437">
        <w:trPr>
          <w:trHeight w:val="315"/>
        </w:trPr>
        <w:tc>
          <w:tcPr>
            <w:tcW w:w="2340" w:type="dxa"/>
            <w:tcBorders>
              <w:top w:val="nil"/>
              <w:left w:val="nil"/>
              <w:bottom w:val="nil"/>
            </w:tcBorders>
            <w:shd w:val="clear" w:color="auto" w:fill="auto"/>
            <w:vAlign w:val="center"/>
          </w:tcPr>
          <w:p w14:paraId="3B096FC8" w14:textId="77777777" w:rsidR="000C2859" w:rsidRPr="000C2859" w:rsidRDefault="000C2859" w:rsidP="00381437">
            <w:pPr>
              <w:widowControl/>
              <w:rPr>
                <w:rFonts w:ascii="Times New Roman" w:eastAsia="宋体" w:hAnsi="Times New Roman" w:cs="Times New Roman"/>
                <w:color w:val="000000"/>
                <w:kern w:val="0"/>
                <w:sz w:val="24"/>
                <w:szCs w:val="24"/>
              </w:rPr>
            </w:pPr>
            <w:bookmarkStart w:id="0" w:name="_Hlk184232479"/>
            <w:r w:rsidRPr="000C2859">
              <w:rPr>
                <w:rFonts w:ascii="Times New Roman" w:eastAsia="宋体" w:hAnsi="Times New Roman" w:cs="Times New Roman"/>
                <w:color w:val="000000"/>
                <w:kern w:val="0"/>
                <w:sz w:val="24"/>
                <w:szCs w:val="24"/>
              </w:rPr>
              <w:t>AMPfun</w:t>
            </w:r>
            <w:bookmarkEnd w:id="0"/>
          </w:p>
        </w:tc>
        <w:tc>
          <w:tcPr>
            <w:tcW w:w="900" w:type="dxa"/>
            <w:tcBorders>
              <w:top w:val="nil"/>
              <w:bottom w:val="nil"/>
            </w:tcBorders>
            <w:shd w:val="clear" w:color="auto" w:fill="auto"/>
            <w:vAlign w:val="center"/>
          </w:tcPr>
          <w:p w14:paraId="74121276"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0.647</w:t>
            </w:r>
          </w:p>
        </w:tc>
        <w:tc>
          <w:tcPr>
            <w:tcW w:w="990" w:type="dxa"/>
            <w:tcBorders>
              <w:top w:val="nil"/>
              <w:bottom w:val="nil"/>
            </w:tcBorders>
            <w:shd w:val="clear" w:color="auto" w:fill="auto"/>
            <w:vAlign w:val="center"/>
          </w:tcPr>
          <w:p w14:paraId="745B2BA8"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0.852</w:t>
            </w:r>
          </w:p>
        </w:tc>
        <w:tc>
          <w:tcPr>
            <w:tcW w:w="990" w:type="dxa"/>
            <w:tcBorders>
              <w:top w:val="nil"/>
              <w:bottom w:val="nil"/>
            </w:tcBorders>
            <w:shd w:val="clear" w:color="auto" w:fill="auto"/>
            <w:vAlign w:val="center"/>
          </w:tcPr>
          <w:p w14:paraId="68A6B05C"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0.443</w:t>
            </w:r>
          </w:p>
        </w:tc>
        <w:tc>
          <w:tcPr>
            <w:tcW w:w="990" w:type="dxa"/>
            <w:tcBorders>
              <w:top w:val="nil"/>
              <w:bottom w:val="nil"/>
            </w:tcBorders>
            <w:shd w:val="clear" w:color="auto" w:fill="auto"/>
            <w:vAlign w:val="center"/>
          </w:tcPr>
          <w:p w14:paraId="5DC89BA7"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0.323</w:t>
            </w:r>
          </w:p>
        </w:tc>
        <w:tc>
          <w:tcPr>
            <w:tcW w:w="930" w:type="dxa"/>
            <w:tcBorders>
              <w:top w:val="nil"/>
              <w:bottom w:val="nil"/>
              <w:right w:val="nil"/>
            </w:tcBorders>
            <w:shd w:val="clear" w:color="auto" w:fill="auto"/>
            <w:vAlign w:val="center"/>
          </w:tcPr>
          <w:p w14:paraId="74083486"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0.802</w:t>
            </w:r>
          </w:p>
        </w:tc>
      </w:tr>
      <w:tr w:rsidR="000C2859" w:rsidRPr="00D448F5" w14:paraId="35493C71" w14:textId="77777777" w:rsidTr="00381437">
        <w:trPr>
          <w:trHeight w:val="315"/>
        </w:trPr>
        <w:tc>
          <w:tcPr>
            <w:tcW w:w="2340" w:type="dxa"/>
            <w:tcBorders>
              <w:top w:val="nil"/>
              <w:left w:val="nil"/>
              <w:bottom w:val="nil"/>
            </w:tcBorders>
            <w:shd w:val="clear" w:color="auto" w:fill="auto"/>
            <w:vAlign w:val="center"/>
          </w:tcPr>
          <w:p w14:paraId="53C08AB1"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iAMPpred</w:t>
            </w:r>
          </w:p>
        </w:tc>
        <w:tc>
          <w:tcPr>
            <w:tcW w:w="900" w:type="dxa"/>
            <w:tcBorders>
              <w:top w:val="nil"/>
              <w:bottom w:val="nil"/>
            </w:tcBorders>
            <w:shd w:val="clear" w:color="auto" w:fill="auto"/>
            <w:vAlign w:val="center"/>
          </w:tcPr>
          <w:p w14:paraId="1C9596AC"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0.755</w:t>
            </w:r>
          </w:p>
        </w:tc>
        <w:tc>
          <w:tcPr>
            <w:tcW w:w="990" w:type="dxa"/>
            <w:tcBorders>
              <w:top w:val="nil"/>
              <w:bottom w:val="nil"/>
            </w:tcBorders>
            <w:shd w:val="clear" w:color="auto" w:fill="auto"/>
            <w:vAlign w:val="center"/>
          </w:tcPr>
          <w:p w14:paraId="31C20D51"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0.515</w:t>
            </w:r>
          </w:p>
        </w:tc>
        <w:tc>
          <w:tcPr>
            <w:tcW w:w="990" w:type="dxa"/>
            <w:tcBorders>
              <w:top w:val="nil"/>
              <w:bottom w:val="nil"/>
            </w:tcBorders>
            <w:shd w:val="clear" w:color="auto" w:fill="auto"/>
            <w:vAlign w:val="center"/>
          </w:tcPr>
          <w:p w14:paraId="7C85A52E"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0.860</w:t>
            </w:r>
          </w:p>
        </w:tc>
        <w:tc>
          <w:tcPr>
            <w:tcW w:w="990" w:type="dxa"/>
            <w:tcBorders>
              <w:top w:val="nil"/>
              <w:bottom w:val="nil"/>
            </w:tcBorders>
            <w:shd w:val="clear" w:color="auto" w:fill="auto"/>
            <w:vAlign w:val="center"/>
          </w:tcPr>
          <w:p w14:paraId="2E1EBDDD"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0.396</w:t>
            </w:r>
          </w:p>
        </w:tc>
        <w:tc>
          <w:tcPr>
            <w:tcW w:w="930" w:type="dxa"/>
            <w:tcBorders>
              <w:top w:val="nil"/>
              <w:bottom w:val="nil"/>
              <w:right w:val="nil"/>
            </w:tcBorders>
            <w:shd w:val="clear" w:color="auto" w:fill="auto"/>
          </w:tcPr>
          <w:p w14:paraId="6C668D57"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0.714</w:t>
            </w:r>
          </w:p>
        </w:tc>
      </w:tr>
      <w:tr w:rsidR="000C2859" w:rsidRPr="00D448F5" w14:paraId="6D059F61" w14:textId="77777777" w:rsidTr="00381437">
        <w:trPr>
          <w:trHeight w:val="315"/>
        </w:trPr>
        <w:tc>
          <w:tcPr>
            <w:tcW w:w="2340" w:type="dxa"/>
            <w:tcBorders>
              <w:top w:val="nil"/>
              <w:left w:val="nil"/>
              <w:bottom w:val="nil"/>
            </w:tcBorders>
            <w:shd w:val="clear" w:color="auto" w:fill="auto"/>
            <w:vAlign w:val="center"/>
          </w:tcPr>
          <w:p w14:paraId="55A07C03"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DeepAVP</w:t>
            </w:r>
          </w:p>
        </w:tc>
        <w:tc>
          <w:tcPr>
            <w:tcW w:w="900" w:type="dxa"/>
            <w:tcBorders>
              <w:top w:val="nil"/>
              <w:bottom w:val="nil"/>
            </w:tcBorders>
            <w:shd w:val="clear" w:color="auto" w:fill="auto"/>
            <w:vAlign w:val="center"/>
          </w:tcPr>
          <w:p w14:paraId="08C26B71"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0.600</w:t>
            </w:r>
          </w:p>
        </w:tc>
        <w:tc>
          <w:tcPr>
            <w:tcW w:w="990" w:type="dxa"/>
            <w:tcBorders>
              <w:top w:val="nil"/>
              <w:bottom w:val="nil"/>
            </w:tcBorders>
            <w:shd w:val="clear" w:color="auto" w:fill="auto"/>
            <w:vAlign w:val="center"/>
          </w:tcPr>
          <w:p w14:paraId="25A07431"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0.629</w:t>
            </w:r>
          </w:p>
        </w:tc>
        <w:tc>
          <w:tcPr>
            <w:tcW w:w="990" w:type="dxa"/>
            <w:tcBorders>
              <w:top w:val="nil"/>
              <w:bottom w:val="nil"/>
            </w:tcBorders>
            <w:shd w:val="clear" w:color="auto" w:fill="auto"/>
            <w:vAlign w:val="center"/>
          </w:tcPr>
          <w:p w14:paraId="179640BD"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0.583</w:t>
            </w:r>
          </w:p>
        </w:tc>
        <w:tc>
          <w:tcPr>
            <w:tcW w:w="990" w:type="dxa"/>
            <w:tcBorders>
              <w:top w:val="nil"/>
              <w:bottom w:val="nil"/>
            </w:tcBorders>
            <w:shd w:val="clear" w:color="auto" w:fill="auto"/>
            <w:vAlign w:val="center"/>
          </w:tcPr>
          <w:p w14:paraId="7A3E4A54"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0.205</w:t>
            </w:r>
          </w:p>
        </w:tc>
        <w:tc>
          <w:tcPr>
            <w:tcW w:w="930" w:type="dxa"/>
            <w:tcBorders>
              <w:top w:val="nil"/>
              <w:bottom w:val="nil"/>
              <w:right w:val="nil"/>
            </w:tcBorders>
            <w:shd w:val="clear" w:color="auto" w:fill="auto"/>
            <w:vAlign w:val="center"/>
          </w:tcPr>
          <w:p w14:paraId="42B67725"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0.609</w:t>
            </w:r>
          </w:p>
        </w:tc>
      </w:tr>
      <w:tr w:rsidR="000C2859" w:rsidRPr="00D448F5" w14:paraId="3FECF60C" w14:textId="77777777" w:rsidTr="00381437">
        <w:trPr>
          <w:trHeight w:val="315"/>
        </w:trPr>
        <w:tc>
          <w:tcPr>
            <w:tcW w:w="2340" w:type="dxa"/>
            <w:tcBorders>
              <w:top w:val="nil"/>
              <w:left w:val="nil"/>
              <w:bottom w:val="nil"/>
            </w:tcBorders>
            <w:shd w:val="clear" w:color="auto" w:fill="auto"/>
            <w:vAlign w:val="center"/>
          </w:tcPr>
          <w:p w14:paraId="0BC03D62"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FIRM-AVP</w:t>
            </w:r>
          </w:p>
        </w:tc>
        <w:tc>
          <w:tcPr>
            <w:tcW w:w="900" w:type="dxa"/>
            <w:tcBorders>
              <w:top w:val="nil"/>
              <w:bottom w:val="nil"/>
            </w:tcBorders>
            <w:shd w:val="clear" w:color="auto" w:fill="auto"/>
            <w:vAlign w:val="center"/>
          </w:tcPr>
          <w:p w14:paraId="68FF96DD"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0.589</w:t>
            </w:r>
          </w:p>
        </w:tc>
        <w:tc>
          <w:tcPr>
            <w:tcW w:w="990" w:type="dxa"/>
            <w:tcBorders>
              <w:top w:val="nil"/>
              <w:bottom w:val="nil"/>
            </w:tcBorders>
            <w:shd w:val="clear" w:color="auto" w:fill="auto"/>
            <w:vAlign w:val="center"/>
          </w:tcPr>
          <w:p w14:paraId="304B9A51"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0.424</w:t>
            </w:r>
          </w:p>
        </w:tc>
        <w:tc>
          <w:tcPr>
            <w:tcW w:w="990" w:type="dxa"/>
            <w:tcBorders>
              <w:top w:val="nil"/>
              <w:bottom w:val="nil"/>
            </w:tcBorders>
            <w:shd w:val="clear" w:color="auto" w:fill="auto"/>
            <w:vAlign w:val="center"/>
          </w:tcPr>
          <w:p w14:paraId="5F6BDCD5"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0.754</w:t>
            </w:r>
          </w:p>
        </w:tc>
        <w:tc>
          <w:tcPr>
            <w:tcW w:w="990" w:type="dxa"/>
            <w:tcBorders>
              <w:top w:val="nil"/>
              <w:bottom w:val="nil"/>
            </w:tcBorders>
            <w:shd w:val="clear" w:color="auto" w:fill="auto"/>
            <w:vAlign w:val="center"/>
          </w:tcPr>
          <w:p w14:paraId="4803B530"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0.189</w:t>
            </w:r>
          </w:p>
        </w:tc>
        <w:tc>
          <w:tcPr>
            <w:tcW w:w="930" w:type="dxa"/>
            <w:tcBorders>
              <w:top w:val="nil"/>
              <w:bottom w:val="nil"/>
              <w:right w:val="nil"/>
            </w:tcBorders>
            <w:shd w:val="clear" w:color="auto" w:fill="auto"/>
            <w:vAlign w:val="center"/>
          </w:tcPr>
          <w:p w14:paraId="514ADC29"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0.591</w:t>
            </w:r>
          </w:p>
        </w:tc>
      </w:tr>
      <w:tr w:rsidR="000C2859" w:rsidRPr="00D448F5" w14:paraId="6DAA613D" w14:textId="77777777" w:rsidTr="00381437">
        <w:trPr>
          <w:trHeight w:val="315"/>
        </w:trPr>
        <w:tc>
          <w:tcPr>
            <w:tcW w:w="2340" w:type="dxa"/>
            <w:tcBorders>
              <w:top w:val="nil"/>
              <w:left w:val="nil"/>
              <w:bottom w:val="nil"/>
            </w:tcBorders>
            <w:shd w:val="clear" w:color="auto" w:fill="auto"/>
          </w:tcPr>
          <w:p w14:paraId="00A80C72"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AVP-IFT (non-AVP)</w:t>
            </w:r>
          </w:p>
        </w:tc>
        <w:tc>
          <w:tcPr>
            <w:tcW w:w="900" w:type="dxa"/>
            <w:tcBorders>
              <w:top w:val="nil"/>
              <w:bottom w:val="nil"/>
            </w:tcBorders>
            <w:shd w:val="clear" w:color="auto" w:fill="auto"/>
            <w:vAlign w:val="center"/>
          </w:tcPr>
          <w:p w14:paraId="49F21BF9"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0.594</w:t>
            </w:r>
          </w:p>
        </w:tc>
        <w:tc>
          <w:tcPr>
            <w:tcW w:w="990" w:type="dxa"/>
            <w:tcBorders>
              <w:top w:val="nil"/>
              <w:bottom w:val="nil"/>
            </w:tcBorders>
            <w:shd w:val="clear" w:color="auto" w:fill="auto"/>
            <w:vAlign w:val="center"/>
          </w:tcPr>
          <w:p w14:paraId="6827FFE4"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0.557</w:t>
            </w:r>
          </w:p>
        </w:tc>
        <w:tc>
          <w:tcPr>
            <w:tcW w:w="990" w:type="dxa"/>
            <w:tcBorders>
              <w:top w:val="nil"/>
              <w:bottom w:val="nil"/>
            </w:tcBorders>
            <w:shd w:val="clear" w:color="auto" w:fill="auto"/>
            <w:vAlign w:val="center"/>
          </w:tcPr>
          <w:p w14:paraId="6190AA5D"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0.772</w:t>
            </w:r>
          </w:p>
        </w:tc>
        <w:tc>
          <w:tcPr>
            <w:tcW w:w="990" w:type="dxa"/>
            <w:tcBorders>
              <w:top w:val="nil"/>
              <w:bottom w:val="nil"/>
            </w:tcBorders>
            <w:shd w:val="clear" w:color="auto" w:fill="auto"/>
            <w:vAlign w:val="center"/>
          </w:tcPr>
          <w:p w14:paraId="05E49824"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0.249</w:t>
            </w:r>
          </w:p>
        </w:tc>
        <w:tc>
          <w:tcPr>
            <w:tcW w:w="930" w:type="dxa"/>
            <w:tcBorders>
              <w:top w:val="nil"/>
              <w:bottom w:val="nil"/>
              <w:right w:val="nil"/>
            </w:tcBorders>
            <w:shd w:val="clear" w:color="auto" w:fill="auto"/>
          </w:tcPr>
          <w:p w14:paraId="2DAD5533"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N/A</w:t>
            </w:r>
          </w:p>
        </w:tc>
      </w:tr>
      <w:tr w:rsidR="000C2859" w:rsidRPr="00D448F5" w14:paraId="4CDEC882" w14:textId="77777777" w:rsidTr="00381437">
        <w:trPr>
          <w:trHeight w:val="315"/>
        </w:trPr>
        <w:tc>
          <w:tcPr>
            <w:tcW w:w="2340" w:type="dxa"/>
            <w:tcBorders>
              <w:top w:val="nil"/>
              <w:left w:val="nil"/>
              <w:bottom w:val="nil"/>
            </w:tcBorders>
            <w:shd w:val="clear" w:color="auto" w:fill="auto"/>
          </w:tcPr>
          <w:p w14:paraId="3C614796"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AVP-IFT (non-AMP)</w:t>
            </w:r>
          </w:p>
        </w:tc>
        <w:tc>
          <w:tcPr>
            <w:tcW w:w="900" w:type="dxa"/>
            <w:tcBorders>
              <w:top w:val="nil"/>
              <w:bottom w:val="nil"/>
            </w:tcBorders>
            <w:shd w:val="clear" w:color="auto" w:fill="auto"/>
            <w:vAlign w:val="center"/>
          </w:tcPr>
          <w:p w14:paraId="7B042B04"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0.555</w:t>
            </w:r>
          </w:p>
        </w:tc>
        <w:tc>
          <w:tcPr>
            <w:tcW w:w="990" w:type="dxa"/>
            <w:tcBorders>
              <w:top w:val="nil"/>
              <w:bottom w:val="nil"/>
            </w:tcBorders>
            <w:shd w:val="clear" w:color="auto" w:fill="auto"/>
            <w:vAlign w:val="center"/>
          </w:tcPr>
          <w:p w14:paraId="69F33D60"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0.530</w:t>
            </w:r>
          </w:p>
        </w:tc>
        <w:tc>
          <w:tcPr>
            <w:tcW w:w="990" w:type="dxa"/>
            <w:tcBorders>
              <w:top w:val="nil"/>
              <w:bottom w:val="nil"/>
            </w:tcBorders>
            <w:shd w:val="clear" w:color="auto" w:fill="auto"/>
            <w:vAlign w:val="center"/>
          </w:tcPr>
          <w:p w14:paraId="33866EB5"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0.847</w:t>
            </w:r>
          </w:p>
        </w:tc>
        <w:tc>
          <w:tcPr>
            <w:tcW w:w="990" w:type="dxa"/>
            <w:tcBorders>
              <w:top w:val="nil"/>
              <w:bottom w:val="nil"/>
            </w:tcBorders>
            <w:shd w:val="clear" w:color="auto" w:fill="auto"/>
            <w:vAlign w:val="center"/>
          </w:tcPr>
          <w:p w14:paraId="4751DFA2"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0.203</w:t>
            </w:r>
          </w:p>
        </w:tc>
        <w:tc>
          <w:tcPr>
            <w:tcW w:w="930" w:type="dxa"/>
            <w:tcBorders>
              <w:top w:val="nil"/>
              <w:bottom w:val="nil"/>
              <w:right w:val="nil"/>
            </w:tcBorders>
            <w:shd w:val="clear" w:color="auto" w:fill="auto"/>
          </w:tcPr>
          <w:p w14:paraId="2AFD2770" w14:textId="77777777" w:rsidR="000C2859" w:rsidRPr="000C2859" w:rsidRDefault="000C2859" w:rsidP="00381437">
            <w:pPr>
              <w:widowControl/>
              <w:rPr>
                <w:rFonts w:ascii="Times New Roman" w:eastAsia="宋体" w:hAnsi="Times New Roman" w:cs="Times New Roman"/>
                <w:color w:val="000000"/>
                <w:kern w:val="0"/>
                <w:sz w:val="24"/>
                <w:szCs w:val="24"/>
              </w:rPr>
            </w:pPr>
            <w:r w:rsidRPr="000C2859">
              <w:rPr>
                <w:rFonts w:ascii="Times New Roman" w:eastAsia="宋体" w:hAnsi="Times New Roman" w:cs="Times New Roman"/>
                <w:color w:val="000000"/>
                <w:kern w:val="0"/>
                <w:sz w:val="24"/>
                <w:szCs w:val="24"/>
              </w:rPr>
              <w:t>N/A</w:t>
            </w:r>
          </w:p>
        </w:tc>
      </w:tr>
      <w:tr w:rsidR="000C2859" w:rsidRPr="00D448F5" w14:paraId="270970A2" w14:textId="77777777" w:rsidTr="00381437">
        <w:trPr>
          <w:trHeight w:val="330"/>
        </w:trPr>
        <w:tc>
          <w:tcPr>
            <w:tcW w:w="2340" w:type="dxa"/>
            <w:tcBorders>
              <w:top w:val="nil"/>
              <w:left w:val="nil"/>
              <w:bottom w:val="single" w:sz="8" w:space="0" w:color="000000"/>
            </w:tcBorders>
            <w:shd w:val="clear" w:color="auto" w:fill="auto"/>
            <w:noWrap/>
            <w:vAlign w:val="center"/>
            <w:hideMark/>
          </w:tcPr>
          <w:p w14:paraId="19BEEE62" w14:textId="77777777" w:rsidR="000C2859" w:rsidRPr="00D448F5" w:rsidRDefault="000C2859" w:rsidP="00381437">
            <w:pPr>
              <w:widowControl/>
              <w:jc w:val="left"/>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Ours</w:t>
            </w:r>
          </w:p>
        </w:tc>
        <w:tc>
          <w:tcPr>
            <w:tcW w:w="900" w:type="dxa"/>
            <w:tcBorders>
              <w:top w:val="nil"/>
              <w:bottom w:val="single" w:sz="8" w:space="0" w:color="000000"/>
            </w:tcBorders>
            <w:shd w:val="clear" w:color="auto" w:fill="auto"/>
            <w:noWrap/>
            <w:vAlign w:val="center"/>
            <w:hideMark/>
          </w:tcPr>
          <w:p w14:paraId="4CCBE032" w14:textId="77777777" w:rsidR="000C2859" w:rsidRPr="00CD3023" w:rsidRDefault="000C2859" w:rsidP="00381437">
            <w:pPr>
              <w:widowControl/>
              <w:jc w:val="left"/>
              <w:rPr>
                <w:rFonts w:ascii="Times New Roman" w:eastAsia="宋体" w:hAnsi="Times New Roman" w:cs="Times New Roman"/>
                <w:b/>
                <w:color w:val="000000"/>
                <w:kern w:val="0"/>
                <w:sz w:val="24"/>
                <w:szCs w:val="24"/>
              </w:rPr>
            </w:pPr>
            <w:r w:rsidRPr="00CD3023">
              <w:rPr>
                <w:rFonts w:ascii="Times New Roman" w:eastAsia="宋体" w:hAnsi="Times New Roman" w:cs="Times New Roman"/>
                <w:b/>
                <w:color w:val="000000"/>
                <w:kern w:val="0"/>
                <w:sz w:val="24"/>
                <w:szCs w:val="24"/>
              </w:rPr>
              <w:t>0.899</w:t>
            </w:r>
          </w:p>
        </w:tc>
        <w:tc>
          <w:tcPr>
            <w:tcW w:w="990" w:type="dxa"/>
            <w:tcBorders>
              <w:top w:val="nil"/>
              <w:bottom w:val="single" w:sz="8" w:space="0" w:color="000000"/>
            </w:tcBorders>
            <w:shd w:val="clear" w:color="auto" w:fill="auto"/>
            <w:noWrap/>
            <w:vAlign w:val="center"/>
            <w:hideMark/>
          </w:tcPr>
          <w:p w14:paraId="4464B9A7" w14:textId="77777777" w:rsidR="000C2859" w:rsidRPr="00CD3023" w:rsidRDefault="000C2859" w:rsidP="00381437">
            <w:pPr>
              <w:widowControl/>
              <w:jc w:val="left"/>
              <w:rPr>
                <w:rFonts w:ascii="Times New Roman" w:eastAsia="宋体" w:hAnsi="Times New Roman" w:cs="Times New Roman"/>
                <w:b/>
                <w:color w:val="000000"/>
                <w:kern w:val="0"/>
                <w:sz w:val="24"/>
                <w:szCs w:val="24"/>
              </w:rPr>
            </w:pPr>
            <w:r w:rsidRPr="00CD3023">
              <w:rPr>
                <w:rFonts w:ascii="Times New Roman" w:eastAsia="宋体" w:hAnsi="Times New Roman" w:cs="Times New Roman"/>
                <w:b/>
                <w:color w:val="000000"/>
                <w:kern w:val="0"/>
                <w:sz w:val="24"/>
                <w:szCs w:val="24"/>
              </w:rPr>
              <w:t>0.958</w:t>
            </w:r>
          </w:p>
        </w:tc>
        <w:tc>
          <w:tcPr>
            <w:tcW w:w="990" w:type="dxa"/>
            <w:tcBorders>
              <w:top w:val="nil"/>
              <w:bottom w:val="single" w:sz="8" w:space="0" w:color="000000"/>
            </w:tcBorders>
            <w:shd w:val="clear" w:color="auto" w:fill="auto"/>
            <w:noWrap/>
            <w:vAlign w:val="center"/>
            <w:hideMark/>
          </w:tcPr>
          <w:p w14:paraId="67330D30" w14:textId="77777777" w:rsidR="000C2859" w:rsidRPr="00D448F5" w:rsidRDefault="000C2859" w:rsidP="00381437">
            <w:pPr>
              <w:widowControl/>
              <w:jc w:val="left"/>
              <w:rPr>
                <w:rFonts w:ascii="Times New Roman" w:eastAsia="宋体" w:hAnsi="Times New Roman" w:cs="Times New Roman"/>
                <w:color w:val="000000"/>
                <w:kern w:val="0"/>
                <w:sz w:val="24"/>
                <w:szCs w:val="24"/>
              </w:rPr>
            </w:pPr>
            <w:r w:rsidRPr="00D448F5">
              <w:rPr>
                <w:rFonts w:ascii="Times New Roman" w:eastAsia="宋体" w:hAnsi="Times New Roman" w:cs="Times New Roman"/>
                <w:color w:val="000000"/>
                <w:kern w:val="0"/>
                <w:sz w:val="24"/>
                <w:szCs w:val="24"/>
              </w:rPr>
              <w:t>0.841</w:t>
            </w:r>
          </w:p>
        </w:tc>
        <w:tc>
          <w:tcPr>
            <w:tcW w:w="990" w:type="dxa"/>
            <w:tcBorders>
              <w:top w:val="nil"/>
              <w:bottom w:val="single" w:sz="8" w:space="0" w:color="000000"/>
            </w:tcBorders>
            <w:shd w:val="clear" w:color="auto" w:fill="auto"/>
            <w:noWrap/>
            <w:vAlign w:val="center"/>
            <w:hideMark/>
          </w:tcPr>
          <w:p w14:paraId="2C8DDC41" w14:textId="77777777" w:rsidR="000C2859" w:rsidRPr="00CD3023" w:rsidRDefault="000C2859" w:rsidP="00381437">
            <w:pPr>
              <w:widowControl/>
              <w:jc w:val="left"/>
              <w:rPr>
                <w:rFonts w:ascii="Times New Roman" w:eastAsia="宋体" w:hAnsi="Times New Roman" w:cs="Times New Roman"/>
                <w:b/>
                <w:color w:val="000000"/>
                <w:kern w:val="0"/>
                <w:sz w:val="24"/>
                <w:szCs w:val="24"/>
              </w:rPr>
            </w:pPr>
            <w:r w:rsidRPr="00CD3023">
              <w:rPr>
                <w:rFonts w:ascii="Times New Roman" w:eastAsia="宋体" w:hAnsi="Times New Roman" w:cs="Times New Roman"/>
                <w:b/>
                <w:color w:val="000000"/>
                <w:kern w:val="0"/>
                <w:sz w:val="24"/>
                <w:szCs w:val="24"/>
              </w:rPr>
              <w:t>0.804</w:t>
            </w:r>
          </w:p>
        </w:tc>
        <w:tc>
          <w:tcPr>
            <w:tcW w:w="930" w:type="dxa"/>
            <w:tcBorders>
              <w:top w:val="nil"/>
              <w:bottom w:val="single" w:sz="8" w:space="0" w:color="000000"/>
              <w:right w:val="nil"/>
            </w:tcBorders>
            <w:shd w:val="clear" w:color="auto" w:fill="auto"/>
            <w:noWrap/>
            <w:vAlign w:val="center"/>
            <w:hideMark/>
          </w:tcPr>
          <w:p w14:paraId="59478014" w14:textId="77777777" w:rsidR="000C2859" w:rsidRPr="00CD3023" w:rsidRDefault="000C2859" w:rsidP="00381437">
            <w:pPr>
              <w:widowControl/>
              <w:jc w:val="left"/>
              <w:rPr>
                <w:rFonts w:ascii="Times New Roman" w:eastAsia="宋体" w:hAnsi="Times New Roman" w:cs="Times New Roman"/>
                <w:b/>
                <w:color w:val="000000"/>
                <w:kern w:val="0"/>
                <w:sz w:val="24"/>
                <w:szCs w:val="24"/>
              </w:rPr>
            </w:pPr>
            <w:r w:rsidRPr="00CD3023">
              <w:rPr>
                <w:rFonts w:ascii="Times New Roman" w:eastAsia="宋体" w:hAnsi="Times New Roman" w:cs="Times New Roman"/>
                <w:b/>
                <w:color w:val="000000"/>
                <w:kern w:val="0"/>
                <w:sz w:val="24"/>
                <w:szCs w:val="24"/>
              </w:rPr>
              <w:t>0.953</w:t>
            </w:r>
          </w:p>
        </w:tc>
      </w:tr>
    </w:tbl>
    <w:p w14:paraId="2EBD162C" w14:textId="47425DDD" w:rsidR="00870E3C" w:rsidRPr="00870E3C" w:rsidRDefault="00870E3C" w:rsidP="003C63AF">
      <w:pPr>
        <w:spacing w:line="440" w:lineRule="exact"/>
        <w:rPr>
          <w:rFonts w:ascii="Times New Roman" w:eastAsia="宋体" w:hAnsi="Times New Roman"/>
          <w:b/>
          <w:sz w:val="24"/>
        </w:rPr>
      </w:pPr>
      <w:r w:rsidRPr="00870E3C">
        <w:rPr>
          <w:rFonts w:ascii="Times New Roman" w:eastAsia="宋体" w:hAnsi="Times New Roman"/>
          <w:b/>
          <w:sz w:val="24"/>
        </w:rPr>
        <w:t xml:space="preserve">4 </w:t>
      </w:r>
      <w:r w:rsidRPr="00870E3C">
        <w:rPr>
          <w:rFonts w:ascii="Times New Roman" w:eastAsia="宋体" w:hAnsi="Times New Roman"/>
          <w:b/>
          <w:sz w:val="24"/>
        </w:rPr>
        <w:t>结论（</w:t>
      </w:r>
      <w:r w:rsidRPr="00870E3C">
        <w:rPr>
          <w:rFonts w:ascii="Times New Roman" w:eastAsia="宋体" w:hAnsi="Times New Roman"/>
          <w:b/>
          <w:sz w:val="24"/>
        </w:rPr>
        <w:t>Conclusion</w:t>
      </w:r>
      <w:r w:rsidRPr="00870E3C">
        <w:rPr>
          <w:rFonts w:ascii="Times New Roman" w:eastAsia="宋体" w:hAnsi="Times New Roman"/>
          <w:b/>
          <w:sz w:val="24"/>
        </w:rPr>
        <w:t>）</w:t>
      </w:r>
    </w:p>
    <w:p w14:paraId="27085394" w14:textId="276D3B81"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本文受肽二级结构、多尺度表示与多粒度语义分析思想的启发，提出了一种基于生物词表示的抗病毒肽预测模型</w:t>
      </w:r>
      <w:r w:rsidRPr="00870E3C">
        <w:rPr>
          <w:rFonts w:ascii="Times New Roman" w:eastAsia="宋体" w:hAnsi="Times New Roman"/>
          <w:sz w:val="24"/>
        </w:rPr>
        <w:t xml:space="preserve"> </w:t>
      </w:r>
      <w:r w:rsidR="003C63AF">
        <w:rPr>
          <w:rFonts w:ascii="Times New Roman" w:eastAsia="宋体" w:hAnsi="Times New Roman"/>
          <w:sz w:val="24"/>
        </w:rPr>
        <w:t>PWR</w:t>
      </w:r>
      <w:r w:rsidRPr="00870E3C">
        <w:rPr>
          <w:rFonts w:ascii="Times New Roman" w:eastAsia="宋体" w:hAnsi="Times New Roman"/>
          <w:sz w:val="24"/>
        </w:rPr>
        <w:t>。实验结果表明，该方法在多个基准</w:t>
      </w:r>
      <w:r w:rsidRPr="00870E3C">
        <w:rPr>
          <w:rFonts w:ascii="Times New Roman" w:eastAsia="宋体" w:hAnsi="Times New Roman"/>
          <w:sz w:val="24"/>
        </w:rPr>
        <w:lastRenderedPageBreak/>
        <w:t>数据集和外部测试集上均取得了显著优于现有方法的性能。我们认为，</w:t>
      </w:r>
      <w:r w:rsidR="003C63AF">
        <w:rPr>
          <w:rFonts w:ascii="Times New Roman" w:eastAsia="宋体" w:hAnsi="Times New Roman"/>
          <w:sz w:val="24"/>
        </w:rPr>
        <w:t>PWR</w:t>
      </w:r>
      <w:r w:rsidRPr="00870E3C">
        <w:rPr>
          <w:rFonts w:ascii="Times New Roman" w:eastAsia="宋体" w:hAnsi="Times New Roman"/>
          <w:sz w:val="24"/>
        </w:rPr>
        <w:t xml:space="preserve"> </w:t>
      </w:r>
      <w:r w:rsidRPr="00870E3C">
        <w:rPr>
          <w:rFonts w:ascii="Times New Roman" w:eastAsia="宋体" w:hAnsi="Times New Roman"/>
          <w:sz w:val="24"/>
        </w:rPr>
        <w:t>可作为一种高效的抗病毒肽筛选工具，而所提出的生物词表示也为生物活性肽识别提供了一种有效的通用表示范式。</w:t>
      </w:r>
    </w:p>
    <w:p w14:paraId="057B1415" w14:textId="77777777" w:rsidR="00870E3C" w:rsidRPr="00870E3C" w:rsidRDefault="00870E3C" w:rsidP="003C63AF">
      <w:pPr>
        <w:spacing w:line="440" w:lineRule="exact"/>
        <w:ind w:firstLineChars="200" w:firstLine="480"/>
        <w:rPr>
          <w:rFonts w:ascii="Times New Roman" w:eastAsia="宋体" w:hAnsi="Times New Roman"/>
          <w:sz w:val="24"/>
        </w:rPr>
      </w:pPr>
      <w:r w:rsidRPr="00870E3C">
        <w:rPr>
          <w:rFonts w:ascii="Times New Roman" w:eastAsia="宋体" w:hAnsi="Times New Roman"/>
          <w:sz w:val="24"/>
        </w:rPr>
        <w:t>未来工作将考虑引入更大规模实验数据、融合多视角特征，并进一步拓展至多标签抗病毒肽功能预测任务。</w:t>
      </w:r>
    </w:p>
    <w:p w14:paraId="65FB27E8" w14:textId="77777777" w:rsidR="00870E3C" w:rsidRPr="003C63AF" w:rsidRDefault="00870E3C" w:rsidP="003C63AF">
      <w:pPr>
        <w:spacing w:line="440" w:lineRule="exact"/>
        <w:ind w:firstLineChars="200" w:firstLine="480"/>
        <w:rPr>
          <w:rFonts w:ascii="Times New Roman" w:eastAsia="宋体" w:hAnsi="Times New Roman" w:hint="eastAsia"/>
          <w:sz w:val="24"/>
        </w:rPr>
      </w:pPr>
    </w:p>
    <w:sectPr w:rsidR="00870E3C" w:rsidRPr="003C63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3C"/>
    <w:rsid w:val="000C2859"/>
    <w:rsid w:val="001F7ABE"/>
    <w:rsid w:val="003C63AF"/>
    <w:rsid w:val="00423FCB"/>
    <w:rsid w:val="00870E3C"/>
    <w:rsid w:val="00AA3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E41F"/>
  <w15:chartTrackingRefBased/>
  <w15:docId w15:val="{D5BBC924-B207-4EA7-BD11-1DEDDC719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0E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0E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0E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0E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0E3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70E3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0E3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0E3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0E3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0E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0E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0E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0E3C"/>
    <w:rPr>
      <w:rFonts w:cstheme="majorBidi"/>
      <w:color w:val="0F4761" w:themeColor="accent1" w:themeShade="BF"/>
      <w:sz w:val="28"/>
      <w:szCs w:val="28"/>
    </w:rPr>
  </w:style>
  <w:style w:type="character" w:customStyle="1" w:styleId="50">
    <w:name w:val="标题 5 字符"/>
    <w:basedOn w:val="a0"/>
    <w:link w:val="5"/>
    <w:uiPriority w:val="9"/>
    <w:semiHidden/>
    <w:rsid w:val="00870E3C"/>
    <w:rPr>
      <w:rFonts w:cstheme="majorBidi"/>
      <w:color w:val="0F4761" w:themeColor="accent1" w:themeShade="BF"/>
      <w:sz w:val="24"/>
      <w:szCs w:val="24"/>
    </w:rPr>
  </w:style>
  <w:style w:type="character" w:customStyle="1" w:styleId="60">
    <w:name w:val="标题 6 字符"/>
    <w:basedOn w:val="a0"/>
    <w:link w:val="6"/>
    <w:uiPriority w:val="9"/>
    <w:semiHidden/>
    <w:rsid w:val="00870E3C"/>
    <w:rPr>
      <w:rFonts w:cstheme="majorBidi"/>
      <w:b/>
      <w:bCs/>
      <w:color w:val="0F4761" w:themeColor="accent1" w:themeShade="BF"/>
    </w:rPr>
  </w:style>
  <w:style w:type="character" w:customStyle="1" w:styleId="70">
    <w:name w:val="标题 7 字符"/>
    <w:basedOn w:val="a0"/>
    <w:link w:val="7"/>
    <w:uiPriority w:val="9"/>
    <w:semiHidden/>
    <w:rsid w:val="00870E3C"/>
    <w:rPr>
      <w:rFonts w:cstheme="majorBidi"/>
      <w:b/>
      <w:bCs/>
      <w:color w:val="595959" w:themeColor="text1" w:themeTint="A6"/>
    </w:rPr>
  </w:style>
  <w:style w:type="character" w:customStyle="1" w:styleId="80">
    <w:name w:val="标题 8 字符"/>
    <w:basedOn w:val="a0"/>
    <w:link w:val="8"/>
    <w:uiPriority w:val="9"/>
    <w:semiHidden/>
    <w:rsid w:val="00870E3C"/>
    <w:rPr>
      <w:rFonts w:cstheme="majorBidi"/>
      <w:color w:val="595959" w:themeColor="text1" w:themeTint="A6"/>
    </w:rPr>
  </w:style>
  <w:style w:type="character" w:customStyle="1" w:styleId="90">
    <w:name w:val="标题 9 字符"/>
    <w:basedOn w:val="a0"/>
    <w:link w:val="9"/>
    <w:uiPriority w:val="9"/>
    <w:semiHidden/>
    <w:rsid w:val="00870E3C"/>
    <w:rPr>
      <w:rFonts w:eastAsiaTheme="majorEastAsia" w:cstheme="majorBidi"/>
      <w:color w:val="595959" w:themeColor="text1" w:themeTint="A6"/>
    </w:rPr>
  </w:style>
  <w:style w:type="paragraph" w:styleId="a3">
    <w:name w:val="Title"/>
    <w:basedOn w:val="a"/>
    <w:next w:val="a"/>
    <w:link w:val="a4"/>
    <w:uiPriority w:val="10"/>
    <w:qFormat/>
    <w:rsid w:val="00870E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0E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E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0E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0E3C"/>
    <w:pPr>
      <w:spacing w:before="160" w:after="160"/>
      <w:jc w:val="center"/>
    </w:pPr>
    <w:rPr>
      <w:i/>
      <w:iCs/>
      <w:color w:val="404040" w:themeColor="text1" w:themeTint="BF"/>
    </w:rPr>
  </w:style>
  <w:style w:type="character" w:customStyle="1" w:styleId="a8">
    <w:name w:val="引用 字符"/>
    <w:basedOn w:val="a0"/>
    <w:link w:val="a7"/>
    <w:uiPriority w:val="29"/>
    <w:rsid w:val="00870E3C"/>
    <w:rPr>
      <w:i/>
      <w:iCs/>
      <w:color w:val="404040" w:themeColor="text1" w:themeTint="BF"/>
    </w:rPr>
  </w:style>
  <w:style w:type="paragraph" w:styleId="a9">
    <w:name w:val="List Paragraph"/>
    <w:basedOn w:val="a"/>
    <w:uiPriority w:val="34"/>
    <w:qFormat/>
    <w:rsid w:val="00870E3C"/>
    <w:pPr>
      <w:ind w:left="720"/>
      <w:contextualSpacing/>
    </w:pPr>
  </w:style>
  <w:style w:type="character" w:styleId="aa">
    <w:name w:val="Intense Emphasis"/>
    <w:basedOn w:val="a0"/>
    <w:uiPriority w:val="21"/>
    <w:qFormat/>
    <w:rsid w:val="00870E3C"/>
    <w:rPr>
      <w:i/>
      <w:iCs/>
      <w:color w:val="0F4761" w:themeColor="accent1" w:themeShade="BF"/>
    </w:rPr>
  </w:style>
  <w:style w:type="paragraph" w:styleId="ab">
    <w:name w:val="Intense Quote"/>
    <w:basedOn w:val="a"/>
    <w:next w:val="a"/>
    <w:link w:val="ac"/>
    <w:uiPriority w:val="30"/>
    <w:qFormat/>
    <w:rsid w:val="00870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0E3C"/>
    <w:rPr>
      <w:i/>
      <w:iCs/>
      <w:color w:val="0F4761" w:themeColor="accent1" w:themeShade="BF"/>
    </w:rPr>
  </w:style>
  <w:style w:type="character" w:styleId="ad">
    <w:name w:val="Intense Reference"/>
    <w:basedOn w:val="a0"/>
    <w:uiPriority w:val="32"/>
    <w:qFormat/>
    <w:rsid w:val="00870E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05633">
      <w:bodyDiv w:val="1"/>
      <w:marLeft w:val="0"/>
      <w:marRight w:val="0"/>
      <w:marTop w:val="0"/>
      <w:marBottom w:val="0"/>
      <w:divBdr>
        <w:top w:val="none" w:sz="0" w:space="0" w:color="auto"/>
        <w:left w:val="none" w:sz="0" w:space="0" w:color="auto"/>
        <w:bottom w:val="none" w:sz="0" w:space="0" w:color="auto"/>
        <w:right w:val="none" w:sz="0" w:space="0" w:color="auto"/>
      </w:divBdr>
    </w:div>
    <w:div w:id="887452763">
      <w:bodyDiv w:val="1"/>
      <w:marLeft w:val="0"/>
      <w:marRight w:val="0"/>
      <w:marTop w:val="0"/>
      <w:marBottom w:val="0"/>
      <w:divBdr>
        <w:top w:val="none" w:sz="0" w:space="0" w:color="auto"/>
        <w:left w:val="none" w:sz="0" w:space="0" w:color="auto"/>
        <w:bottom w:val="none" w:sz="0" w:space="0" w:color="auto"/>
        <w:right w:val="none" w:sz="0" w:space="0" w:color="auto"/>
      </w:divBdr>
    </w:div>
    <w:div w:id="127882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卓宇 魏</dc:creator>
  <cp:keywords/>
  <dc:description/>
  <cp:lastModifiedBy>卓宇 魏</cp:lastModifiedBy>
  <cp:revision>2</cp:revision>
  <dcterms:created xsi:type="dcterms:W3CDTF">2025-12-29T09:15:00Z</dcterms:created>
  <dcterms:modified xsi:type="dcterms:W3CDTF">2025-12-29T09:37:00Z</dcterms:modified>
</cp:coreProperties>
</file>