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3B5C"/>
          <w:sz w:val="44"/>
        </w:rPr>
        <w:t>TOXIKOLOGISCHES BEWERTUNGSGUTACHTEN</w:t>
      </w:r>
    </w:p>
    <w:p/>
    <w:p>
      <w:pPr>
        <w:jc w:val="center"/>
      </w:pPr>
      <w:r>
        <w:rPr>
          <w:color w:val="1A3B5C"/>
          <w:sz w:val="28"/>
        </w:rPr>
        <w:t>OralBiome Pro — Orale Probiotische Lutschtablette</w:t>
      </w:r>
    </w:p>
    <w:p/>
    <w:p>
      <w:pPr>
        <w:jc w:val="center"/>
      </w:pPr>
      <w:r>
        <w:rPr>
          <w:sz w:val="22"/>
        </w:rPr>
        <w:t>Toxikologische Sicherheitsbewertung eines oralen probiotischen Nahrungserganzungsmittels</w:t>
      </w:r>
    </w:p>
    <w:p/>
    <w:p/>
    <w:p/>
    <w:p/>
    <w:p/>
    <w:p/>
    <w:p>
      <w:pPr>
        <w:jc w:val="center"/>
      </w:pPr>
      <w:r>
        <w:rPr>
          <w:b/>
          <w:color w:val="C00000"/>
          <w:sz w:val="24"/>
        </w:rPr>
        <w:t>VERTRAULICH</w:t>
      </w:r>
    </w:p>
    <w:p>
      <w:pPr>
        <w:jc w:val="center"/>
      </w:pPr>
      <w:r>
        <w:rPr>
          <w:sz w:val="18"/>
        </w:rPr>
        <w:t>Dieses Dokument enthalt geschutzte und vertrauliche Informationen. Die Vervielfaltigung, Weitergabe oder Offenlegung an Dritte ohne vorherige schriftliche Genehmigung des Auftraggebers ist untersagt.</w:t>
      </w:r>
    </w:p>
    <w:p>
      <w:r>
        <w:br w:type="page"/>
      </w:r>
    </w:p>
    <w:p>
      <w:pPr>
        <w:pStyle w:val="Heading1"/>
      </w:pPr>
      <w:r>
        <w:t>1. Allgemeine Angaben</w:t>
      </w:r>
    </w:p>
    <w:p>
      <w:r>
        <w:rPr>
          <w:b/>
        </w:rPr>
        <w:t xml:space="preserve">Berichtstitel: </w:t>
      </w:r>
      <w:r>
        <w:t>Toxikologische Sicherheitsbewertung — OralBiome Pro Orale Probiotische Lutschtablette</w:t>
      </w:r>
    </w:p>
    <w:p>
      <w:r>
        <w:rPr>
          <w:b/>
        </w:rPr>
        <w:t xml:space="preserve">Berichtsnummer: </w:t>
      </w:r>
      <w:r>
        <w:t>TOX-CALQIX-OBP-[XXXX]-001</w:t>
      </w:r>
    </w:p>
    <w:p>
      <w:r>
        <w:rPr>
          <w:b/>
        </w:rPr>
        <w:t xml:space="preserve">Version: </w:t>
      </w:r>
      <w:r>
        <w:t>1.0 — Entwurf zur Uberprufung</w:t>
      </w:r>
    </w:p>
    <w:p>
      <w:r>
        <w:rPr>
          <w:b/>
        </w:rPr>
        <w:t xml:space="preserve">Datum: </w:t>
      </w:r>
      <w:r>
        <w:t>[TT Monat JJJJ]</w:t>
      </w:r>
    </w:p>
    <w:p>
      <w:r>
        <w:rPr>
          <w:b/>
        </w:rPr>
        <w:t xml:space="preserve">Auftraggeber: </w:t>
      </w:r>
      <w:r>
        <w:t>CALQIX B.V.</w:t>
      </w:r>
    </w:p>
    <w:p>
      <w:r>
        <w:rPr>
          <w:b/>
        </w:rPr>
        <w:t xml:space="preserve">Verfasser / Toxikologe: </w:t>
      </w:r>
      <w:r>
        <w:t>[Name], [Akademische Grade]</w:t>
        <w:br/>
        <w:t>[Titel / Funktion]</w:t>
        <w:br/>
        <w:t>[Registrierungsnummer]</w:t>
      </w:r>
    </w:p>
    <w:p>
      <w:r>
        <w:rPr>
          <w:b/>
        </w:rPr>
        <w:t xml:space="preserve">Unternehmensdaten: </w:t>
      </w:r>
      <w:r>
        <w:t>CALQIX B.V.</w:t>
        <w:br/>
        <w:t>[Adresse]</w:t>
        <w:br/>
        <w:t>Niederlande</w:t>
        <w:br/>
        <w:t>KvK: [Nummer]</w:t>
        <w:br/>
        <w:t>USt-IdNr.: [Nummer]</w:t>
      </w:r>
    </w:p>
    <w:p>
      <w:r>
        <w:rPr>
          <w:b/>
        </w:rPr>
        <w:t xml:space="preserve">Kontakt: </w:t>
      </w:r>
      <w:r>
        <w:t>E-Mail: info@calqix.com</w:t>
        <w:br/>
        <w:t>Tel: [Nummer]</w:t>
      </w:r>
    </w:p>
    <w:p>
      <w:pPr>
        <w:pStyle w:val="Heading1"/>
      </w:pPr>
      <w:r>
        <w:t>2. Zweck der Bewertung</w:t>
      </w:r>
    </w:p>
    <w:p>
      <w:r>
        <w:rPr>
          <w:b w:val="0"/>
          <w:i w:val="0"/>
        </w:rPr>
        <w:t>Zweck dieses Berichts ist die toxikologische Sicherheitsbewertung des Produkts "OralBiome Pro" (nachfolgend: "das Produkt"), eines oralen probiotischen Nahrungserganzungsmittels in Form einer auflosbaren Lutschtablette, hergestellt und vertrieben von CALQIX B.V.</w:t>
      </w:r>
    </w:p>
    <w:p>
      <w:r>
        <w:rPr>
          <w:b w:val="0"/>
          <w:i w:val="0"/>
        </w:rPr>
        <w:t>Diese Bewertung pruft, ob das Produkt bei bestimmungsgemasser Verwendung durch die erwachsene Verbraucherpopulation ein akzeptables Sicherheitsniveau aufweist.</w:t>
      </w:r>
    </w:p>
    <w:p>
      <w:r>
        <w:rPr>
          <w:b w:val="0"/>
          <w:i w:val="0"/>
        </w:rPr>
        <w:t>Der Umfang umfasst:</w:t>
        <w:br/>
        <w:t>- Identifizierung und Charakterisierung aller Inhaltsstoffe</w:t>
        <w:br/>
        <w:t>- Gefahrenidentifizierung auf Grundlage verfugbarer toxikologischer Daten</w:t>
        <w:br/>
        <w:t>- Expositionsabschatzung unter vernunftigerweise vorhersehbaren Verwendungsbedingungen</w:t>
        <w:br/>
        <w:t>- Risikocharakterisierung einschliesslich Berechnung von Sicherheitsmargen (MoS) / Expositionsmargen (MoE)</w:t>
        <w:br/>
        <w:t>- Identifizierung von Datenlucken, Unsicherheiten und Einschrankungen</w:t>
      </w:r>
    </w:p>
    <w:p>
      <w:r>
        <w:rPr>
          <w:b w:val="0"/>
          <w:i w:val="0"/>
        </w:rPr>
        <w:t>Regulatorischer Kontext: Verordnung (EG) Nr. 178/2002, Verordnung (EG) Nr. 1924/2006, Richtlinie 2002/46/EG und einschlagige nationale Umsetzungsgesetzgebung.</w:t>
      </w:r>
    </w:p>
    <w:p>
      <w:pPr>
        <w:pStyle w:val="Heading1"/>
      </w:pPr>
      <w:r>
        <w:t>3. Produktidentifizierung</w:t>
      </w:r>
    </w:p>
    <w:p>
      <w:r>
        <w:rPr>
          <w:b/>
        </w:rPr>
        <w:t xml:space="preserve">Produktname: </w:t>
      </w:r>
      <w:r>
        <w:t>OralBiome Pro</w:t>
      </w:r>
    </w:p>
    <w:p>
      <w:r>
        <w:rPr>
          <w:b/>
        </w:rPr>
        <w:t xml:space="preserve">Produkttyp: </w:t>
      </w:r>
      <w:r>
        <w:t>Nahrungserganzungsmittel (orales Probiotikum)</w:t>
      </w:r>
    </w:p>
    <w:p>
      <w:r>
        <w:rPr>
          <w:b/>
        </w:rPr>
        <w:t xml:space="preserve">Darreichungsform: </w:t>
      </w:r>
      <w:r>
        <w:t>Auflosbare Lutschtablette (Tablette zur bukkalen/sublingualen Auflosung)</w:t>
      </w:r>
    </w:p>
    <w:p>
      <w:r>
        <w:rPr>
          <w:b/>
        </w:rPr>
        <w:t xml:space="preserve">Beschreibung: </w:t>
      </w:r>
      <w:r>
        <w:t>OralBiome Pro ist ein tagliches orales probiotisches Nahrungserganzungsmittel mit vier klinisch untersuchten Bakterienstammen (Lactobacillus reuteri DSM 17938, Lactobacillus paracasei, Streptococcus salivarius K12, Streptococcus salivarius M18), kombiniert mit Xylitol und naturlichem Pfefferminzaroma.</w:t>
      </w:r>
    </w:p>
    <w:p>
      <w:r>
        <w:rPr>
          <w:b/>
        </w:rPr>
        <w:t xml:space="preserve">Charge / Referenz: </w:t>
      </w:r>
      <w:r>
        <w:t>[Chargennummer(n)]</w:t>
      </w:r>
    </w:p>
    <w:p>
      <w:r>
        <w:rPr>
          <w:b/>
        </w:rPr>
        <w:t xml:space="preserve">Hersteller: </w:t>
      </w:r>
      <w:r>
        <w:t>[Name und Adresse]</w:t>
        <w:br/>
        <w:t>[GMP/HACCP/ISO-Zertifizierung]</w:t>
      </w:r>
    </w:p>
    <w:p>
      <w:r>
        <w:rPr>
          <w:b/>
        </w:rPr>
        <w:t xml:space="preserve">Zielpopulation: </w:t>
      </w:r>
      <w:r>
        <w:t>Erwachsene (ab 18 Jahren). Nicht bestimmt fur Kinder.</w:t>
      </w:r>
    </w:p>
    <w:p>
      <w:r>
        <w:rPr>
          <w:b/>
        </w:rPr>
        <w:t xml:space="preserve">Vorgesehene Verwendung: </w:t>
      </w:r>
      <w:r>
        <w:t>Tagliches Nahrungserganzungsmittel. 1 Lutschtablette nach dem Zahneputzen langsam im Mund auflosen lassen.</w:t>
      </w:r>
    </w:p>
    <w:p>
      <w:r>
        <w:rPr>
          <w:b/>
        </w:rPr>
        <w:t xml:space="preserve">Expositionsroute: </w:t>
      </w:r>
      <w:r>
        <w:t>Oral: primar bukkal/sublingual; sekundar gastrointestinal.</w:t>
      </w:r>
    </w:p>
    <w:p>
      <w:r>
        <w:rPr>
          <w:b/>
        </w:rPr>
        <w:t xml:space="preserve">Haufigkeit: </w:t>
      </w:r>
      <w:r>
        <w:t>1 Lutschtablette pro Tag</w:t>
      </w:r>
    </w:p>
    <w:p>
      <w:pPr>
        <w:pStyle w:val="Heading1"/>
      </w:pPr>
      <w:r>
        <w:t>4. Verfugbare Dokumentation</w:t>
      </w:r>
    </w:p>
    <w:p>
      <w:r>
        <w:rPr>
          <w:b w:val="0"/>
          <w:i w:val="0"/>
        </w:rPr>
        <w:t>Folgende Dokumentation war verfugbar oder wurde angefordert: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3B5C" w:color="auto" w:val="clear"/>
          </w:tcPr>
          <w:p>
            <w:r/>
            <w:r>
              <w:rPr>
                <w:rFonts w:ascii="Calibri" w:hAnsi="Calibri"/>
                <w:b/>
                <w:color w:val="FFFFFF"/>
                <w:sz w:val="18"/>
              </w:rPr>
              <w:t>Dokumententyp</w:t>
            </w:r>
          </w:p>
        </w:tc>
        <w:tc>
          <w:tcPr>
            <w:tcW w:type="dxa" w:w="3135"/>
            <w:shd w:fill="1A3B5C" w:color="auto" w:val="clear"/>
          </w:tcPr>
          <w:p>
            <w:r/>
            <w:r>
              <w:rPr>
                <w:rFonts w:ascii="Calibri" w:hAnsi="Calibri"/>
                <w:b/>
                <w:color w:val="FFFFFF"/>
                <w:sz w:val="18"/>
              </w:rPr>
              <w:t>Status</w:t>
            </w:r>
          </w:p>
        </w:tc>
        <w:tc>
          <w:tcPr>
            <w:tcW w:type="dxa" w:w="3135"/>
            <w:shd w:fill="1A3B5C" w:color="auto" w:val="clear"/>
          </w:tcPr>
          <w:p>
            <w:r/>
            <w:r>
              <w:rPr>
                <w:rFonts w:ascii="Calibri" w:hAnsi="Calibri"/>
                <w:b/>
                <w:color w:val="FFFFFF"/>
                <w:sz w:val="18"/>
              </w:rPr>
              <w:t>Anmerkungen</w:t>
            </w:r>
          </w:p>
        </w:tc>
      </w:tr>
      <w:tr>
        <w:tc>
          <w:tcPr>
            <w:tcW w:type="dxa" w:w="3135"/>
          </w:tcPr>
          <w:p>
            <w:r/>
            <w:r>
              <w:rPr>
                <w:rFonts w:ascii="Calibri" w:hAnsi="Calibri"/>
                <w:sz w:val="18"/>
              </w:rPr>
              <w:t>Vollstandige qualitative/quantitative Zusammensetzung</w:t>
            </w:r>
          </w:p>
        </w:tc>
        <w:tc>
          <w:tcPr>
            <w:tcW w:type="dxa" w:w="3135"/>
          </w:tcPr>
          <w:p>
            <w:r/>
            <w:r>
              <w:rPr>
                <w:rFonts w:ascii="Calibri" w:hAnsi="Calibri"/>
                <w:sz w:val="18"/>
              </w:rPr>
              <w:t>[Verfugbar/Ausstehend]</w:t>
            </w:r>
          </w:p>
        </w:tc>
        <w:tc>
          <w:tcPr>
            <w:tcW w:type="dxa" w:w="3135"/>
          </w:tcPr>
          <w:p>
            <w:r/>
            <w:r>
              <w:rPr>
                <w:rFonts w:ascii="Calibri" w:hAnsi="Calibri"/>
                <w:sz w:val="18"/>
              </w:rPr>
            </w:r>
          </w:p>
        </w:tc>
      </w:tr>
      <w:tr>
        <w:tc>
          <w:tcPr>
            <w:tcW w:type="dxa" w:w="3135"/>
          </w:tcPr>
          <w:p>
            <w:r/>
            <w:r>
              <w:rPr>
                <w:rFonts w:ascii="Calibri" w:hAnsi="Calibri"/>
                <w:sz w:val="18"/>
              </w:rPr>
              <w:t>Sicherheitsdatenblatter (SDB) — alle Rohstoffe</w:t>
            </w:r>
          </w:p>
        </w:tc>
        <w:tc>
          <w:tcPr>
            <w:tcW w:type="dxa" w:w="3135"/>
          </w:tcPr>
          <w:p>
            <w:r/>
            <w:r>
              <w:rPr>
                <w:rFonts w:ascii="Calibri" w:hAnsi="Calibri"/>
                <w:sz w:val="18"/>
              </w:rPr>
              <w:t>[Verfugbar/Ausstehend]</w:t>
            </w:r>
          </w:p>
        </w:tc>
        <w:tc>
          <w:tcPr>
            <w:tcW w:type="dxa" w:w="3135"/>
          </w:tcPr>
          <w:p>
            <w:r/>
            <w:r>
              <w:rPr>
                <w:rFonts w:ascii="Calibri" w:hAnsi="Calibri"/>
                <w:sz w:val="18"/>
              </w:rPr>
              <w:t>Pro Inhaltsstoff</w:t>
            </w:r>
          </w:p>
        </w:tc>
      </w:tr>
      <w:tr>
        <w:tc>
          <w:tcPr>
            <w:tcW w:type="dxa" w:w="3135"/>
          </w:tcPr>
          <w:p>
            <w:r/>
            <w:r>
              <w:rPr>
                <w:rFonts w:ascii="Calibri" w:hAnsi="Calibri"/>
                <w:sz w:val="18"/>
              </w:rPr>
              <w:t>Produktspezifikationen</w:t>
            </w:r>
          </w:p>
        </w:tc>
        <w:tc>
          <w:tcPr>
            <w:tcW w:type="dxa" w:w="3135"/>
          </w:tcPr>
          <w:p>
            <w:r/>
            <w:r>
              <w:rPr>
                <w:rFonts w:ascii="Calibri" w:hAnsi="Calibri"/>
                <w:sz w:val="18"/>
              </w:rPr>
              <w:t>[Verfugbar/Ausstehend]</w:t>
            </w:r>
          </w:p>
        </w:tc>
        <w:tc>
          <w:tcPr>
            <w:tcW w:type="dxa" w:w="3135"/>
          </w:tcPr>
          <w:p>
            <w:r/>
            <w:r>
              <w:rPr>
                <w:rFonts w:ascii="Calibri" w:hAnsi="Calibri"/>
                <w:sz w:val="18"/>
              </w:rPr>
            </w:r>
          </w:p>
        </w:tc>
      </w:tr>
      <w:tr>
        <w:tc>
          <w:tcPr>
            <w:tcW w:type="dxa" w:w="3135"/>
          </w:tcPr>
          <w:p>
            <w:r/>
            <w:r>
              <w:rPr>
                <w:rFonts w:ascii="Calibri" w:hAnsi="Calibri"/>
                <w:sz w:val="18"/>
              </w:rPr>
              <w:t>Analysezertifikate (CoA)</w:t>
            </w:r>
          </w:p>
        </w:tc>
        <w:tc>
          <w:tcPr>
            <w:tcW w:type="dxa" w:w="3135"/>
          </w:tcPr>
          <w:p>
            <w:r/>
            <w:r>
              <w:rPr>
                <w:rFonts w:ascii="Calibri" w:hAnsi="Calibri"/>
                <w:sz w:val="18"/>
              </w:rPr>
              <w:t>[Verfugbar/Ausstehend]</w:t>
            </w:r>
          </w:p>
        </w:tc>
        <w:tc>
          <w:tcPr>
            <w:tcW w:type="dxa" w:w="3135"/>
          </w:tcPr>
          <w:p>
            <w:r/>
            <w:r>
              <w:rPr>
                <w:rFonts w:ascii="Calibri" w:hAnsi="Calibri"/>
                <w:sz w:val="18"/>
              </w:rPr>
            </w:r>
          </w:p>
        </w:tc>
      </w:tr>
      <w:tr>
        <w:tc>
          <w:tcPr>
            <w:tcW w:type="dxa" w:w="3135"/>
          </w:tcPr>
          <w:p>
            <w:r/>
            <w:r>
              <w:rPr>
                <w:rFonts w:ascii="Calibri" w:hAnsi="Calibri"/>
                <w:sz w:val="18"/>
              </w:rPr>
              <w:t>Mikrobiologische Testergebnisse</w:t>
            </w:r>
          </w:p>
        </w:tc>
        <w:tc>
          <w:tcPr>
            <w:tcW w:type="dxa" w:w="3135"/>
          </w:tcPr>
          <w:p>
            <w:r/>
            <w:r>
              <w:rPr>
                <w:rFonts w:ascii="Calibri" w:hAnsi="Calibri"/>
                <w:sz w:val="18"/>
              </w:rPr>
              <w:t>[Verfugbar/Ausstehend]</w:t>
            </w:r>
          </w:p>
        </w:tc>
        <w:tc>
          <w:tcPr>
            <w:tcW w:type="dxa" w:w="3135"/>
          </w:tcPr>
          <w:p>
            <w:r/>
            <w:r>
              <w:rPr>
                <w:rFonts w:ascii="Calibri" w:hAnsi="Calibri"/>
                <w:sz w:val="18"/>
              </w:rPr>
            </w:r>
          </w:p>
        </w:tc>
      </w:tr>
      <w:tr>
        <w:tc>
          <w:tcPr>
            <w:tcW w:type="dxa" w:w="3135"/>
          </w:tcPr>
          <w:p>
            <w:r/>
            <w:r>
              <w:rPr>
                <w:rFonts w:ascii="Calibri" w:hAnsi="Calibri"/>
                <w:sz w:val="18"/>
              </w:rPr>
              <w:t>Stabilitatsdaten</w:t>
            </w:r>
          </w:p>
        </w:tc>
        <w:tc>
          <w:tcPr>
            <w:tcW w:type="dxa" w:w="3135"/>
          </w:tcPr>
          <w:p>
            <w:r/>
            <w:r>
              <w:rPr>
                <w:rFonts w:ascii="Calibri" w:hAnsi="Calibri"/>
                <w:sz w:val="18"/>
              </w:rPr>
              <w:t>[Verfugbar/Ausstehend]</w:t>
            </w:r>
          </w:p>
        </w:tc>
        <w:tc>
          <w:tcPr>
            <w:tcW w:type="dxa" w:w="3135"/>
          </w:tcPr>
          <w:p>
            <w:r/>
            <w:r>
              <w:rPr>
                <w:rFonts w:ascii="Calibri" w:hAnsi="Calibri"/>
                <w:sz w:val="18"/>
              </w:rPr>
            </w:r>
          </w:p>
        </w:tc>
      </w:tr>
      <w:tr>
        <w:tc>
          <w:tcPr>
            <w:tcW w:type="dxa" w:w="3135"/>
          </w:tcPr>
          <w:p>
            <w:r/>
            <w:r>
              <w:rPr>
                <w:rFonts w:ascii="Calibri" w:hAnsi="Calibri"/>
                <w:sz w:val="18"/>
              </w:rPr>
              <w:t>Produktetikett / Verpackung</w:t>
            </w:r>
          </w:p>
        </w:tc>
        <w:tc>
          <w:tcPr>
            <w:tcW w:type="dxa" w:w="3135"/>
          </w:tcPr>
          <w:p>
            <w:r/>
            <w:r>
              <w:rPr>
                <w:rFonts w:ascii="Calibri" w:hAnsi="Calibri"/>
                <w:sz w:val="18"/>
              </w:rPr>
              <w:t>[Verfugbar/Ausstehend]</w:t>
            </w:r>
          </w:p>
        </w:tc>
        <w:tc>
          <w:tcPr>
            <w:tcW w:type="dxa" w:w="3135"/>
          </w:tcPr>
          <w:p>
            <w:r/>
            <w:r>
              <w:rPr>
                <w:rFonts w:ascii="Calibri" w:hAnsi="Calibri"/>
                <w:sz w:val="18"/>
              </w:rPr>
            </w:r>
          </w:p>
        </w:tc>
      </w:tr>
      <w:tr>
        <w:tc>
          <w:tcPr>
            <w:tcW w:type="dxa" w:w="3135"/>
          </w:tcPr>
          <w:p>
            <w:r/>
            <w:r>
              <w:rPr>
                <w:rFonts w:ascii="Calibri" w:hAnsi="Calibri"/>
                <w:sz w:val="18"/>
              </w:rPr>
              <w:t>Veroffentlichte Literatur / klinische Studien</w:t>
            </w:r>
          </w:p>
        </w:tc>
        <w:tc>
          <w:tcPr>
            <w:tcW w:type="dxa" w:w="3135"/>
          </w:tcPr>
          <w:p>
            <w:r/>
            <w:r>
              <w:rPr>
                <w:rFonts w:ascii="Calibri" w:hAnsi="Calibri"/>
                <w:sz w:val="18"/>
              </w:rPr>
              <w:t>[Verfugbar/Ausstehend]</w:t>
            </w:r>
          </w:p>
        </w:tc>
        <w:tc>
          <w:tcPr>
            <w:tcW w:type="dxa" w:w="3135"/>
          </w:tcPr>
          <w:p>
            <w:r/>
            <w:r>
              <w:rPr>
                <w:rFonts w:ascii="Calibri" w:hAnsi="Calibri"/>
                <w:sz w:val="18"/>
              </w:rPr>
            </w:r>
          </w:p>
        </w:tc>
      </w:tr>
      <w:tr>
        <w:tc>
          <w:tcPr>
            <w:tcW w:type="dxa" w:w="3135"/>
          </w:tcPr>
          <w:p>
            <w:r/>
            <w:r>
              <w:rPr>
                <w:rFonts w:ascii="Calibri" w:hAnsi="Calibri"/>
                <w:sz w:val="18"/>
              </w:rPr>
              <w:t>Stammidentifizierungszertifikate</w:t>
            </w:r>
          </w:p>
        </w:tc>
        <w:tc>
          <w:tcPr>
            <w:tcW w:type="dxa" w:w="3135"/>
          </w:tcPr>
          <w:p>
            <w:r/>
            <w:r>
              <w:rPr>
                <w:rFonts w:ascii="Calibri" w:hAnsi="Calibri"/>
                <w:sz w:val="18"/>
              </w:rPr>
              <w:t>[Verfugbar/Ausstehend]</w:t>
            </w:r>
          </w:p>
        </w:tc>
        <w:tc>
          <w:tcPr>
            <w:tcW w:type="dxa" w:w="3135"/>
          </w:tcPr>
          <w:p>
            <w:r/>
            <w:r>
              <w:rPr>
                <w:rFonts w:ascii="Calibri" w:hAnsi="Calibri"/>
                <w:sz w:val="18"/>
              </w:rPr>
            </w:r>
          </w:p>
        </w:tc>
      </w:tr>
      <w:tr>
        <w:tc>
          <w:tcPr>
            <w:tcW w:type="dxa" w:w="3135"/>
          </w:tcPr>
          <w:p>
            <w:r/>
            <w:r>
              <w:rPr>
                <w:rFonts w:ascii="Calibri" w:hAnsi="Calibri"/>
                <w:sz w:val="18"/>
              </w:rPr>
              <w:t>Antibiotikaresistenzprofile</w:t>
            </w:r>
          </w:p>
        </w:tc>
        <w:tc>
          <w:tcPr>
            <w:tcW w:type="dxa" w:w="3135"/>
          </w:tcPr>
          <w:p>
            <w:r/>
            <w:r>
              <w:rPr>
                <w:rFonts w:ascii="Calibri" w:hAnsi="Calibri"/>
                <w:sz w:val="18"/>
              </w:rPr>
              <w:t>[Verfugbar/Ausstehend]</w:t>
            </w:r>
          </w:p>
        </w:tc>
        <w:tc>
          <w:tcPr>
            <w:tcW w:type="dxa" w:w="3135"/>
          </w:tcPr>
          <w:p>
            <w:r/>
            <w:r>
              <w:rPr>
                <w:rFonts w:ascii="Calibri" w:hAnsi="Calibri"/>
                <w:sz w:val="18"/>
              </w:rPr>
              <w:t>EFSA-Anforderung</w:t>
            </w:r>
          </w:p>
        </w:tc>
      </w:tr>
      <w:tr>
        <w:tc>
          <w:tcPr>
            <w:tcW w:type="dxa" w:w="3135"/>
          </w:tcPr>
          <w:p>
            <w:r/>
            <w:r>
              <w:rPr>
                <w:rFonts w:ascii="Calibri" w:hAnsi="Calibri"/>
                <w:sz w:val="18"/>
              </w:rPr>
              <w:t>QPS-Statusdokumentation</w:t>
            </w:r>
          </w:p>
        </w:tc>
        <w:tc>
          <w:tcPr>
            <w:tcW w:type="dxa" w:w="3135"/>
          </w:tcPr>
          <w:p>
            <w:r/>
            <w:r>
              <w:rPr>
                <w:rFonts w:ascii="Calibri" w:hAnsi="Calibri"/>
                <w:sz w:val="18"/>
              </w:rPr>
              <w:t>[Verfugbar/Ausstehend]</w:t>
            </w:r>
          </w:p>
        </w:tc>
        <w:tc>
          <w:tcPr>
            <w:tcW w:type="dxa" w:w="3135"/>
          </w:tcPr>
          <w:p>
            <w:r/>
            <w:r>
              <w:rPr>
                <w:rFonts w:ascii="Calibri" w:hAnsi="Calibri"/>
                <w:sz w:val="18"/>
              </w:rPr>
            </w:r>
          </w:p>
        </w:tc>
      </w:tr>
      <w:tr>
        <w:tc>
          <w:tcPr>
            <w:tcW w:type="dxa" w:w="3135"/>
          </w:tcPr>
          <w:p>
            <w:r/>
            <w:r>
              <w:rPr>
                <w:rFonts w:ascii="Calibri" w:hAnsi="Calibri"/>
                <w:sz w:val="18"/>
              </w:rPr>
              <w:t>Schwermetall-/Kontaminantentests</w:t>
            </w:r>
          </w:p>
        </w:tc>
        <w:tc>
          <w:tcPr>
            <w:tcW w:type="dxa" w:w="3135"/>
          </w:tcPr>
          <w:p>
            <w:r/>
            <w:r>
              <w:rPr>
                <w:rFonts w:ascii="Calibri" w:hAnsi="Calibri"/>
                <w:sz w:val="18"/>
              </w:rPr>
              <w:t>[Verfugbar/Ausstehend]</w:t>
            </w:r>
          </w:p>
        </w:tc>
        <w:tc>
          <w:tcPr>
            <w:tcW w:type="dxa" w:w="3135"/>
          </w:tcPr>
          <w:p>
            <w:r/>
            <w:r>
              <w:rPr>
                <w:rFonts w:ascii="Calibri" w:hAnsi="Calibri"/>
                <w:sz w:val="18"/>
              </w:rPr>
              <w:t>Pb, Cd, Hg, As</w:t>
            </w:r>
          </w:p>
        </w:tc>
      </w:tr>
      <w:tr>
        <w:tc>
          <w:tcPr>
            <w:tcW w:type="dxa" w:w="3135"/>
          </w:tcPr>
          <w:p>
            <w:r/>
            <w:r>
              <w:rPr>
                <w:rFonts w:ascii="Calibri" w:hAnsi="Calibri"/>
                <w:sz w:val="18"/>
              </w:rPr>
              <w:t>Allergenbewertung</w:t>
            </w:r>
          </w:p>
        </w:tc>
        <w:tc>
          <w:tcPr>
            <w:tcW w:type="dxa" w:w="3135"/>
          </w:tcPr>
          <w:p>
            <w:r/>
            <w:r>
              <w:rPr>
                <w:rFonts w:ascii="Calibri" w:hAnsi="Calibri"/>
                <w:sz w:val="18"/>
              </w:rPr>
              <w:t>[Verfugbar/Ausstehend]</w:t>
            </w:r>
          </w:p>
        </w:tc>
        <w:tc>
          <w:tcPr>
            <w:tcW w:type="dxa" w:w="3135"/>
          </w:tcPr>
          <w:p>
            <w:r/>
            <w:r>
              <w:rPr>
                <w:rFonts w:ascii="Calibri" w:hAnsi="Calibri"/>
                <w:sz w:val="18"/>
              </w:rPr>
            </w:r>
          </w:p>
        </w:tc>
      </w:tr>
    </w:tbl>
    <w:p>
      <w:pPr>
        <w:pStyle w:val="Heading1"/>
      </w:pPr>
      <w:r>
        <w:t>5. Qualitative und quantitative Zusammensetzung</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A3B5C" w:color="auto" w:val="clear"/>
          </w:tcPr>
          <w:p>
            <w:r/>
            <w:r>
              <w:rPr>
                <w:rFonts w:ascii="Calibri" w:hAnsi="Calibri"/>
                <w:b/>
                <w:color w:val="FFFFFF"/>
                <w:sz w:val="18"/>
              </w:rPr>
              <w:t>No.</w:t>
            </w:r>
          </w:p>
        </w:tc>
        <w:tc>
          <w:tcPr>
            <w:tcW w:type="dxa" w:w="1568"/>
            <w:shd w:fill="1A3B5C" w:color="auto" w:val="clear"/>
          </w:tcPr>
          <w:p>
            <w:r/>
            <w:r>
              <w:rPr>
                <w:rFonts w:ascii="Calibri" w:hAnsi="Calibri"/>
                <w:b/>
                <w:color w:val="FFFFFF"/>
                <w:sz w:val="18"/>
              </w:rPr>
              <w:t>Bestandteil</w:t>
            </w:r>
          </w:p>
        </w:tc>
        <w:tc>
          <w:tcPr>
            <w:tcW w:type="dxa" w:w="1568"/>
            <w:shd w:fill="1A3B5C" w:color="auto" w:val="clear"/>
          </w:tcPr>
          <w:p>
            <w:r/>
            <w:r>
              <w:rPr>
                <w:rFonts w:ascii="Calibri" w:hAnsi="Calibri"/>
                <w:b/>
                <w:color w:val="FFFFFF"/>
                <w:sz w:val="18"/>
              </w:rPr>
              <w:t>CAS/EC</w:t>
            </w:r>
          </w:p>
        </w:tc>
        <w:tc>
          <w:tcPr>
            <w:tcW w:type="dxa" w:w="1568"/>
            <w:shd w:fill="1A3B5C" w:color="auto" w:val="clear"/>
          </w:tcPr>
          <w:p>
            <w:r/>
            <w:r>
              <w:rPr>
                <w:rFonts w:ascii="Calibri" w:hAnsi="Calibri"/>
                <w:b/>
                <w:color w:val="FFFFFF"/>
                <w:sz w:val="18"/>
              </w:rPr>
              <w:t>Funktion</w:t>
            </w:r>
          </w:p>
        </w:tc>
        <w:tc>
          <w:tcPr>
            <w:tcW w:type="dxa" w:w="1568"/>
            <w:shd w:fill="1A3B5C" w:color="auto" w:val="clear"/>
          </w:tcPr>
          <w:p>
            <w:r/>
            <w:r>
              <w:rPr>
                <w:rFonts w:ascii="Calibri" w:hAnsi="Calibri"/>
                <w:b/>
                <w:color w:val="FFFFFF"/>
                <w:sz w:val="18"/>
              </w:rPr>
              <w:t>Menge</w:t>
            </w:r>
          </w:p>
        </w:tc>
        <w:tc>
          <w:tcPr>
            <w:tcW w:type="dxa" w:w="1568"/>
            <w:shd w:fill="1A3B5C" w:color="auto" w:val="clear"/>
          </w:tcPr>
          <w:p>
            <w:r/>
            <w:r>
              <w:rPr>
                <w:rFonts w:ascii="Calibri" w:hAnsi="Calibri"/>
                <w:b/>
                <w:color w:val="FFFFFF"/>
                <w:sz w:val="18"/>
              </w:rPr>
              <w:t>Anmerkungen</w:t>
            </w:r>
          </w:p>
        </w:tc>
      </w:tr>
      <w:tr>
        <w:tc>
          <w:tcPr>
            <w:tcW w:type="dxa" w:w="1568"/>
          </w:tcPr>
          <w:p>
            <w:r/>
            <w:r>
              <w:rPr>
                <w:rFonts w:ascii="Calibri" w:hAnsi="Calibri"/>
                <w:sz w:val="18"/>
              </w:rPr>
              <w:t>1</w:t>
            </w:r>
          </w:p>
        </w:tc>
        <w:tc>
          <w:tcPr>
            <w:tcW w:type="dxa" w:w="1568"/>
          </w:tcPr>
          <w:p>
            <w:r/>
            <w:r>
              <w:rPr>
                <w:rFonts w:ascii="Calibri" w:hAnsi="Calibri"/>
                <w:sz w:val="18"/>
              </w:rPr>
              <w:t>Lactobacillus reuteri DSM 17938</w:t>
            </w:r>
          </w:p>
        </w:tc>
        <w:tc>
          <w:tcPr>
            <w:tcW w:type="dxa" w:w="1568"/>
          </w:tcPr>
          <w:p>
            <w:r/>
            <w:r>
              <w:rPr>
                <w:rFonts w:ascii="Calibri" w:hAnsi="Calibri"/>
                <w:sz w:val="18"/>
              </w:rPr>
              <w:t>N/A (biol.)</w:t>
            </w:r>
          </w:p>
        </w:tc>
        <w:tc>
          <w:tcPr>
            <w:tcW w:type="dxa" w:w="1568"/>
          </w:tcPr>
          <w:p>
            <w:r/>
            <w:r>
              <w:rPr>
                <w:rFonts w:ascii="Calibri" w:hAnsi="Calibri"/>
                <w:sz w:val="18"/>
              </w:rPr>
              <w:t>Wirkstoff — orales Probiotikum</w:t>
            </w:r>
          </w:p>
        </w:tc>
        <w:tc>
          <w:tcPr>
            <w:tcW w:type="dxa" w:w="1568"/>
          </w:tcPr>
          <w:p>
            <w:r/>
            <w:r>
              <w:rPr>
                <w:rFonts w:ascii="Calibri" w:hAnsi="Calibri"/>
                <w:sz w:val="18"/>
              </w:rPr>
              <w:t>100M KBE</w:t>
            </w:r>
          </w:p>
        </w:tc>
        <w:tc>
          <w:tcPr>
            <w:tcW w:type="dxa" w:w="1568"/>
          </w:tcPr>
          <w:p>
            <w:r/>
            <w:r>
              <w:rPr>
                <w:rFonts w:ascii="Calibri" w:hAnsi="Calibri"/>
                <w:sz w:val="18"/>
              </w:rPr>
              <w:t>EFSA QPS</w:t>
            </w:r>
          </w:p>
        </w:tc>
      </w:tr>
      <w:tr>
        <w:tc>
          <w:tcPr>
            <w:tcW w:type="dxa" w:w="1568"/>
          </w:tcPr>
          <w:p>
            <w:r/>
            <w:r>
              <w:rPr>
                <w:rFonts w:ascii="Calibri" w:hAnsi="Calibri"/>
                <w:sz w:val="18"/>
              </w:rPr>
              <w:t>2</w:t>
            </w:r>
          </w:p>
        </w:tc>
        <w:tc>
          <w:tcPr>
            <w:tcW w:type="dxa" w:w="1568"/>
          </w:tcPr>
          <w:p>
            <w:r/>
            <w:r>
              <w:rPr>
                <w:rFonts w:ascii="Calibri" w:hAnsi="Calibri"/>
                <w:sz w:val="18"/>
              </w:rPr>
              <w:t>Lactobacillus paracasei [strain]</w:t>
            </w:r>
          </w:p>
        </w:tc>
        <w:tc>
          <w:tcPr>
            <w:tcW w:type="dxa" w:w="1568"/>
          </w:tcPr>
          <w:p>
            <w:r/>
            <w:r>
              <w:rPr>
                <w:rFonts w:ascii="Calibri" w:hAnsi="Calibri"/>
                <w:sz w:val="18"/>
              </w:rPr>
              <w:t>N/A (biol.)</w:t>
            </w:r>
          </w:p>
        </w:tc>
        <w:tc>
          <w:tcPr>
            <w:tcW w:type="dxa" w:w="1568"/>
          </w:tcPr>
          <w:p>
            <w:r/>
            <w:r>
              <w:rPr>
                <w:rFonts w:ascii="Calibri" w:hAnsi="Calibri"/>
                <w:sz w:val="18"/>
              </w:rPr>
              <w:t>Wirkstoff — orales Probiotikum</w:t>
            </w:r>
          </w:p>
        </w:tc>
        <w:tc>
          <w:tcPr>
            <w:tcW w:type="dxa" w:w="1568"/>
          </w:tcPr>
          <w:p>
            <w:r/>
            <w:r>
              <w:rPr>
                <w:rFonts w:ascii="Calibri" w:hAnsi="Calibri"/>
                <w:sz w:val="18"/>
              </w:rPr>
              <w:t>[KBE]</w:t>
            </w:r>
          </w:p>
        </w:tc>
        <w:tc>
          <w:tcPr>
            <w:tcW w:type="dxa" w:w="1568"/>
          </w:tcPr>
          <w:p>
            <w:r/>
            <w:r>
              <w:rPr>
                <w:rFonts w:ascii="Calibri" w:hAnsi="Calibri"/>
                <w:sz w:val="18"/>
              </w:rPr>
              <w:t>EFSA QPS</w:t>
            </w:r>
          </w:p>
        </w:tc>
      </w:tr>
      <w:tr>
        <w:tc>
          <w:tcPr>
            <w:tcW w:type="dxa" w:w="1568"/>
          </w:tcPr>
          <w:p>
            <w:r/>
            <w:r>
              <w:rPr>
                <w:rFonts w:ascii="Calibri" w:hAnsi="Calibri"/>
                <w:sz w:val="18"/>
              </w:rPr>
              <w:t>3</w:t>
            </w:r>
          </w:p>
        </w:tc>
        <w:tc>
          <w:tcPr>
            <w:tcW w:type="dxa" w:w="1568"/>
          </w:tcPr>
          <w:p>
            <w:r/>
            <w:r>
              <w:rPr>
                <w:rFonts w:ascii="Calibri" w:hAnsi="Calibri"/>
                <w:sz w:val="18"/>
              </w:rPr>
              <w:t>Streptococcus salivarius K12</w:t>
            </w:r>
          </w:p>
        </w:tc>
        <w:tc>
          <w:tcPr>
            <w:tcW w:type="dxa" w:w="1568"/>
          </w:tcPr>
          <w:p>
            <w:r/>
            <w:r>
              <w:rPr>
                <w:rFonts w:ascii="Calibri" w:hAnsi="Calibri"/>
                <w:sz w:val="18"/>
              </w:rPr>
              <w:t>N/A (biol.)</w:t>
            </w:r>
          </w:p>
        </w:tc>
        <w:tc>
          <w:tcPr>
            <w:tcW w:type="dxa" w:w="1568"/>
          </w:tcPr>
          <w:p>
            <w:r/>
            <w:r>
              <w:rPr>
                <w:rFonts w:ascii="Calibri" w:hAnsi="Calibri"/>
                <w:sz w:val="18"/>
              </w:rPr>
              <w:t>Wirkstoff — orales Probiotikum</w:t>
            </w:r>
          </w:p>
        </w:tc>
        <w:tc>
          <w:tcPr>
            <w:tcW w:type="dxa" w:w="1568"/>
          </w:tcPr>
          <w:p>
            <w:r/>
            <w:r>
              <w:rPr>
                <w:rFonts w:ascii="Calibri" w:hAnsi="Calibri"/>
                <w:sz w:val="18"/>
              </w:rPr>
              <w:t>1 Mrd. KBE</w:t>
            </w:r>
          </w:p>
        </w:tc>
        <w:tc>
          <w:tcPr>
            <w:tcW w:type="dxa" w:w="1568"/>
          </w:tcPr>
          <w:p>
            <w:r/>
            <w:r>
              <w:rPr>
                <w:rFonts w:ascii="Calibri" w:hAnsi="Calibri"/>
                <w:sz w:val="18"/>
              </w:rPr>
              <w:t>EFSA QPS</w:t>
            </w:r>
          </w:p>
        </w:tc>
      </w:tr>
      <w:tr>
        <w:tc>
          <w:tcPr>
            <w:tcW w:type="dxa" w:w="1568"/>
          </w:tcPr>
          <w:p>
            <w:r/>
            <w:r>
              <w:rPr>
                <w:rFonts w:ascii="Calibri" w:hAnsi="Calibri"/>
                <w:sz w:val="18"/>
              </w:rPr>
              <w:t>4</w:t>
            </w:r>
          </w:p>
        </w:tc>
        <w:tc>
          <w:tcPr>
            <w:tcW w:type="dxa" w:w="1568"/>
          </w:tcPr>
          <w:p>
            <w:r/>
            <w:r>
              <w:rPr>
                <w:rFonts w:ascii="Calibri" w:hAnsi="Calibri"/>
                <w:sz w:val="18"/>
              </w:rPr>
              <w:t>Streptococcus salivarius M18</w:t>
            </w:r>
          </w:p>
        </w:tc>
        <w:tc>
          <w:tcPr>
            <w:tcW w:type="dxa" w:w="1568"/>
          </w:tcPr>
          <w:p>
            <w:r/>
            <w:r>
              <w:rPr>
                <w:rFonts w:ascii="Calibri" w:hAnsi="Calibri"/>
                <w:sz w:val="18"/>
              </w:rPr>
              <w:t>N/A (biol.)</w:t>
            </w:r>
          </w:p>
        </w:tc>
        <w:tc>
          <w:tcPr>
            <w:tcW w:type="dxa" w:w="1568"/>
          </w:tcPr>
          <w:p>
            <w:r/>
            <w:r>
              <w:rPr>
                <w:rFonts w:ascii="Calibri" w:hAnsi="Calibri"/>
                <w:sz w:val="18"/>
              </w:rPr>
              <w:t>Wirkstoff — orales Probiotikum</w:t>
            </w:r>
          </w:p>
        </w:tc>
        <w:tc>
          <w:tcPr>
            <w:tcW w:type="dxa" w:w="1568"/>
          </w:tcPr>
          <w:p>
            <w:r/>
            <w:r>
              <w:rPr>
                <w:rFonts w:ascii="Calibri" w:hAnsi="Calibri"/>
                <w:sz w:val="18"/>
              </w:rPr>
              <w:t>500M KBE</w:t>
            </w:r>
          </w:p>
        </w:tc>
        <w:tc>
          <w:tcPr>
            <w:tcW w:type="dxa" w:w="1568"/>
          </w:tcPr>
          <w:p>
            <w:r/>
            <w:r>
              <w:rPr>
                <w:rFonts w:ascii="Calibri" w:hAnsi="Calibri"/>
                <w:sz w:val="18"/>
              </w:rPr>
              <w:t>EFSA QPS</w:t>
            </w:r>
          </w:p>
        </w:tc>
      </w:tr>
      <w:tr>
        <w:tc>
          <w:tcPr>
            <w:tcW w:type="dxa" w:w="1568"/>
          </w:tcPr>
          <w:p>
            <w:r/>
            <w:r>
              <w:rPr>
                <w:rFonts w:ascii="Calibri" w:hAnsi="Calibri"/>
                <w:sz w:val="18"/>
              </w:rPr>
              <w:t>5</w:t>
            </w:r>
          </w:p>
        </w:tc>
        <w:tc>
          <w:tcPr>
            <w:tcW w:type="dxa" w:w="1568"/>
          </w:tcPr>
          <w:p>
            <w:r/>
            <w:r>
              <w:rPr>
                <w:rFonts w:ascii="Calibri" w:hAnsi="Calibri"/>
                <w:sz w:val="18"/>
              </w:rPr>
              <w:t>Xylitol</w:t>
            </w:r>
          </w:p>
        </w:tc>
        <w:tc>
          <w:tcPr>
            <w:tcW w:type="dxa" w:w="1568"/>
          </w:tcPr>
          <w:p>
            <w:r/>
            <w:r>
              <w:rPr>
                <w:rFonts w:ascii="Calibri" w:hAnsi="Calibri"/>
                <w:sz w:val="18"/>
              </w:rPr>
              <w:t>CAS 87-99-0 / EC 201-788-0</w:t>
            </w:r>
          </w:p>
        </w:tc>
        <w:tc>
          <w:tcPr>
            <w:tcW w:type="dxa" w:w="1568"/>
          </w:tcPr>
          <w:p>
            <w:r/>
            <w:r>
              <w:rPr>
                <w:rFonts w:ascii="Calibri" w:hAnsi="Calibri"/>
                <w:sz w:val="18"/>
              </w:rPr>
              <w:t>Sussmittel / Zahnpflegemittel</w:t>
            </w:r>
          </w:p>
        </w:tc>
        <w:tc>
          <w:tcPr>
            <w:tcW w:type="dxa" w:w="1568"/>
          </w:tcPr>
          <w:p>
            <w:r/>
            <w:r>
              <w:rPr>
                <w:rFonts w:ascii="Calibri" w:hAnsi="Calibri"/>
                <w:sz w:val="18"/>
              </w:rPr>
              <w:t>500 mg</w:t>
            </w:r>
          </w:p>
        </w:tc>
        <w:tc>
          <w:tcPr>
            <w:tcW w:type="dxa" w:w="1568"/>
          </w:tcPr>
          <w:p>
            <w:r/>
            <w:r>
              <w:rPr>
                <w:rFonts w:ascii="Calibri" w:hAnsi="Calibri"/>
                <w:sz w:val="18"/>
              </w:rPr>
              <w:t>Abfuhrende Schwelle ~20 g/Tag</w:t>
            </w:r>
          </w:p>
        </w:tc>
      </w:tr>
      <w:tr>
        <w:tc>
          <w:tcPr>
            <w:tcW w:type="dxa" w:w="1568"/>
          </w:tcPr>
          <w:p>
            <w:r/>
            <w:r>
              <w:rPr>
                <w:rFonts w:ascii="Calibri" w:hAnsi="Calibri"/>
                <w:sz w:val="18"/>
              </w:rPr>
              <w:t>6</w:t>
            </w:r>
          </w:p>
        </w:tc>
        <w:tc>
          <w:tcPr>
            <w:tcW w:type="dxa" w:w="1568"/>
          </w:tcPr>
          <w:p>
            <w:r/>
            <w:r>
              <w:rPr>
                <w:rFonts w:ascii="Calibri" w:hAnsi="Calibri"/>
                <w:sz w:val="18"/>
              </w:rPr>
              <w:t>Peppermint oil (Mentha x piperita)</w:t>
            </w:r>
          </w:p>
        </w:tc>
        <w:tc>
          <w:tcPr>
            <w:tcW w:type="dxa" w:w="1568"/>
          </w:tcPr>
          <w:p>
            <w:r/>
            <w:r>
              <w:rPr>
                <w:rFonts w:ascii="Calibri" w:hAnsi="Calibri"/>
                <w:sz w:val="18"/>
              </w:rPr>
              <w:t>CAS 8006-90-4</w:t>
            </w:r>
          </w:p>
        </w:tc>
        <w:tc>
          <w:tcPr>
            <w:tcW w:type="dxa" w:w="1568"/>
          </w:tcPr>
          <w:p>
            <w:r/>
            <w:r>
              <w:rPr>
                <w:rFonts w:ascii="Calibri" w:hAnsi="Calibri"/>
                <w:sz w:val="18"/>
              </w:rPr>
              <w:t>Aroma</w:t>
            </w:r>
          </w:p>
        </w:tc>
        <w:tc>
          <w:tcPr>
            <w:tcW w:type="dxa" w:w="1568"/>
          </w:tcPr>
          <w:p>
            <w:r/>
            <w:r>
              <w:rPr>
                <w:rFonts w:ascii="Calibri" w:hAnsi="Calibri"/>
                <w:sz w:val="18"/>
              </w:rPr>
              <w:t>q.s.</w:t>
            </w:r>
          </w:p>
        </w:tc>
        <w:tc>
          <w:tcPr>
            <w:tcW w:type="dxa" w:w="1568"/>
          </w:tcPr>
          <w:p>
            <w:r/>
            <w:r>
              <w:rPr>
                <w:rFonts w:ascii="Calibri" w:hAnsi="Calibri"/>
                <w:sz w:val="18"/>
              </w:rPr>
              <w:t>FEMA GRAS 2848</w:t>
            </w:r>
          </w:p>
        </w:tc>
      </w:tr>
      <w:tr>
        <w:tc>
          <w:tcPr>
            <w:tcW w:type="dxa" w:w="1568"/>
          </w:tcPr>
          <w:p>
            <w:r/>
            <w:r>
              <w:rPr>
                <w:rFonts w:ascii="Calibri" w:hAnsi="Calibri"/>
                <w:sz w:val="18"/>
              </w:rPr>
              <w:t>7</w:t>
            </w:r>
          </w:p>
        </w:tc>
        <w:tc>
          <w:tcPr>
            <w:tcW w:type="dxa" w:w="1568"/>
          </w:tcPr>
          <w:p>
            <w:r/>
            <w:r>
              <w:rPr>
                <w:rFonts w:ascii="Calibri" w:hAnsi="Calibri"/>
                <w:sz w:val="18"/>
              </w:rPr>
              <w:t>[Fullstoff(e)]</w:t>
            </w:r>
          </w:p>
        </w:tc>
        <w:tc>
          <w:tcPr>
            <w:tcW w:type="dxa" w:w="1568"/>
          </w:tcPr>
          <w:p>
            <w:r/>
            <w:r>
              <w:rPr>
                <w:rFonts w:ascii="Calibri" w:hAnsi="Calibri"/>
                <w:sz w:val="18"/>
              </w:rPr>
              <w:t>[CAS]</w:t>
            </w:r>
          </w:p>
        </w:tc>
        <w:tc>
          <w:tcPr>
            <w:tcW w:type="dxa" w:w="1568"/>
          </w:tcPr>
          <w:p>
            <w:r/>
            <w:r>
              <w:rPr>
                <w:rFonts w:ascii="Calibri" w:hAnsi="Calibri"/>
                <w:sz w:val="18"/>
              </w:rPr>
              <w:t>Hilfsstoff</w:t>
            </w:r>
          </w:p>
        </w:tc>
        <w:tc>
          <w:tcPr>
            <w:tcW w:type="dxa" w:w="1568"/>
          </w:tcPr>
          <w:p>
            <w:r/>
            <w:r>
              <w:rPr>
                <w:rFonts w:ascii="Calibri" w:hAnsi="Calibri"/>
                <w:sz w:val="18"/>
              </w:rPr>
              <w:t>[mg]</w:t>
            </w:r>
          </w:p>
        </w:tc>
        <w:tc>
          <w:tcPr>
            <w:tcW w:type="dxa" w:w="1568"/>
          </w:tcPr>
          <w:p>
            <w:r/>
            <w:r>
              <w:rPr>
                <w:rFonts w:ascii="Calibri" w:hAnsi="Calibri"/>
                <w:sz w:val="18"/>
              </w:rPr>
              <w:t>[z.B. Isomalt]</w:t>
            </w:r>
          </w:p>
        </w:tc>
      </w:tr>
      <w:tr>
        <w:tc>
          <w:tcPr>
            <w:tcW w:type="dxa" w:w="1568"/>
          </w:tcPr>
          <w:p>
            <w:r/>
            <w:r>
              <w:rPr>
                <w:rFonts w:ascii="Calibri" w:hAnsi="Calibri"/>
                <w:sz w:val="18"/>
              </w:rPr>
              <w:t>8</w:t>
            </w:r>
          </w:p>
        </w:tc>
        <w:tc>
          <w:tcPr>
            <w:tcW w:type="dxa" w:w="1568"/>
          </w:tcPr>
          <w:p>
            <w:r/>
            <w:r>
              <w:rPr>
                <w:rFonts w:ascii="Calibri" w:hAnsi="Calibri"/>
                <w:sz w:val="18"/>
              </w:rPr>
              <w:t>[Bindemittel]</w:t>
            </w:r>
          </w:p>
        </w:tc>
        <w:tc>
          <w:tcPr>
            <w:tcW w:type="dxa" w:w="1568"/>
          </w:tcPr>
          <w:p>
            <w:r/>
            <w:r>
              <w:rPr>
                <w:rFonts w:ascii="Calibri" w:hAnsi="Calibri"/>
                <w:sz w:val="18"/>
              </w:rPr>
              <w:t>[CAS]</w:t>
            </w:r>
          </w:p>
        </w:tc>
        <w:tc>
          <w:tcPr>
            <w:tcW w:type="dxa" w:w="1568"/>
          </w:tcPr>
          <w:p>
            <w:r/>
            <w:r>
              <w:rPr>
                <w:rFonts w:ascii="Calibri" w:hAnsi="Calibri"/>
                <w:sz w:val="18"/>
              </w:rPr>
              <w:t>Hilfsstoff</w:t>
            </w:r>
          </w:p>
        </w:tc>
        <w:tc>
          <w:tcPr>
            <w:tcW w:type="dxa" w:w="1568"/>
          </w:tcPr>
          <w:p>
            <w:r/>
            <w:r>
              <w:rPr>
                <w:rFonts w:ascii="Calibri" w:hAnsi="Calibri"/>
                <w:sz w:val="18"/>
              </w:rPr>
              <w:t>[mg]</w:t>
            </w:r>
          </w:p>
        </w:tc>
        <w:tc>
          <w:tcPr>
            <w:tcW w:type="dxa" w:w="1568"/>
          </w:tcPr>
          <w:p>
            <w:r/>
            <w:r>
              <w:rPr>
                <w:rFonts w:ascii="Calibri" w:hAnsi="Calibri"/>
                <w:sz w:val="18"/>
              </w:rPr>
            </w:r>
          </w:p>
        </w:tc>
      </w:tr>
      <w:tr>
        <w:tc>
          <w:tcPr>
            <w:tcW w:type="dxa" w:w="1568"/>
          </w:tcPr>
          <w:p>
            <w:r/>
            <w:r>
              <w:rPr>
                <w:rFonts w:ascii="Calibri" w:hAnsi="Calibri"/>
                <w:sz w:val="18"/>
              </w:rPr>
              <w:t>9</w:t>
            </w:r>
          </w:p>
        </w:tc>
        <w:tc>
          <w:tcPr>
            <w:tcW w:type="dxa" w:w="1568"/>
          </w:tcPr>
          <w:p>
            <w:r/>
            <w:r>
              <w:rPr>
                <w:rFonts w:ascii="Calibri" w:hAnsi="Calibri"/>
                <w:sz w:val="18"/>
              </w:rPr>
              <w:t>[Trennmittel]</w:t>
            </w:r>
          </w:p>
        </w:tc>
        <w:tc>
          <w:tcPr>
            <w:tcW w:type="dxa" w:w="1568"/>
          </w:tcPr>
          <w:p>
            <w:r/>
            <w:r>
              <w:rPr>
                <w:rFonts w:ascii="Calibri" w:hAnsi="Calibri"/>
                <w:sz w:val="18"/>
              </w:rPr>
              <w:t>[CAS]</w:t>
            </w:r>
          </w:p>
        </w:tc>
        <w:tc>
          <w:tcPr>
            <w:tcW w:type="dxa" w:w="1568"/>
          </w:tcPr>
          <w:p>
            <w:r/>
            <w:r>
              <w:rPr>
                <w:rFonts w:ascii="Calibri" w:hAnsi="Calibri"/>
                <w:sz w:val="18"/>
              </w:rPr>
              <w:t>Hilfsstoff</w:t>
            </w:r>
          </w:p>
        </w:tc>
        <w:tc>
          <w:tcPr>
            <w:tcW w:type="dxa" w:w="1568"/>
          </w:tcPr>
          <w:p>
            <w:r/>
            <w:r>
              <w:rPr>
                <w:rFonts w:ascii="Calibri" w:hAnsi="Calibri"/>
                <w:sz w:val="18"/>
              </w:rPr>
              <w:t>[mg]</w:t>
            </w:r>
          </w:p>
        </w:tc>
        <w:tc>
          <w:tcPr>
            <w:tcW w:type="dxa" w:w="1568"/>
          </w:tcPr>
          <w:p>
            <w:r/>
            <w:r>
              <w:rPr>
                <w:rFonts w:ascii="Calibri" w:hAnsi="Calibri"/>
                <w:sz w:val="18"/>
              </w:rPr>
            </w:r>
          </w:p>
        </w:tc>
      </w:tr>
    </w:tbl>
    <w:p>
      <w:r>
        <w:rPr>
          <w:b w:val="0"/>
          <w:i/>
        </w:rPr>
        <w:t>Hinweis: Die vollstandige Hilfsstoffliste muss vom Auftraggeber bereitgestellt werden.</w:t>
      </w:r>
    </w:p>
    <w:p>
      <w:pPr>
        <w:pStyle w:val="Heading1"/>
      </w:pPr>
      <w:r>
        <w:t>6. Methodik</w:t>
      </w:r>
    </w:p>
    <w:p>
      <w:r>
        <w:rPr>
          <w:b w:val="0"/>
          <w:i w:val="0"/>
        </w:rPr>
        <w:t>Diese Bewertung folgt etablierten Grundsatzen der toxikologischen Risikobewertung gemas:</w:t>
        <w:br/>
        <w:t>- WHO/IPCS-Rahmenwerk (2004)</w:t>
        <w:br/>
        <w:t>- EFSA-Leitlinie zur Risikobewertung von Stoffen in Lebensmitteln (2012)</w:t>
        <w:br/>
        <w:t>- EFSA-Leitlinie zur Charakterisierung von Mikroorganismen (2018)</w:t>
        <w:br/>
        <w:t>- EFSA QPS-Ansatz</w:t>
        <w:br/>
        <w:t>- Verordnung (EG) Nr. 178/2002, Richtlinie 2002/46/EG</w:t>
        <w:br/>
        <w:t>- Einschlagige JECFA-Bewertungen</w:t>
      </w:r>
    </w:p>
    <w:p>
      <w:r>
        <w:rPr>
          <w:b w:val="0"/>
          <w:i w:val="0"/>
        </w:rPr>
        <w:t>Vierstufiges Paradigma:</w:t>
        <w:br/>
        <w:t>1. Gefahrenidentifizierung</w:t>
        <w:br/>
        <w:t>2. Gefahrencharakterisierung (Dosis-Wirkung, NOAEL, LOAEL, ADI)</w:t>
        <w:br/>
        <w:t>3. Expositionsabschatzung</w:t>
        <w:br/>
        <w:t>4. Risikocharakterisierung (MoS/MoE-Berechnung)</w:t>
      </w:r>
    </w:p>
    <w:p>
      <w:pPr>
        <w:pStyle w:val="Heading1"/>
      </w:pPr>
      <w:r>
        <w:t>7. Gefahrenidentifizierung pro Inhaltsstoff</w:t>
      </w:r>
    </w:p>
    <w:p>
      <w:pPr>
        <w:pStyle w:val="Heading3"/>
      </w:pPr>
      <w:r>
        <w:t>7.1 Lactobacillus reuteri DSM 17938</w:t>
      </w:r>
    </w:p>
    <w:p>
      <w:r>
        <w:rPr>
          <w:b/>
          <w:sz w:val="20"/>
        </w:rPr>
        <w:t xml:space="preserve">Identifizierung: </w:t>
      </w:r>
      <w:r>
        <w:rPr>
          <w:sz w:val="20"/>
        </w:rPr>
        <w:t>Spezies: Lactobacillus reuteri | Stamm: DSM 17938 | CAS: N/A (biologisch) | QPS: Gelistet, keine Sicherheitsbedenken.</w:t>
      </w:r>
    </w:p>
    <w:p>
      <w:r>
        <w:rPr>
          <w:b/>
          <w:sz w:val="20"/>
        </w:rPr>
        <w:t xml:space="preserve">Akute Toxizitat: </w:t>
      </w:r>
      <w:r>
        <w:rPr>
          <w:sz w:val="20"/>
        </w:rPr>
        <w:t>Keine akute Toxizitat berichtet. Untersucht bei Dosen bis 10^10 KBE/Tag ohne Nebenwirkungen. Lange Geschichte sicherer Verwendung.</w:t>
      </w:r>
    </w:p>
    <w:p>
      <w:r>
        <w:rPr>
          <w:b/>
          <w:sz w:val="20"/>
        </w:rPr>
        <w:t xml:space="preserve">Hautreizung: </w:t>
      </w:r>
      <w:r>
        <w:rPr>
          <w:sz w:val="20"/>
        </w:rPr>
        <w:t>Nicht zutreffend (orale Route).</w:t>
      </w:r>
    </w:p>
    <w:p>
      <w:r>
        <w:rPr>
          <w:b/>
          <w:sz w:val="20"/>
        </w:rPr>
        <w:t xml:space="preserve">Sensibilisierung: </w:t>
      </w:r>
      <w:r>
        <w:rPr>
          <w:sz w:val="20"/>
        </w:rPr>
        <w:t>Kein Nachweis. Allergen-Kreuzkontamination aus Kulturmedium prufen.</w:t>
      </w:r>
    </w:p>
    <w:p>
      <w:r>
        <w:rPr>
          <w:b/>
          <w:sz w:val="20"/>
        </w:rPr>
        <w:t xml:space="preserve">Toxizitat bei wiederholter Dosis: </w:t>
      </w:r>
      <w:r>
        <w:rPr>
          <w:sz w:val="20"/>
        </w:rPr>
        <w:t>Langzeitstudien (bis 12 Monate) zeigen keine systemischen Nebenwirkungen.</w:t>
      </w:r>
    </w:p>
    <w:p>
      <w:r>
        <w:rPr>
          <w:b/>
          <w:sz w:val="20"/>
        </w:rPr>
        <w:t xml:space="preserve">Genotoxizitat / Mutagenitat: </w:t>
      </w:r>
      <w:r>
        <w:rPr>
          <w:sz w:val="20"/>
        </w:rPr>
        <w:t>Kein Nachweis von Genotoxizitat. Milchsaurebakterien produzieren keine genotoxischen Metaboliten.</w:t>
      </w:r>
    </w:p>
    <w:p>
      <w:r>
        <w:rPr>
          <w:b/>
          <w:sz w:val="20"/>
        </w:rPr>
        <w:t xml:space="preserve">Kanzerogenitat: </w:t>
      </w:r>
      <w:r>
        <w:rPr>
          <w:sz w:val="20"/>
        </w:rPr>
        <w:t>Kein Nachweis.</w:t>
      </w:r>
    </w:p>
    <w:p>
      <w:r>
        <w:rPr>
          <w:b/>
          <w:sz w:val="20"/>
        </w:rPr>
        <w:t xml:space="preserve">Reproduktionstoxizitat: </w:t>
      </w:r>
      <w:r>
        <w:rPr>
          <w:sz w:val="20"/>
        </w:rPr>
        <w:t>Klinische Studien bei Schwangeren zeigen keine negativen Ergebnisse. Begrenzte Daten.</w:t>
      </w:r>
    </w:p>
    <w:p>
      <w:r>
        <w:rPr>
          <w:b/>
          <w:sz w:val="20"/>
        </w:rPr>
        <w:t xml:space="preserve">Kritischer Endpunkt: </w:t>
      </w:r>
      <w:r>
        <w:rPr>
          <w:sz w:val="20"/>
        </w:rPr>
        <w:t>Kein kritischer Endpunkt bei beabsichtigter Dosis. QPS-Status und klinische Daten stutzen die Sicherheit.</w:t>
      </w:r>
    </w:p>
    <w:p>
      <w:r>
        <w:rPr>
          <w:b/>
          <w:sz w:val="20"/>
        </w:rPr>
        <w:t xml:space="preserve">Unsicherheiten: </w:t>
      </w:r>
      <w:r>
        <w:rPr>
          <w:sz w:val="20"/>
        </w:rPr>
        <w:t>Stammspezifisches Antibiotikaresistenzprofil bestatigen (EFSA). Lebensfahigkeit am Ende der Haltbarkeit uberprufen.</w:t>
      </w:r>
    </w:p>
    <w:p>
      <w:pPr>
        <w:pStyle w:val="Heading3"/>
      </w:pPr>
      <w:r>
        <w:t>7.2 Lactobacillus paracasei [Strain]</w:t>
      </w:r>
    </w:p>
    <w:p>
      <w:r>
        <w:rPr>
          <w:b/>
          <w:sz w:val="20"/>
        </w:rPr>
        <w:t xml:space="preserve">Identifizierung: </w:t>
      </w:r>
      <w:r>
        <w:rPr>
          <w:sz w:val="20"/>
        </w:rPr>
        <w:t>Spezies: Lactobacillus paracasei | Stamm: [Anzugeben] | CAS: N/A | QPS: Gelistet.</w:t>
      </w:r>
    </w:p>
    <w:p>
      <w:r>
        <w:rPr>
          <w:b/>
          <w:sz w:val="20"/>
        </w:rPr>
        <w:t xml:space="preserve">Akute Toxizitat: </w:t>
      </w:r>
      <w:r>
        <w:rPr>
          <w:sz w:val="20"/>
        </w:rPr>
        <w:t>Keine akute Toxizitat bei Supplement-Dosen. Sichere Verwendung in fermentierten Milchprodukten.</w:t>
      </w:r>
    </w:p>
    <w:p>
      <w:r>
        <w:rPr>
          <w:b/>
          <w:sz w:val="20"/>
        </w:rPr>
        <w:t xml:space="preserve">Hautreizung: </w:t>
      </w:r>
      <w:r>
        <w:rPr>
          <w:sz w:val="20"/>
        </w:rPr>
        <w:t>Nicht zutreffend (orale Route).</w:t>
      </w:r>
    </w:p>
    <w:p>
      <w:r>
        <w:rPr>
          <w:b/>
          <w:sz w:val="20"/>
        </w:rPr>
        <w:t xml:space="preserve">Sensibilisierung: </w:t>
      </w:r>
      <w:r>
        <w:rPr>
          <w:sz w:val="20"/>
        </w:rPr>
        <w:t>Kein bekanntes Potenzial. Kulturmedien-Allergene bewerten.</w:t>
      </w:r>
    </w:p>
    <w:p>
      <w:r>
        <w:rPr>
          <w:b/>
          <w:sz w:val="20"/>
        </w:rPr>
        <w:t xml:space="preserve">Toxizitat bei wiederholter Dosis: </w:t>
      </w:r>
      <w:r>
        <w:rPr>
          <w:sz w:val="20"/>
        </w:rPr>
        <w:t>Allgemein gut vertraglich. [Stammspezifische Referenzen erganzen.]</w:t>
      </w:r>
    </w:p>
    <w:p>
      <w:r>
        <w:rPr>
          <w:b/>
          <w:sz w:val="20"/>
        </w:rPr>
        <w:t xml:space="preserve">Genotoxizitat / Mutagenitat: </w:t>
      </w:r>
      <w:r>
        <w:rPr>
          <w:sz w:val="20"/>
        </w:rPr>
        <w:t>Kein Nachweis fur die Spezies.</w:t>
      </w:r>
    </w:p>
    <w:p>
      <w:r>
        <w:rPr>
          <w:b/>
          <w:sz w:val="20"/>
        </w:rPr>
        <w:t xml:space="preserve">Kanzerogenitat: </w:t>
      </w:r>
      <w:r>
        <w:rPr>
          <w:sz w:val="20"/>
        </w:rPr>
        <w:t>Kein Nachweis.</w:t>
      </w:r>
    </w:p>
    <w:p>
      <w:r>
        <w:rPr>
          <w:b/>
          <w:sz w:val="20"/>
        </w:rPr>
        <w:t xml:space="preserve">Reproduktionstoxizitat: </w:t>
      </w:r>
      <w:r>
        <w:rPr>
          <w:sz w:val="20"/>
        </w:rPr>
        <w:t>Unzureichende stammspezifische Daten. Keine Bedenken auf Speziesebene.</w:t>
      </w:r>
    </w:p>
    <w:p>
      <w:r>
        <w:rPr>
          <w:b/>
          <w:sz w:val="20"/>
        </w:rPr>
        <w:t xml:space="preserve">Kritischer Endpunkt: </w:t>
      </w:r>
      <w:r>
        <w:rPr>
          <w:sz w:val="20"/>
        </w:rPr>
        <w:t>Kein kritischer Endpunkt identifiziert.</w:t>
      </w:r>
    </w:p>
    <w:p>
      <w:r>
        <w:rPr>
          <w:b/>
          <w:sz w:val="20"/>
        </w:rPr>
        <w:t xml:space="preserve">Unsicherheiten: </w:t>
      </w:r>
      <w:r>
        <w:rPr>
          <w:sz w:val="20"/>
        </w:rPr>
        <w:t>MASSNAHME ERFORDERLICH: Genaue Stammbezeichnung und Antibiotikaresistenzprofil benotigt.</w:t>
      </w:r>
    </w:p>
    <w:p>
      <w:pPr>
        <w:pStyle w:val="Heading3"/>
      </w:pPr>
      <w:r>
        <w:t>7.3 Streptococcus salivarius K12 (BLIS K12)</w:t>
      </w:r>
    </w:p>
    <w:p>
      <w:r>
        <w:rPr>
          <w:b/>
          <w:sz w:val="20"/>
        </w:rPr>
        <w:t xml:space="preserve">Identifizierung: </w:t>
      </w:r>
      <w:r>
        <w:rPr>
          <w:sz w:val="20"/>
        </w:rPr>
        <w:t>Spezies: S. salivarius | Stamm: K12 | QPS: Gelistet. Vorherrschender Kommensal der menschlichen Mundhohle.</w:t>
      </w:r>
    </w:p>
    <w:p>
      <w:r>
        <w:rPr>
          <w:b/>
          <w:sz w:val="20"/>
        </w:rPr>
        <w:t xml:space="preserve">Akute Toxizitat: </w:t>
      </w:r>
      <w:r>
        <w:rPr>
          <w:sz w:val="20"/>
        </w:rPr>
        <w:t>Keine akute Toxizitat. Uber 30 Jahre kommerzielle Nutzung. Klinische Dosen bis 2,5x10^9 KBE/Tag sicher.</w:t>
      </w:r>
    </w:p>
    <w:p>
      <w:r>
        <w:rPr>
          <w:b/>
          <w:sz w:val="20"/>
        </w:rPr>
        <w:t xml:space="preserve">Hautreizung: </w:t>
      </w:r>
      <w:r>
        <w:rPr>
          <w:sz w:val="20"/>
        </w:rPr>
        <w:t>Nicht zutreffend.</w:t>
      </w:r>
    </w:p>
    <w:p>
      <w:r>
        <w:rPr>
          <w:b/>
          <w:sz w:val="20"/>
        </w:rPr>
        <w:t xml:space="preserve">Sensibilisierung: </w:t>
      </w:r>
      <w:r>
        <w:rPr>
          <w:sz w:val="20"/>
        </w:rPr>
        <w:t>Kein Nachweis. Normaler menschlicher Kommensal.</w:t>
      </w:r>
    </w:p>
    <w:p>
      <w:r>
        <w:rPr>
          <w:b/>
          <w:sz w:val="20"/>
        </w:rPr>
        <w:t xml:space="preserve">Toxizitat bei wiederholter Dosis: </w:t>
      </w:r>
      <w:r>
        <w:rPr>
          <w:sz w:val="20"/>
        </w:rPr>
        <w:t>Langzeitanwendung (bis 6 Monate) zeigt keine Nebenwirkungen. Vorubergehende Kolonisierung.</w:t>
      </w:r>
    </w:p>
    <w:p>
      <w:r>
        <w:rPr>
          <w:b/>
          <w:sz w:val="20"/>
        </w:rPr>
        <w:t xml:space="preserve">Genotoxizitat / Mutagenitat: </w:t>
      </w:r>
      <w:r>
        <w:rPr>
          <w:sz w:val="20"/>
        </w:rPr>
        <w:t>Kein Nachweis.</w:t>
      </w:r>
    </w:p>
    <w:p>
      <w:r>
        <w:rPr>
          <w:b/>
          <w:sz w:val="20"/>
        </w:rPr>
        <w:t xml:space="preserve">Kanzerogenitat: </w:t>
      </w:r>
      <w:r>
        <w:rPr>
          <w:sz w:val="20"/>
        </w:rPr>
        <w:t>Kein Nachweis.</w:t>
      </w:r>
    </w:p>
    <w:p>
      <w:r>
        <w:rPr>
          <w:b/>
          <w:sz w:val="20"/>
        </w:rPr>
        <w:t xml:space="preserve">Reproduktionstoxizitat: </w:t>
      </w:r>
      <w:r>
        <w:rPr>
          <w:sz w:val="20"/>
        </w:rPr>
        <w:t>Keine spezifischen Daten. Keine Bedenken auf Speziesebene.</w:t>
      </w:r>
    </w:p>
    <w:p>
      <w:r>
        <w:rPr>
          <w:b/>
          <w:sz w:val="20"/>
        </w:rPr>
        <w:t xml:space="preserve">Kritischer Endpunkt: </w:t>
      </w:r>
      <w:r>
        <w:rPr>
          <w:sz w:val="20"/>
        </w:rPr>
        <w:t>Kein kritischer Endpunkt. QPS-Status + 30+ Jahre kommerzielle Nutzung.</w:t>
      </w:r>
    </w:p>
    <w:p>
      <w:r>
        <w:rPr>
          <w:b/>
          <w:sz w:val="20"/>
        </w:rPr>
        <w:t xml:space="preserve">Unsicherheiten: </w:t>
      </w:r>
      <w:r>
        <w:rPr>
          <w:sz w:val="20"/>
        </w:rPr>
        <w:t>Antibiotikaresistenzprofil von BLIS Technologies bestatigen.</w:t>
      </w:r>
    </w:p>
    <w:p>
      <w:pPr>
        <w:pStyle w:val="Heading3"/>
      </w:pPr>
      <w:r>
        <w:t>7.4 Streptococcus salivarius M18 (BLIS M18)</w:t>
      </w:r>
    </w:p>
    <w:p>
      <w:r>
        <w:rPr>
          <w:b/>
          <w:sz w:val="20"/>
        </w:rPr>
        <w:t xml:space="preserve">Identifizierung: </w:t>
      </w:r>
      <w:r>
        <w:rPr>
          <w:sz w:val="20"/>
        </w:rPr>
        <w:t>Spezies: S. salivarius | Stamm: M18 | QPS: Gelistet.</w:t>
      </w:r>
    </w:p>
    <w:p>
      <w:r>
        <w:rPr>
          <w:b/>
          <w:sz w:val="20"/>
        </w:rPr>
        <w:t xml:space="preserve">Akute Toxizitat: </w:t>
      </w:r>
      <w:r>
        <w:rPr>
          <w:sz w:val="20"/>
        </w:rPr>
        <w:t>Keine akute Toxizitat in klinischen Studien beobachtet.</w:t>
      </w:r>
    </w:p>
    <w:p>
      <w:r>
        <w:rPr>
          <w:b/>
          <w:sz w:val="20"/>
        </w:rPr>
        <w:t xml:space="preserve">Hautreizung: </w:t>
      </w:r>
      <w:r>
        <w:rPr>
          <w:sz w:val="20"/>
        </w:rPr>
        <w:t>Nicht zutreffend.</w:t>
      </w:r>
    </w:p>
    <w:p>
      <w:r>
        <w:rPr>
          <w:b/>
          <w:sz w:val="20"/>
        </w:rPr>
        <w:t xml:space="preserve">Sensibilisierung: </w:t>
      </w:r>
      <w:r>
        <w:rPr>
          <w:sz w:val="20"/>
        </w:rPr>
        <w:t>Kein Nachweis. Normaler oraler Kommensal.</w:t>
      </w:r>
    </w:p>
    <w:p>
      <w:r>
        <w:rPr>
          <w:b/>
          <w:sz w:val="20"/>
        </w:rPr>
        <w:t xml:space="preserve">Toxizitat bei wiederholter Dosis: </w:t>
      </w:r>
      <w:r>
        <w:rPr>
          <w:sz w:val="20"/>
        </w:rPr>
        <w:t>Gute Vertraglichkeit bei taglicher Anwendung. Keine systemischen Effekte.</w:t>
      </w:r>
    </w:p>
    <w:p>
      <w:r>
        <w:rPr>
          <w:b/>
          <w:sz w:val="20"/>
        </w:rPr>
        <w:t xml:space="preserve">Genotoxizitat / Mutagenitat: </w:t>
      </w:r>
      <w:r>
        <w:rPr>
          <w:sz w:val="20"/>
        </w:rPr>
        <w:t>Kein Nachweis.</w:t>
      </w:r>
    </w:p>
    <w:p>
      <w:r>
        <w:rPr>
          <w:b/>
          <w:sz w:val="20"/>
        </w:rPr>
        <w:t xml:space="preserve">Kanzerogenitat: </w:t>
      </w:r>
      <w:r>
        <w:rPr>
          <w:sz w:val="20"/>
        </w:rPr>
        <w:t>Kein Nachweis.</w:t>
      </w:r>
    </w:p>
    <w:p>
      <w:r>
        <w:rPr>
          <w:b/>
          <w:sz w:val="20"/>
        </w:rPr>
        <w:t xml:space="preserve">Reproduktionstoxizitat: </w:t>
      </w:r>
      <w:r>
        <w:rPr>
          <w:sz w:val="20"/>
        </w:rPr>
        <w:t>Keine spezifischen Daten. Keine Bedenken auf Speziesebene.</w:t>
      </w:r>
    </w:p>
    <w:p>
      <w:r>
        <w:rPr>
          <w:b/>
          <w:sz w:val="20"/>
        </w:rPr>
        <w:t xml:space="preserve">Kritischer Endpunkt: </w:t>
      </w:r>
      <w:r>
        <w:rPr>
          <w:sz w:val="20"/>
        </w:rPr>
        <w:t>Kein kritischer Endpunkt bei beabsichtigter Dosis.</w:t>
      </w:r>
    </w:p>
    <w:p>
      <w:r>
        <w:rPr>
          <w:b/>
          <w:sz w:val="20"/>
        </w:rPr>
        <w:t xml:space="preserve">Unsicherheiten: </w:t>
      </w:r>
      <w:r>
        <w:rPr>
          <w:sz w:val="20"/>
        </w:rPr>
        <w:t>Antibiotikaresistenzprofil bestatigen. Lebensfahigkeitsspezifikationen dokumentieren.</w:t>
      </w:r>
    </w:p>
    <w:p>
      <w:pPr>
        <w:pStyle w:val="Heading3"/>
      </w:pPr>
      <w:r>
        <w:t>7.5 Xylitol</w:t>
      </w:r>
    </w:p>
    <w:p>
      <w:r>
        <w:rPr>
          <w:b/>
          <w:sz w:val="20"/>
        </w:rPr>
        <w:t xml:space="preserve">Identifizierung: </w:t>
      </w:r>
      <w:r>
        <w:rPr>
          <w:sz w:val="20"/>
        </w:rPr>
        <w:t>Xylitol (D-Xylitol) | CAS: 87-99-0 | EC: 201-788-0 | E 967 | MW: 152,15 g/mol | JECFA ADI: nicht festgelegt. Zugelassener Lebensmittelzusatzstoff gemas VO (EG) 1333/2008.</w:t>
      </w:r>
    </w:p>
    <w:p>
      <w:r>
        <w:rPr>
          <w:b/>
          <w:sz w:val="20"/>
        </w:rPr>
        <w:t xml:space="preserve">Akute Toxizitat: </w:t>
      </w:r>
      <w:r>
        <w:rPr>
          <w:sz w:val="20"/>
        </w:rPr>
        <w:t>Orale LD50 (Ratte): &gt;20 g/kg KG. Sehr geringe akute Toxizitat. Hohe Einzeldosen (&gt;20 g) konnen vorubergehende GI-Beschwerden verursachen.</w:t>
      </w:r>
    </w:p>
    <w:p>
      <w:r>
        <w:rPr>
          <w:b/>
          <w:sz w:val="20"/>
        </w:rPr>
        <w:t xml:space="preserve">Hautreizung: </w:t>
      </w:r>
      <w:r>
        <w:rPr>
          <w:sz w:val="20"/>
        </w:rPr>
        <w:t>Nicht als reizend eingestuft.</w:t>
      </w:r>
    </w:p>
    <w:p>
      <w:r>
        <w:rPr>
          <w:b/>
          <w:sz w:val="20"/>
        </w:rPr>
        <w:t xml:space="preserve">Sensibilisierung: </w:t>
      </w:r>
      <w:r>
        <w:rPr>
          <w:sz w:val="20"/>
        </w:rPr>
        <w:t>Nicht eingestuft. Keine Berichte uber allergische Reaktionen.</w:t>
      </w:r>
    </w:p>
    <w:p>
      <w:r>
        <w:rPr>
          <w:b/>
          <w:sz w:val="20"/>
        </w:rPr>
        <w:t xml:space="preserve">Toxizitat bei wiederholter Dosis: </w:t>
      </w:r>
      <w:r>
        <w:rPr>
          <w:sz w:val="20"/>
        </w:rPr>
        <w:t>2-Jahres-Rattenstudie: NOAEL 5 g/kg KG/Tag. Zakalerweiterung (adaptiv, nicht nachteilig). JECFA betrachtet GI-Effekte als pharmakologisch.</w:t>
      </w:r>
    </w:p>
    <w:p>
      <w:r>
        <w:rPr>
          <w:b/>
          <w:sz w:val="20"/>
        </w:rPr>
        <w:t xml:space="preserve">Genotoxizitat / Mutagenitat: </w:t>
      </w:r>
      <w:r>
        <w:rPr>
          <w:sz w:val="20"/>
        </w:rPr>
        <w:t>Negativ in Ames-, Chromosomenaberrations-, Mikronukleus-Tests. Kein genotoxisches Potenzial.</w:t>
      </w:r>
    </w:p>
    <w:p>
      <w:r>
        <w:rPr>
          <w:b/>
          <w:sz w:val="20"/>
        </w:rPr>
        <w:t xml:space="preserve">Kanzerogenitat: </w:t>
      </w:r>
      <w:r>
        <w:rPr>
          <w:sz w:val="20"/>
        </w:rPr>
        <w:t>Kein Nachweis. Nicht von IARC eingestuft.</w:t>
      </w:r>
    </w:p>
    <w:p>
      <w:r>
        <w:rPr>
          <w:b/>
          <w:sz w:val="20"/>
        </w:rPr>
        <w:t xml:space="preserve">Reproduktionstoxizitat: </w:t>
      </w:r>
      <w:r>
        <w:rPr>
          <w:sz w:val="20"/>
        </w:rPr>
        <w:t>Kein Nachweis bei ernahrungsrelevanten Dosen.</w:t>
      </w:r>
    </w:p>
    <w:p>
      <w:r>
        <w:rPr>
          <w:b/>
          <w:sz w:val="20"/>
        </w:rPr>
        <w:t xml:space="preserve">Kritischer Endpunkt: </w:t>
      </w:r>
      <w:r>
        <w:rPr>
          <w:sz w:val="20"/>
        </w:rPr>
        <w:t>GI-Toleranz ist dosislimitierend. Abfuhrende Schwelle ~20-30 g/Tag. Bei 500 mg/Tag: weit unter Schwelle (2,5%).</w:t>
      </w:r>
    </w:p>
    <w:p>
      <w:r>
        <w:rPr>
          <w:b/>
          <w:sz w:val="20"/>
        </w:rPr>
        <w:t xml:space="preserve">Unsicherheiten: </w:t>
      </w:r>
      <w:r>
        <w:rPr>
          <w:sz w:val="20"/>
        </w:rPr>
        <w:t>Gering. Robustes Sicherheitsdossier. Hinweis: hochgiftig fur Hunde — relevant fur Kennzeichnung.</w:t>
      </w:r>
    </w:p>
    <w:p>
      <w:pPr>
        <w:pStyle w:val="Heading3"/>
      </w:pPr>
      <w:r>
        <w:t>7.6 Naturliches Pfefferminzaroma</w:t>
      </w:r>
    </w:p>
    <w:p>
      <w:r>
        <w:rPr>
          <w:b/>
          <w:sz w:val="20"/>
        </w:rPr>
        <w:t xml:space="preserve">Identifizierung: </w:t>
      </w:r>
      <w:r>
        <w:rPr>
          <w:sz w:val="20"/>
        </w:rPr>
        <w:t>Pfefferminzol (Mentha x piperita L.) | CAS: 8006-90-4 | FEMA GRAS 2848 | Hauptbestandteil: Menthol (30-55%). GRAS als Aroma. Gelistet in VO (EG) 1334/2008.</w:t>
      </w:r>
    </w:p>
    <w:p>
      <w:r>
        <w:rPr>
          <w:b/>
          <w:sz w:val="20"/>
        </w:rPr>
        <w:t xml:space="preserve">Akute Toxizitat: </w:t>
      </w:r>
      <w:r>
        <w:rPr>
          <w:sz w:val="20"/>
        </w:rPr>
        <w:t>Orale LD50 (Ratte): ~4,4 g/kg KG. Kein Bedenken bei Aromamengen.</w:t>
      </w:r>
    </w:p>
    <w:p>
      <w:r>
        <w:rPr>
          <w:b/>
          <w:sz w:val="20"/>
        </w:rPr>
        <w:t xml:space="preserve">Hautreizung: </w:t>
      </w:r>
      <w:r>
        <w:rPr>
          <w:sz w:val="20"/>
        </w:rPr>
        <w:t>Leicht reizend bei hoher Konz. Nicht relevant fur orale Lutschtablette.</w:t>
      </w:r>
    </w:p>
    <w:p>
      <w:r>
        <w:rPr>
          <w:b/>
          <w:sz w:val="20"/>
        </w:rPr>
        <w:t xml:space="preserve">Sensibilisierung: </w:t>
      </w:r>
      <w:r>
        <w:rPr>
          <w:sz w:val="20"/>
        </w:rPr>
        <w:t>Seltene Kontaktsensibilisierung gegen Menthol berichtet. Orale Exposition bei Aromamengen nicht assoziiert.</w:t>
      </w:r>
    </w:p>
    <w:p>
      <w:r>
        <w:rPr>
          <w:b/>
          <w:sz w:val="20"/>
        </w:rPr>
        <w:t xml:space="preserve">Toxizitat bei wiederholter Dosis: </w:t>
      </w:r>
      <w:r>
        <w:rPr>
          <w:sz w:val="20"/>
        </w:rPr>
        <w:t>Menthol ADI (JECFA): 0-4 mg/kg KG/Tag. Exposition bei Aromamenge weit darunter.</w:t>
      </w:r>
    </w:p>
    <w:p>
      <w:r>
        <w:rPr>
          <w:b/>
          <w:sz w:val="20"/>
        </w:rPr>
        <w:t xml:space="preserve">Genotoxizitat / Mutagenitat: </w:t>
      </w:r>
      <w:r>
        <w:rPr>
          <w:sz w:val="20"/>
        </w:rPr>
        <w:t>Menthol: negativ im Standardtestprogramm. Kein Bedenken bei Aromamengen.</w:t>
      </w:r>
    </w:p>
    <w:p>
      <w:r>
        <w:rPr>
          <w:b/>
          <w:sz w:val="20"/>
        </w:rPr>
        <w:t xml:space="preserve">Kanzerogenitat: </w:t>
      </w:r>
      <w:r>
        <w:rPr>
          <w:sz w:val="20"/>
        </w:rPr>
        <w:t>Kein Nachweis.</w:t>
      </w:r>
    </w:p>
    <w:p>
      <w:r>
        <w:rPr>
          <w:b/>
          <w:sz w:val="20"/>
        </w:rPr>
        <w:t xml:space="preserve">Reproduktionstoxizitat: </w:t>
      </w:r>
      <w:r>
        <w:rPr>
          <w:sz w:val="20"/>
        </w:rPr>
        <w:t>Nur Hochdosis-Tiereffekte. Nicht relevant bei Aromamengen.</w:t>
      </w:r>
    </w:p>
    <w:p>
      <w:r>
        <w:rPr>
          <w:b/>
          <w:sz w:val="20"/>
        </w:rPr>
        <w:t xml:space="preserve">Kritischer Endpunkt: </w:t>
      </w:r>
      <w:r>
        <w:rPr>
          <w:sz w:val="20"/>
        </w:rPr>
        <w:t>Kein Bedenken bei Aromamenge.</w:t>
      </w:r>
    </w:p>
    <w:p>
      <w:r>
        <w:rPr>
          <w:b/>
          <w:sz w:val="20"/>
        </w:rPr>
        <w:t xml:space="preserve">Unsicherheiten: </w:t>
      </w:r>
      <w:r>
        <w:rPr>
          <w:sz w:val="20"/>
        </w:rPr>
        <w:t>MASSNAHME ERFORDERLICH: Genaue Menge pro Lutschtablette fur quantitative Bewertung benotigt.</w:t>
      </w:r>
    </w:p>
    <w:p>
      <w:pPr>
        <w:pStyle w:val="Heading3"/>
      </w:pPr>
      <w:r>
        <w:t>7.7 Hilfsstoffe</w:t>
      </w:r>
    </w:p>
    <w:p>
      <w:r>
        <w:rPr>
          <w:b w:val="0"/>
          <w:i w:val="0"/>
        </w:rPr>
        <w:t>Die genauen Hilfsstoffe wurden nicht vollstandig offengelegt. Ubliche Hilfsstoffe in probiotischen Lutschtabletten: Isomalt (E 953), Mannitol (E 421), Sorbitol (E 420), Mikrokristalline Cellulose (E 460i), Magnesiumstearat (E 470b), Siliciumdioxid (E 551). Alle sind zugelassene Lebensmittelzusatzstoffe.</w:t>
      </w:r>
    </w:p>
    <w:p>
      <w:r>
        <w:rPr>
          <w:b/>
          <w:i w:val="0"/>
        </w:rPr>
        <w:t>MASSNAHME ERFORDERLICH: Der Auftraggeber muss die vollstandige Hilfsstoffliste mit genauen Mengen bereitstellen.</w:t>
      </w:r>
    </w:p>
    <w:p>
      <w:pPr>
        <w:pStyle w:val="Heading1"/>
      </w:pPr>
      <w:r>
        <w:t>8. Expositionsabschatzung</w:t>
      </w:r>
    </w:p>
    <w:p>
      <w:r>
        <w:rPr>
          <w:b/>
        </w:rPr>
        <w:t xml:space="preserve">Verwendungsszenario: </w:t>
      </w:r>
      <w:r>
        <w:t>Tagliches Mundpflegeerganzungsmittel. 1 Lutschtablette nach Zahneputzen langsam auflosen (~5-10 Min). 30 Min nicht essen/trinken.</w:t>
      </w:r>
    </w:p>
    <w:p>
      <w:r>
        <w:rPr>
          <w:b/>
        </w:rPr>
        <w:t xml:space="preserve">Haufigkeit: </w:t>
      </w:r>
      <w:r>
        <w:t>Einmal taglich (1 Lutschtablette/Tag)</w:t>
      </w:r>
    </w:p>
    <w:p>
      <w:r>
        <w:rPr>
          <w:b/>
        </w:rPr>
        <w:t xml:space="preserve">Dauer: </w:t>
      </w:r>
      <w:r>
        <w:t>Langfristige tagliche Anwendung (kontinuierlich, Abo-Modell 30-Tage-Zyklen)</w:t>
      </w:r>
    </w:p>
    <w:p>
      <w:r>
        <w:rPr>
          <w:b/>
        </w:rPr>
        <w:t xml:space="preserve">Zielpopulation: </w:t>
      </w:r>
      <w:r>
        <w:t>Gesunde Erwachsene &gt;= 18 Jahre. KG-Annahme: 60 kg (konservativ).</w:t>
      </w:r>
    </w:p>
    <w:p>
      <w:r>
        <w:rPr>
          <w:b/>
        </w:rPr>
        <w:t xml:space="preserve">Route: </w:t>
      </w:r>
      <w:r>
        <w:t>Primar: bukkal/sublingual. Sekundar: GI (nach Verschlucken). Dermal/Inhalation: N/A.</w:t>
      </w:r>
    </w:p>
    <w:p>
      <w:pPr>
        <w:pStyle w:val="Heading2"/>
      </w:pPr>
      <w:r>
        <w:t>Geschatzte tagliche Exposition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A3B5C" w:color="auto" w:val="clear"/>
          </w:tcPr>
          <w:p>
            <w:r/>
            <w:r>
              <w:rPr>
                <w:rFonts w:ascii="Calibri" w:hAnsi="Calibri"/>
                <w:b/>
                <w:color w:val="FFFFFF"/>
                <w:sz w:val="18"/>
              </w:rPr>
              <w:t>Inhaltsstoff</w:t>
            </w:r>
          </w:p>
        </w:tc>
        <w:tc>
          <w:tcPr>
            <w:tcW w:type="dxa" w:w="1881"/>
            <w:shd w:fill="1A3B5C" w:color="auto" w:val="clear"/>
          </w:tcPr>
          <w:p>
            <w:r/>
            <w:r>
              <w:rPr>
                <w:rFonts w:ascii="Calibri" w:hAnsi="Calibri"/>
                <w:b/>
                <w:color w:val="FFFFFF"/>
                <w:sz w:val="18"/>
              </w:rPr>
              <w:t>Menge/Dosis</w:t>
            </w:r>
          </w:p>
        </w:tc>
        <w:tc>
          <w:tcPr>
            <w:tcW w:type="dxa" w:w="1881"/>
            <w:shd w:fill="1A3B5C" w:color="auto" w:val="clear"/>
          </w:tcPr>
          <w:p>
            <w:r/>
            <w:r>
              <w:rPr>
                <w:rFonts w:ascii="Calibri" w:hAnsi="Calibri"/>
                <w:b/>
                <w:color w:val="FFFFFF"/>
                <w:sz w:val="18"/>
              </w:rPr>
              <w:t>mg/kg bw (60 kg)</w:t>
            </w:r>
          </w:p>
        </w:tc>
        <w:tc>
          <w:tcPr>
            <w:tcW w:type="dxa" w:w="1881"/>
            <w:shd w:fill="1A3B5C" w:color="auto" w:val="clear"/>
          </w:tcPr>
          <w:p>
            <w:r/>
            <w:r>
              <w:rPr>
                <w:rFonts w:ascii="Calibri" w:hAnsi="Calibri"/>
                <w:b/>
                <w:color w:val="FFFFFF"/>
                <w:sz w:val="18"/>
              </w:rPr>
              <w:t>Referenzwert</w:t>
            </w:r>
          </w:p>
        </w:tc>
        <w:tc>
          <w:tcPr>
            <w:tcW w:type="dxa" w:w="1881"/>
            <w:shd w:fill="1A3B5C" w:color="auto" w:val="clear"/>
          </w:tcPr>
          <w:p>
            <w:r/>
            <w:r>
              <w:rPr>
                <w:rFonts w:ascii="Calibri" w:hAnsi="Calibri"/>
                <w:b/>
                <w:color w:val="FFFFFF"/>
                <w:sz w:val="18"/>
              </w:rPr>
              <w:t>Bewertung</w:t>
            </w:r>
          </w:p>
        </w:tc>
      </w:tr>
      <w:tr>
        <w:tc>
          <w:tcPr>
            <w:tcW w:type="dxa" w:w="1881"/>
          </w:tcPr>
          <w:p>
            <w:r/>
            <w:r>
              <w:rPr>
                <w:rFonts w:ascii="Calibri" w:hAnsi="Calibri"/>
                <w:sz w:val="18"/>
              </w:rPr>
              <w:t>L. reuteri DSM 17938</w:t>
            </w:r>
          </w:p>
        </w:tc>
        <w:tc>
          <w:tcPr>
            <w:tcW w:type="dxa" w:w="1881"/>
          </w:tcPr>
          <w:p>
            <w:r/>
            <w:r>
              <w:rPr>
                <w:rFonts w:ascii="Calibri" w:hAnsi="Calibri"/>
                <w:sz w:val="18"/>
              </w:rPr>
              <w:t>100M CFU</w:t>
            </w:r>
          </w:p>
        </w:tc>
        <w:tc>
          <w:tcPr>
            <w:tcW w:type="dxa" w:w="1881"/>
          </w:tcPr>
          <w:p>
            <w:r/>
            <w:r>
              <w:rPr>
                <w:rFonts w:ascii="Calibri" w:hAnsi="Calibri"/>
                <w:sz w:val="18"/>
              </w:rPr>
              <w:t>N/A</w:t>
            </w:r>
          </w:p>
        </w:tc>
        <w:tc>
          <w:tcPr>
            <w:tcW w:type="dxa" w:w="1881"/>
          </w:tcPr>
          <w:p>
            <w:r/>
            <w:r>
              <w:rPr>
                <w:rFonts w:ascii="Calibri" w:hAnsi="Calibri"/>
                <w:sz w:val="18"/>
              </w:rPr>
              <w:t>Kein ADI fur QPS-Probiotika</w:t>
            </w:r>
          </w:p>
        </w:tc>
        <w:tc>
          <w:tcPr>
            <w:tcW w:type="dxa" w:w="1881"/>
          </w:tcPr>
          <w:p>
            <w:r/>
            <w:r>
              <w:rPr>
                <w:rFonts w:ascii="Calibri" w:hAnsi="Calibri"/>
                <w:sz w:val="18"/>
              </w:rPr>
              <w:t>Akzeptabel</w:t>
            </w:r>
          </w:p>
        </w:tc>
      </w:tr>
      <w:tr>
        <w:tc>
          <w:tcPr>
            <w:tcW w:type="dxa" w:w="1881"/>
          </w:tcPr>
          <w:p>
            <w:r/>
            <w:r>
              <w:rPr>
                <w:rFonts w:ascii="Calibri" w:hAnsi="Calibri"/>
                <w:sz w:val="18"/>
              </w:rPr>
              <w:t>L. paracasei</w:t>
            </w:r>
          </w:p>
        </w:tc>
        <w:tc>
          <w:tcPr>
            <w:tcW w:type="dxa" w:w="1881"/>
          </w:tcPr>
          <w:p>
            <w:r/>
            <w:r>
              <w:rPr>
                <w:rFonts w:ascii="Calibri" w:hAnsi="Calibri"/>
                <w:sz w:val="18"/>
              </w:rPr>
              <w:t>[CFU]</w:t>
            </w:r>
          </w:p>
        </w:tc>
        <w:tc>
          <w:tcPr>
            <w:tcW w:type="dxa" w:w="1881"/>
          </w:tcPr>
          <w:p>
            <w:r/>
            <w:r>
              <w:rPr>
                <w:rFonts w:ascii="Calibri" w:hAnsi="Calibri"/>
                <w:sz w:val="18"/>
              </w:rPr>
              <w:t>N/A</w:t>
            </w:r>
          </w:p>
        </w:tc>
        <w:tc>
          <w:tcPr>
            <w:tcW w:type="dxa" w:w="1881"/>
          </w:tcPr>
          <w:p>
            <w:r/>
            <w:r>
              <w:rPr>
                <w:rFonts w:ascii="Calibri" w:hAnsi="Calibri"/>
                <w:sz w:val="18"/>
              </w:rPr>
              <w:t>[Ausstehend]</w:t>
            </w:r>
          </w:p>
        </w:tc>
        <w:tc>
          <w:tcPr>
            <w:tcW w:type="dxa" w:w="1881"/>
          </w:tcPr>
          <w:p>
            <w:r/>
            <w:r>
              <w:rPr>
                <w:rFonts w:ascii="Calibri" w:hAnsi="Calibri"/>
                <w:sz w:val="18"/>
              </w:rPr>
              <w:t>[TBD]</w:t>
            </w:r>
          </w:p>
        </w:tc>
      </w:tr>
      <w:tr>
        <w:tc>
          <w:tcPr>
            <w:tcW w:type="dxa" w:w="1881"/>
          </w:tcPr>
          <w:p>
            <w:r/>
            <w:r>
              <w:rPr>
                <w:rFonts w:ascii="Calibri" w:hAnsi="Calibri"/>
                <w:sz w:val="18"/>
              </w:rPr>
              <w:t>S. salivarius K12</w:t>
            </w:r>
          </w:p>
        </w:tc>
        <w:tc>
          <w:tcPr>
            <w:tcW w:type="dxa" w:w="1881"/>
          </w:tcPr>
          <w:p>
            <w:r/>
            <w:r>
              <w:rPr>
                <w:rFonts w:ascii="Calibri" w:hAnsi="Calibri"/>
                <w:sz w:val="18"/>
              </w:rPr>
              <w:t>1B CFU</w:t>
            </w:r>
          </w:p>
        </w:tc>
        <w:tc>
          <w:tcPr>
            <w:tcW w:type="dxa" w:w="1881"/>
          </w:tcPr>
          <w:p>
            <w:r/>
            <w:r>
              <w:rPr>
                <w:rFonts w:ascii="Calibri" w:hAnsi="Calibri"/>
                <w:sz w:val="18"/>
              </w:rPr>
              <w:t>N/A</w:t>
            </w:r>
          </w:p>
        </w:tc>
        <w:tc>
          <w:tcPr>
            <w:tcW w:type="dxa" w:w="1881"/>
          </w:tcPr>
          <w:p>
            <w:r/>
            <w:r>
              <w:rPr>
                <w:rFonts w:ascii="Calibri" w:hAnsi="Calibri"/>
                <w:sz w:val="18"/>
              </w:rPr>
              <w:t>Kein ADI</w:t>
            </w:r>
          </w:p>
        </w:tc>
        <w:tc>
          <w:tcPr>
            <w:tcW w:type="dxa" w:w="1881"/>
          </w:tcPr>
          <w:p>
            <w:r/>
            <w:r>
              <w:rPr>
                <w:rFonts w:ascii="Calibri" w:hAnsi="Calibri"/>
                <w:sz w:val="18"/>
              </w:rPr>
              <w:t>Akzeptabel</w:t>
            </w:r>
          </w:p>
        </w:tc>
      </w:tr>
      <w:tr>
        <w:tc>
          <w:tcPr>
            <w:tcW w:type="dxa" w:w="1881"/>
          </w:tcPr>
          <w:p>
            <w:r/>
            <w:r>
              <w:rPr>
                <w:rFonts w:ascii="Calibri" w:hAnsi="Calibri"/>
                <w:sz w:val="18"/>
              </w:rPr>
              <w:t>S. salivarius M18</w:t>
            </w:r>
          </w:p>
        </w:tc>
        <w:tc>
          <w:tcPr>
            <w:tcW w:type="dxa" w:w="1881"/>
          </w:tcPr>
          <w:p>
            <w:r/>
            <w:r>
              <w:rPr>
                <w:rFonts w:ascii="Calibri" w:hAnsi="Calibri"/>
                <w:sz w:val="18"/>
              </w:rPr>
              <w:t>500M CFU</w:t>
            </w:r>
          </w:p>
        </w:tc>
        <w:tc>
          <w:tcPr>
            <w:tcW w:type="dxa" w:w="1881"/>
          </w:tcPr>
          <w:p>
            <w:r/>
            <w:r>
              <w:rPr>
                <w:rFonts w:ascii="Calibri" w:hAnsi="Calibri"/>
                <w:sz w:val="18"/>
              </w:rPr>
              <w:t>N/A</w:t>
            </w:r>
          </w:p>
        </w:tc>
        <w:tc>
          <w:tcPr>
            <w:tcW w:type="dxa" w:w="1881"/>
          </w:tcPr>
          <w:p>
            <w:r/>
            <w:r>
              <w:rPr>
                <w:rFonts w:ascii="Calibri" w:hAnsi="Calibri"/>
                <w:sz w:val="18"/>
              </w:rPr>
              <w:t>Kein ADI</w:t>
            </w:r>
          </w:p>
        </w:tc>
        <w:tc>
          <w:tcPr>
            <w:tcW w:type="dxa" w:w="1881"/>
          </w:tcPr>
          <w:p>
            <w:r/>
            <w:r>
              <w:rPr>
                <w:rFonts w:ascii="Calibri" w:hAnsi="Calibri"/>
                <w:sz w:val="18"/>
              </w:rPr>
              <w:t>Akzeptabel</w:t>
            </w:r>
          </w:p>
        </w:tc>
      </w:tr>
      <w:tr>
        <w:tc>
          <w:tcPr>
            <w:tcW w:type="dxa" w:w="1881"/>
          </w:tcPr>
          <w:p>
            <w:r/>
            <w:r>
              <w:rPr>
                <w:rFonts w:ascii="Calibri" w:hAnsi="Calibri"/>
                <w:sz w:val="18"/>
              </w:rPr>
              <w:t>Xylitol</w:t>
            </w:r>
          </w:p>
        </w:tc>
        <w:tc>
          <w:tcPr>
            <w:tcW w:type="dxa" w:w="1881"/>
          </w:tcPr>
          <w:p>
            <w:r/>
            <w:r>
              <w:rPr>
                <w:rFonts w:ascii="Calibri" w:hAnsi="Calibri"/>
                <w:sz w:val="18"/>
              </w:rPr>
              <w:t>500 mg</w:t>
            </w:r>
          </w:p>
        </w:tc>
        <w:tc>
          <w:tcPr>
            <w:tcW w:type="dxa" w:w="1881"/>
          </w:tcPr>
          <w:p>
            <w:r/>
            <w:r>
              <w:rPr>
                <w:rFonts w:ascii="Calibri" w:hAnsi="Calibri"/>
                <w:sz w:val="18"/>
              </w:rPr>
              <w:t>8.3 mg/kg</w:t>
            </w:r>
          </w:p>
        </w:tc>
        <w:tc>
          <w:tcPr>
            <w:tcW w:type="dxa" w:w="1881"/>
          </w:tcPr>
          <w:p>
            <w:r/>
            <w:r>
              <w:rPr>
                <w:rFonts w:ascii="Calibri" w:hAnsi="Calibri"/>
                <w:sz w:val="18"/>
              </w:rPr>
              <w:t>JECFA ADI: nicht festgelegt; abfuhrend ~20g/Tag</w:t>
            </w:r>
          </w:p>
        </w:tc>
        <w:tc>
          <w:tcPr>
            <w:tcW w:type="dxa" w:w="1881"/>
          </w:tcPr>
          <w:p>
            <w:r/>
            <w:r>
              <w:rPr>
                <w:rFonts w:ascii="Calibri" w:hAnsi="Calibri"/>
                <w:sz w:val="18"/>
              </w:rPr>
              <w:t>Akzeptabel (2,5% der Schwelle)</w:t>
            </w:r>
          </w:p>
        </w:tc>
      </w:tr>
      <w:tr>
        <w:tc>
          <w:tcPr>
            <w:tcW w:type="dxa" w:w="1881"/>
          </w:tcPr>
          <w:p>
            <w:r/>
            <w:r>
              <w:rPr>
                <w:rFonts w:ascii="Calibri" w:hAnsi="Calibri"/>
                <w:sz w:val="18"/>
              </w:rPr>
              <w:t>Pfefferminzol</w:t>
            </w:r>
          </w:p>
        </w:tc>
        <w:tc>
          <w:tcPr>
            <w:tcW w:type="dxa" w:w="1881"/>
          </w:tcPr>
          <w:p>
            <w:r/>
            <w:r>
              <w:rPr>
                <w:rFonts w:ascii="Calibri" w:hAnsi="Calibri"/>
                <w:sz w:val="18"/>
              </w:rPr>
              <w:t>q.s.</w:t>
            </w:r>
          </w:p>
        </w:tc>
        <w:tc>
          <w:tcPr>
            <w:tcW w:type="dxa" w:w="1881"/>
          </w:tcPr>
          <w:p>
            <w:r/>
            <w:r>
              <w:rPr>
                <w:rFonts w:ascii="Calibri" w:hAnsi="Calibri"/>
                <w:sz w:val="18"/>
              </w:rPr>
              <w:t>[TBD]</w:t>
            </w:r>
          </w:p>
        </w:tc>
        <w:tc>
          <w:tcPr>
            <w:tcW w:type="dxa" w:w="1881"/>
          </w:tcPr>
          <w:p>
            <w:r/>
            <w:r>
              <w:rPr>
                <w:rFonts w:ascii="Calibri" w:hAnsi="Calibri"/>
                <w:sz w:val="18"/>
              </w:rPr>
              <w:t>Menthol ADI: 0-4 mg/kg KG/Tag</w:t>
            </w:r>
          </w:p>
        </w:tc>
        <w:tc>
          <w:tcPr>
            <w:tcW w:type="dxa" w:w="1881"/>
          </w:tcPr>
          <w:p>
            <w:r/>
            <w:r>
              <w:rPr>
                <w:rFonts w:ascii="Calibri" w:hAnsi="Calibri"/>
                <w:sz w:val="18"/>
              </w:rPr>
              <w:t>[Quantifizierung erforderlich]</w:t>
            </w:r>
          </w:p>
        </w:tc>
      </w:tr>
    </w:tbl>
    <w:p>
      <w:pPr>
        <w:pStyle w:val="Heading1"/>
      </w:pPr>
      <w:r>
        <w:t>9. Risikocharakterisierung</w:t>
      </w:r>
    </w:p>
    <w:p>
      <w:r>
        <w:rPr>
          <w:b w:val="0"/>
          <w:i w:val="0"/>
        </w:rPr>
        <w:t>Basierend auf verfugbaren Daten:</w:t>
        <w:br/>
        <w:t>- Die vier probiotischen Stamme sind QPS-gelistet und werden in oder unter klinisch untersuchten Dosen verwendet.</w:t>
        <w:br/>
        <w:t>- Xylitol bei 500 mg/Tag = 2,5% der abfuhrenden Schwelle. Vernachlassigbares Risiko.</w:t>
        <w:br/>
        <w:t>- Pfefferminz als Aroma: kein Bedenken erwartet. Quantitative Bestatigung erforderlich.</w:t>
        <w:br/>
        <w:t>- Hilfsstoffe: ausstehend.</w:t>
        <w:br/>
        <w:br/>
        <w:t>Keine inakzeptablen Risiken fur bewertete Bestandteile identifiziert. Gesamtsicherheitsprofil gunstig, vorbehaltlich Schliessung der Datenlucken.</w:t>
      </w:r>
    </w:p>
    <w:p>
      <w:r>
        <w:rPr>
          <w:b w:val="0"/>
          <w:i w:val="0"/>
        </w:rPr>
        <w:t>Bedingungen:</w:t>
        <w:br/>
        <w:t>- Gultig nur fur beschriebene Formulierung und Verwendungsszenario.</w:t>
        <w:br/>
        <w:t>- Setzt Einhaltung der empfohlenen Dosis voraus (1 Lutschtablette/Tag).</w:t>
        <w:br/>
        <w:t>- Deckt keine Arzneimittelwechselwirkungen oder immungeschwachte Personen ab.</w:t>
        <w:br/>
        <w:t>- Jede Formulierungsanderung erfordert Neubewertung.</w:t>
      </w:r>
    </w:p>
    <w:p>
      <w:pPr>
        <w:pStyle w:val="Heading1"/>
      </w:pPr>
      <w:r>
        <w:t>10. Unsicherheiten und Einschrankungen</w:t>
      </w:r>
    </w:p>
    <w:p>
      <w:r>
        <w:rPr>
          <w:b w:val="0"/>
          <w:i w:val="0"/>
        </w:rPr>
        <w:t>1. Unvollstandige Zusammensetzungsdaten — vollstandige Hilfsstoffliste nicht bereitgestellt.</w:t>
      </w:r>
    </w:p>
    <w:p>
      <w:r>
        <w:rPr>
          <w:b w:val="0"/>
          <w:i w:val="0"/>
        </w:rPr>
        <w:t>2. L. paracasei-Stammbezeichnung nicht offengelegt. Stammspezifische Sicherheitsdaten gemas EFSA erforderlich.</w:t>
      </w:r>
    </w:p>
    <w:p>
      <w:r>
        <w:rPr>
          <w:b w:val="0"/>
          <w:i w:val="0"/>
        </w:rPr>
        <w:t>3. Pfefferminzolmenge nicht angegeben — quantitative Bewertung ausstehend.</w:t>
      </w:r>
    </w:p>
    <w:p>
      <w:r>
        <w:rPr>
          <w:b w:val="0"/>
          <w:i w:val="0"/>
        </w:rPr>
        <w:t>4. Antibiotikaresistenzprofile fur alle vier Stamme erforderlich (EFSA).</w:t>
      </w:r>
    </w:p>
    <w:p>
      <w:r>
        <w:rPr>
          <w:b w:val="0"/>
          <w:i w:val="0"/>
        </w:rPr>
        <w:t>5. Stabilitits- und Lebensfihigkeitsdaten uber die Haltbarkeit benotigt.</w:t>
      </w:r>
    </w:p>
    <w:p>
      <w:r>
        <w:rPr>
          <w:b w:val="0"/>
          <w:i w:val="0"/>
        </w:rPr>
        <w:t>6. Schwermetalltests (Pb, Cd, Hg, As) und mikrobiologische Qualitat benotigt.</w:t>
      </w:r>
    </w:p>
    <w:p>
      <w:r>
        <w:rPr>
          <w:b w:val="0"/>
          <w:i w:val="0"/>
        </w:rPr>
        <w:t>7. Aggregierte Xylitol/Menthol-Exposition aus anderen Quellen nicht bewertet.</w:t>
      </w:r>
    </w:p>
    <w:p>
      <w:r>
        <w:rPr>
          <w:b w:val="0"/>
          <w:i w:val="0"/>
        </w:rPr>
        <w:t>8. Bewertung auf gesunde Erwachsene beschrankt.</w:t>
      </w:r>
    </w:p>
    <w:p>
      <w:r>
        <w:rPr>
          <w:b w:val="0"/>
          <w:i w:val="0"/>
        </w:rPr>
        <w:t>9. Richtigkeit hangt von Auftraggeber-Daten ab.</w:t>
      </w:r>
    </w:p>
    <w:p>
      <w:r>
        <w:rPr>
          <w:b w:val="0"/>
          <w:i w:val="0"/>
        </w:rPr>
        <w:t>10. Periodische Uberprufung bei neuen Daten/regulatorischen Anderungen erforderlich.</w:t>
      </w:r>
    </w:p>
    <w:p>
      <w:pPr>
        <w:pStyle w:val="Heading1"/>
      </w:pPr>
      <w:r>
        <w:t>11. Schlussfolgerung</w:t>
      </w:r>
    </w:p>
    <w:p>
      <w:r>
        <w:rPr>
          <w:b w:val="0"/>
          <w:i w:val="0"/>
        </w:rPr>
        <w:t>Basierend auf den verfugbaren Informationen und vorbehaltlich der Unsicherheiten in Abschnitt 10:</w:t>
      </w:r>
    </w:p>
    <w:p>
      <w:r>
        <w:rPr>
          <w:b w:val="0"/>
          <w:i w:val="0"/>
        </w:rPr>
        <w:t>1. Die probiotischen Stamme (L. reuteri DSM 17938, L. paracasei, S. salivarius K12, S. salivarius M18) gehoren zu EFSA QPS-gelisteten Spezies. Keine toxikologischen Bedenken bei beabsichtigten Tagesdosen.</w:t>
      </w:r>
    </w:p>
    <w:p>
      <w:r>
        <w:rPr>
          <w:b w:val="0"/>
          <w:i w:val="0"/>
        </w:rPr>
        <w:t>2. Xylitol bei 500 mg/Tag liegt gut im sicheren Aufnahmebereich fur Erwachsene.</w:t>
      </w:r>
    </w:p>
    <w:p>
      <w:r>
        <w:rPr>
          <w:b w:val="0"/>
          <w:i w:val="0"/>
        </w:rPr>
        <w:t>3. Naturliches Pfefferminzaroma in ublichen Mengen stellt kein Sicherheitsbedenken dar.</w:t>
      </w:r>
    </w:p>
    <w:p>
      <w:r>
        <w:rPr>
          <w:b w:val="0"/>
          <w:i w:val="0"/>
        </w:rPr>
        <w:t>4. Das Produkt wird unter bestimmungsgemassen Bedingungen (1 Lutschtablette taglich, im Mund aufgelost, von gesunden Erwachsenen) als toxikologisch akzeptabel erachtet, vorausgesetzt:</w:t>
        <w:br/>
        <w:t xml:space="preserve">   a) Vollstandige Zusammensetzung bestatigt;</w:t>
        <w:br/>
        <w:t xml:space="preserve">   b) Antibiotikaresistenzprofile verifiziert;</w:t>
        <w:br/>
        <w:t xml:space="preserve">   c) L. paracasei-Stammbezeichnung bereitgestellt;</w:t>
        <w:br/>
        <w:t xml:space="preserve">   d) Fertigprodukt erfullt Qualitats-/Reinheitsspezifikationen.</w:t>
      </w:r>
    </w:p>
    <w:p>
      <w:r>
        <w:rPr>
          <w:b w:val="0"/>
          <w:i w:val="0"/>
        </w:rPr>
        <w:t>5. Diese Schlussfolgerung gilt ausschliesslich fur die beschriebene Formulierung. Jede Anderung erfordert Neubewertung.</w:t>
      </w:r>
    </w:p>
    <w:p>
      <w:pPr>
        <w:pStyle w:val="Heading2"/>
      </w:pPr>
      <w:r>
        <w:t>Kompakte Schlussfolgerung</w:t>
      </w:r>
    </w:p>
    <w:p>
      <w:r>
        <w:rPr>
          <w:b w:val="0"/>
          <w:i/>
        </w:rPr>
        <w:t>OralBiome Pro, mit vier QPS-gelisteten probiotischen Stammen, Xylitol und naturlichem Pfefferminzaroma als auflosbare Lutschtablette, wird als toxikologisch akzeptabel fur die tagliche Anwendung durch gesunde Erwachsene bei der empfohlenen Dosis von einer Lutschtablette pro Tag erachtet, vorbehaltlich der Erfullung der in diesem Bericht identifizierten ausstehenden Datenanforderungen.</w:t>
      </w:r>
    </w:p>
    <w:p>
      <w:pPr>
        <w:pStyle w:val="Heading1"/>
      </w:pPr>
      <w:r>
        <w:t>12. Empfehlungen</w:t>
      </w:r>
    </w:p>
    <w:p>
      <w:r>
        <w:rPr>
          <w:b w:val="0"/>
          <w:i w:val="0"/>
        </w:rPr>
        <w:t>1. Vollstandige quantitative Formulierung bereitstellen (alle Hilfsstoffe + genaue Mengen).</w:t>
      </w:r>
    </w:p>
    <w:p>
      <w:r>
        <w:rPr>
          <w:b w:val="0"/>
          <w:i w:val="0"/>
        </w:rPr>
        <w:t>2. L. paracasei-Stammbezeichnung offenlegen + Stammidentifikatszertifikate.</w:t>
      </w:r>
    </w:p>
    <w:p>
      <w:r>
        <w:rPr>
          <w:b w:val="0"/>
          <w:i w:val="0"/>
        </w:rPr>
        <w:t>3. Antibiotikaempfindlichkeitstests gemas EFSA-Richtlinien fur alle 4 Stamme.</w:t>
      </w:r>
    </w:p>
    <w:p>
      <w:r>
        <w:rPr>
          <w:b w:val="0"/>
          <w:i w:val="0"/>
        </w:rPr>
        <w:t>4. Pfefferminzol-Spezifikation bereitstellen (Menge/Lutschtablette, Mentholgehalt).</w:t>
      </w:r>
    </w:p>
    <w:p>
      <w:r>
        <w:rPr>
          <w:b w:val="0"/>
          <w:i w:val="0"/>
        </w:rPr>
        <w:t>5. Beschleunigte und Echtzeit-Stabilitatsdaten bereitstellen.</w:t>
      </w:r>
    </w:p>
    <w:p>
      <w:r>
        <w:rPr>
          <w:b w:val="0"/>
          <w:i w:val="0"/>
        </w:rPr>
        <w:t>6. Schwermetall- (Pb, Cd, Hg, As) und mikrobiologische Fertigprodukttests.</w:t>
      </w:r>
    </w:p>
    <w:p>
      <w:r>
        <w:rPr>
          <w:b w:val="0"/>
          <w:i w:val="0"/>
        </w:rPr>
        <w:t>7. Allergenstatus aller Rohstoffe bestatigen.</w:t>
      </w:r>
    </w:p>
    <w:p>
      <w:r>
        <w:rPr>
          <w:b w:val="0"/>
          <w:i w:val="0"/>
        </w:rPr>
        <w:t>8. Kennzeichnung auf Vollstandigkeit prufen.</w:t>
      </w:r>
    </w:p>
    <w:p>
      <w:r>
        <w:rPr>
          <w:b w:val="0"/>
          <w:i w:val="0"/>
        </w:rPr>
        <w:t>9. Postmarkt-Nebenwirkungs-Uberwachungssystem einrichten.</w:t>
      </w:r>
    </w:p>
    <w:p>
      <w:r>
        <w:rPr>
          <w:b w:val="0"/>
          <w:i w:val="0"/>
        </w:rPr>
        <w:t>10. Neubewertung alle 2-3 Jahre oder bei Formulierungs-/Regulierungsanderungen.</w:t>
      </w:r>
    </w:p>
    <w:p>
      <w:pPr>
        <w:pStyle w:val="Heading1"/>
      </w:pPr>
      <w:r>
        <w:t>13. Erklarung der Sachkunde und Unabhangigkeit</w:t>
      </w:r>
    </w:p>
    <w:p>
      <w:r>
        <w:rPr>
          <w:b w:val="0"/>
          <w:i w:val="0"/>
        </w:rPr>
        <w:t>Ich, der/die Unterzeichnende, erklare, dass diese toxikologische Sicherheitsbewertung nach bestem wissenschaftlichen Wissen und beruflichen Urteilsvermogen erstellt wurde, in Ubereinstimmung mit allgemein anerkannten Grundsatzen der Toxikologie und Risikobewertung.</w:t>
      </w:r>
    </w:p>
    <w:p>
      <w:r>
        <w:rPr>
          <w:b w:val="0"/>
          <w:i w:val="0"/>
        </w:rPr>
        <w:t>Ich erklare ferner, dass ich kein finanzielles Interesse an oder sonstigen Interessenkonflikt mit dem Auftraggeber (CALQIX B.V.) oder seinen Produkten habe, ausser dem vereinbarten Berufshonorar.</w:t>
      </w:r>
    </w:p>
    <w:p>
      <w:r>
        <w:rPr>
          <w:b/>
        </w:rPr>
        <w:t xml:space="preserve">Name: </w:t>
      </w:r>
      <w:r>
        <w:t>[Vollstandiger Name]</w:t>
      </w:r>
    </w:p>
    <w:p>
      <w:r>
        <w:rPr>
          <w:b/>
        </w:rPr>
        <w:t xml:space="preserve">Titel: </w:t>
      </w:r>
      <w:r>
        <w:t>[e.g. Registered Toxicologist (ERT)]</w:t>
      </w:r>
    </w:p>
    <w:p>
      <w:r>
        <w:rPr>
          <w:b/>
        </w:rPr>
        <w:t xml:space="preserve">Datum: </w:t>
      </w:r>
      <w:r>
        <w:t>[TT Monat JJJJ]</w:t>
      </w:r>
    </w:p>
    <w:p>
      <w:r>
        <w:rPr>
          <w:b/>
        </w:rPr>
        <w:t xml:space="preserve">Unterschrift: </w:t>
      </w:r>
      <w:r>
        <w:t>________________________________________</w:t>
      </w:r>
    </w:p>
    <w:p>
      <w:pPr>
        <w:pStyle w:val="Heading1"/>
      </w:pPr>
      <w:r>
        <w:t>14. Anhange</w:t>
      </w:r>
    </w:p>
    <w:p>
      <w:r>
        <w:rPr>
          <w:b w:val="0"/>
          <w:i w:val="0"/>
        </w:rPr>
        <w:t>Anhang A — Vollstandige Zusammensetzung</w:t>
      </w:r>
    </w:p>
    <w:p>
      <w:r>
        <w:rPr>
          <w:b w:val="0"/>
          <w:i w:val="0"/>
        </w:rPr>
        <w:t>Anhang B — Sicherheitsdatenblatter (SDB)</w:t>
      </w:r>
    </w:p>
    <w:p>
      <w:r>
        <w:rPr>
          <w:b w:val="0"/>
          <w:i w:val="0"/>
        </w:rPr>
        <w:t>Anhang C — Analysezertifikate</w:t>
      </w:r>
    </w:p>
    <w:p>
      <w:r>
        <w:rPr>
          <w:b w:val="0"/>
          <w:i w:val="0"/>
        </w:rPr>
        <w:t>Anhang D — Stammidentifizierungszertifikate</w:t>
      </w:r>
    </w:p>
    <w:p>
      <w:r>
        <w:rPr>
          <w:b w:val="0"/>
          <w:i w:val="0"/>
        </w:rPr>
        <w:t>Anhang E — Antibiotikaresistenz-Testergebnisse</w:t>
      </w:r>
    </w:p>
    <w:p>
      <w:r>
        <w:rPr>
          <w:b w:val="0"/>
          <w:i w:val="0"/>
        </w:rPr>
        <w:t>Anhang F — Stabilitatsstudienberichte</w:t>
      </w:r>
    </w:p>
    <w:p>
      <w:r>
        <w:rPr>
          <w:b w:val="0"/>
          <w:i w:val="0"/>
        </w:rPr>
        <w:t>Anhang G — Schwermetall- und Kontaminantenergebnisse</w:t>
      </w:r>
    </w:p>
    <w:p>
      <w:r>
        <w:rPr>
          <w:b w:val="0"/>
          <w:i w:val="0"/>
        </w:rPr>
        <w:t>Anhang H — Produktetikett / Verpackung</w:t>
      </w:r>
    </w:p>
    <w:p>
      <w:r>
        <w:rPr>
          <w:b w:val="0"/>
          <w:i w:val="0"/>
        </w:rPr>
        <w:t>Anhang I — Literatur und klinische Zusammenfassungen</w:t>
      </w:r>
    </w:p>
    <w:p>
      <w:r>
        <w:rPr>
          <w:b w:val="0"/>
          <w:i w:val="0"/>
        </w:rPr>
        <w:t>Anhang J — Expositionsberechnungen</w:t>
      </w:r>
    </w:p>
    <w:p>
      <w:r>
        <w:rPr>
          <w:b w:val="0"/>
          <w:i w:val="0"/>
        </w:rPr>
        <w:t>Anhang K — Allergenbewertung</w:t>
      </w:r>
    </w:p>
    <w:p>
      <w:r>
        <w:rPr>
          <w:b w:val="0"/>
          <w:i w:val="0"/>
        </w:rPr>
        <w:t>Anhang L — HACCP-Planzusammenfassung</w:t>
      </w:r>
    </w:p>
    <w:p>
      <w:pPr>
        <w:pStyle w:val="Heading1"/>
      </w:pPr>
      <w:r>
        <w:t>Optionale zusatzliche Abschnitte</w:t>
      </w:r>
    </w:p>
    <w:p>
      <w:r>
        <w:rPr>
          <w:b w:val="0"/>
          <w:i w:val="0"/>
        </w:rPr>
        <w:t>- Executive Summary</w:t>
      </w:r>
    </w:p>
    <w:p>
      <w:r>
        <w:rPr>
          <w:b w:val="0"/>
          <w:i w:val="0"/>
        </w:rPr>
        <w:t>- Versionshistorie</w:t>
      </w:r>
    </w:p>
    <w:p>
      <w:r>
        <w:rPr>
          <w:b w:val="0"/>
          <w:i w:val="0"/>
        </w:rPr>
        <w:t>- Vertraulichkeitserklarung</w:t>
      </w:r>
    </w:p>
    <w:p>
      <w:r>
        <w:rPr>
          <w:b w:val="0"/>
          <w:i w:val="0"/>
        </w:rPr>
        <w:t>- Regulatorischer Rahmen</w:t>
      </w:r>
    </w:p>
    <w:p>
      <w:r>
        <w:rPr>
          <w:b w:val="0"/>
          <w:i w:val="0"/>
        </w:rPr>
        <w:t>- Literaturverzeichnis</w:t>
      </w:r>
    </w:p>
    <w:p>
      <w:r>
        <w:rPr>
          <w:b w:val="0"/>
          <w:i w:val="0"/>
        </w:rPr>
        <w:t>- Glossar</w:t>
      </w:r>
    </w:p>
    <w:p>
      <w:r>
        <w:rPr>
          <w:b w:val="0"/>
          <w:i w:val="0"/>
        </w:rPr>
        <w:t>- EFSA QPS-Listenauszug</w:t>
      </w:r>
    </w:p>
    <w:p>
      <w:r>
        <w:br w:type="page"/>
      </w:r>
    </w:p>
    <w:p>
      <w:pPr>
        <w:pStyle w:val="Heading1"/>
      </w:pPr>
      <w:r>
        <w:t>Validierungshinweis</w:t>
      </w:r>
    </w:p>
    <w:p>
      <w:r>
        <w:rPr>
          <w:b w:val="0"/>
          <w:i/>
        </w:rPr>
        <w:t>Dieses Dokument wurde als professionelle Vorlage mit produktspezifischen Daten fur CALQIX OralBiome Pro erstellt. Es ist als Arbeitsdokument fur einen qualifizierten Toxikologen gedacht. Die endgultige Bewertung muss von einem entsprechend qualifizierten Fachmann uberpruft, vervollstandigt, validiert und unterzeichnet werden.</w:t>
        <w:br/>
        <w:br/>
        <w:t>Vorlagenversion: 1.0</w:t>
        <w:br/>
        <w:t>Erstellt: 15 April 2026</w:t>
        <w:br/>
        <w:t>Erstellt von: Cascade AI (nur Vorlagenerstellung; keine toxikologische Validierung)</w:t>
        <w:br/>
        <w:t>Status: ENTWURF — Erfordert Expertenprufung und Vervollstandigung</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