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B5C"/>
          <w:sz w:val="44"/>
        </w:rPr>
        <w:t>TOXICOLOGICAL ASSESSMENT REPORT</w:t>
      </w:r>
    </w:p>
    <w:p/>
    <w:p>
      <w:pPr>
        <w:jc w:val="center"/>
      </w:pPr>
      <w:r>
        <w:rPr>
          <w:color w:val="1A3B5C"/>
          <w:sz w:val="28"/>
        </w:rPr>
        <w:t>OralBiome Pro — Oral Probiotic Lozenge</w:t>
      </w:r>
    </w:p>
    <w:p/>
    <w:p>
      <w:pPr>
        <w:jc w:val="center"/>
      </w:pPr>
      <w:r>
        <w:rPr>
          <w:sz w:val="22"/>
        </w:rPr>
        <w:t>Toxicological Safety Assessment of an Oral Probiotic Food Supplement</w:t>
      </w:r>
    </w:p>
    <w:p/>
    <w:p/>
    <w:p/>
    <w:p/>
    <w:p/>
    <w:p/>
    <w:p>
      <w:pPr>
        <w:jc w:val="center"/>
      </w:pPr>
      <w:r>
        <w:rPr>
          <w:b/>
          <w:color w:val="C00000"/>
          <w:sz w:val="24"/>
        </w:rPr>
        <w:t>CONFIDENTIAL</w:t>
      </w:r>
    </w:p>
    <w:p>
      <w:pPr>
        <w:jc w:val="center"/>
      </w:pPr>
      <w:r>
        <w:rPr>
          <w:sz w:val="18"/>
        </w:rPr>
        <w:t>This document contains proprietary and confidential information. Reproduction, distribution, or disclosure to third parties without prior written consent of the commissioning party is prohibited.</w:t>
      </w:r>
    </w:p>
    <w:p>
      <w:r>
        <w:br w:type="page"/>
      </w:r>
    </w:p>
    <w:p>
      <w:pPr>
        <w:pStyle w:val="Heading1"/>
      </w:pPr>
      <w:r>
        <w:t>1. General Information</w:t>
      </w:r>
    </w:p>
    <w:p>
      <w:r>
        <w:rPr>
          <w:b/>
        </w:rPr>
        <w:t xml:space="preserve">Report Title: </w:t>
      </w:r>
      <w:r>
        <w:t>Toxicological Safety Assessment — OralBiome Pro Oral Probiotic Lozenge</w:t>
      </w:r>
    </w:p>
    <w:p>
      <w:r>
        <w:rPr>
          <w:b/>
        </w:rPr>
        <w:t xml:space="preserve">Report Number: </w:t>
      </w:r>
      <w:r>
        <w:t>TOX-CALQIX-OBP-[XXXX]-001</w:t>
      </w:r>
    </w:p>
    <w:p>
      <w:r>
        <w:rPr>
          <w:b/>
        </w:rPr>
        <w:t xml:space="preserve">Version: </w:t>
      </w:r>
      <w:r>
        <w:t>1.0 — Draft for Review</w:t>
      </w:r>
    </w:p>
    <w:p>
      <w:r>
        <w:rPr>
          <w:b/>
        </w:rPr>
        <w:t xml:space="preserve">Date: </w:t>
      </w:r>
      <w:r>
        <w:t>[DD Month YYYY]</w:t>
      </w:r>
    </w:p>
    <w:p>
      <w:r>
        <w:rPr>
          <w:b/>
        </w:rPr>
        <w:t xml:space="preserve">Commissioner: </w:t>
      </w:r>
      <w:r>
        <w:t>CALQIX B.V.</w:t>
      </w:r>
    </w:p>
    <w:p>
      <w:r>
        <w:rPr>
          <w:b/>
        </w:rPr>
        <w:t xml:space="preserve">Author / Toxicologist: </w:t>
      </w:r>
      <w:r>
        <w:t>[Name], [Degree(s)]</w:t>
        <w:br/>
        <w:t>[Title / Function]</w:t>
        <w:br/>
        <w:t>[Registration number]</w:t>
      </w:r>
    </w:p>
    <w:p>
      <w:r>
        <w:rPr>
          <w:b/>
        </w:rPr>
        <w:t xml:space="preserve">Company Details: </w:t>
      </w:r>
      <w:r>
        <w:t>CALQIX B.V.</w:t>
        <w:br/>
        <w:t>[Address]</w:t>
        <w:br/>
        <w:t>The Netherlands</w:t>
        <w:br/>
        <w:t>KVK: [number]</w:t>
        <w:br/>
        <w:t>VAT: [number]</w:t>
      </w:r>
    </w:p>
    <w:p>
      <w:r>
        <w:rPr>
          <w:b/>
        </w:rPr>
        <w:t xml:space="preserve">Contact: </w:t>
      </w:r>
      <w:r>
        <w:t>Email: info@calqix.com</w:t>
        <w:br/>
        <w:t>Tel: [number]</w:t>
      </w:r>
    </w:p>
    <w:p>
      <w:pPr>
        <w:pStyle w:val="Heading1"/>
      </w:pPr>
      <w:r>
        <w:t>2. Purpose of the Assessment</w:t>
      </w:r>
    </w:p>
    <w:p>
      <w:r>
        <w:rPr>
          <w:b w:val="0"/>
          <w:i w:val="0"/>
        </w:rPr>
        <w:t>The purpose of this report is to provide a toxicological safety assessment of the product "OralBiome Pro" (hereinafter: "the Product"), an oral probiotic food supplement in dissolvable lozenge form, manufactured and marketed by CALQIX B.V.</w:t>
      </w:r>
    </w:p>
    <w:p>
      <w:r>
        <w:rPr>
          <w:b w:val="0"/>
          <w:i w:val="0"/>
        </w:rPr>
        <w:t>This assessment evaluates whether the Product, when used as directed by the adult consumer population, presents an acceptable level of safety with respect to its qualitative and quantitative composition, the intended route of exposure, and the anticipated frequency and duration of use.</w:t>
      </w:r>
    </w:p>
    <w:p>
      <w:r>
        <w:rPr>
          <w:b w:val="0"/>
          <w:i w:val="0"/>
        </w:rPr>
        <w:t>The scope encompasses:</w:t>
        <w:br/>
        <w:t>- Identification and characterisation of all ingredients</w:t>
        <w:br/>
        <w:t>- Hazard identification based on available toxicological data</w:t>
        <w:br/>
        <w:t>- Exposure assessment under reasonably foreseeable conditions of use</w:t>
        <w:br/>
        <w:t>- Risk characterisation including calculation of Margins of Safety (MoS) / Margins of Exposure (MoE)</w:t>
        <w:br/>
        <w:t>- Identification of data gaps, uncertainties, and limitations</w:t>
      </w:r>
    </w:p>
    <w:p>
      <w:r>
        <w:rPr>
          <w:b w:val="0"/>
          <w:i w:val="0"/>
        </w:rPr>
        <w:t>Regulatory context: This assessment takes into account Regulation (EC) No 178/2002 (General Food Law), Regulation (EC) No 1924/2006 (Nutrition and Health Claims), Directive 2002/46/EC (Food Supplements), and relevant national implementing legislation.</w:t>
      </w:r>
    </w:p>
    <w:p>
      <w:pPr>
        <w:pStyle w:val="Heading1"/>
      </w:pPr>
      <w:r>
        <w:t>3. Product Identification</w:t>
      </w:r>
    </w:p>
    <w:p>
      <w:r>
        <w:rPr>
          <w:b/>
        </w:rPr>
        <w:t xml:space="preserve">Product Name: </w:t>
      </w:r>
      <w:r>
        <w:t>OralBiome Pro</w:t>
      </w:r>
    </w:p>
    <w:p>
      <w:r>
        <w:rPr>
          <w:b/>
        </w:rPr>
        <w:t xml:space="preserve">Product Type: </w:t>
      </w:r>
      <w:r>
        <w:t>Food supplement (oral probiotic)</w:t>
      </w:r>
    </w:p>
    <w:p>
      <w:r>
        <w:rPr>
          <w:b/>
        </w:rPr>
        <w:t xml:space="preserve">Dosage Form: </w:t>
      </w:r>
      <w:r>
        <w:t>Dissolvable lozenge (tablet for buccal/sublingual dissolution)</w:t>
      </w:r>
    </w:p>
    <w:p>
      <w:r>
        <w:rPr>
          <w:b/>
        </w:rPr>
        <w:t xml:space="preserve">Description: </w:t>
      </w:r>
      <w:r>
        <w:t>OralBiome Pro is a daily oral probiotic food supplement containing four clinically studied bacterial strains (Lactobacillus reuteri DSM 17938, Lactobacillus paracasei, Streptococcus salivarius K12 (BLIS K12), Streptococcus salivarius M18 (BLIS M18)), combined with xylitol and natural peppermint flavouring, formulated as a dissolvable lozenge.</w:t>
      </w:r>
    </w:p>
    <w:p>
      <w:r>
        <w:rPr>
          <w:b/>
        </w:rPr>
        <w:t xml:space="preserve">Batch / Reference: </w:t>
      </w:r>
      <w:r>
        <w:t>[Batch number(s)]</w:t>
      </w:r>
    </w:p>
    <w:p>
      <w:r>
        <w:rPr>
          <w:b/>
        </w:rPr>
        <w:t xml:space="preserve">Manufacturer: </w:t>
      </w:r>
      <w:r>
        <w:t>[Name and address]</w:t>
        <w:br/>
        <w:t>[GMP/HACCP/ISO certification]</w:t>
      </w:r>
    </w:p>
    <w:p>
      <w:r>
        <w:rPr>
          <w:b/>
        </w:rPr>
        <w:t xml:space="preserve">Target Population: </w:t>
      </w:r>
      <w:r>
        <w:t>Adults (18+). Not intended for children who cannot safely dissolve a lozenge.</w:t>
      </w:r>
    </w:p>
    <w:p>
      <w:r>
        <w:rPr>
          <w:b/>
        </w:rPr>
        <w:t xml:space="preserve">Intended Use: </w:t>
      </w:r>
      <w:r>
        <w:t>Daily oral care supplement. 1 lozenge dissolved slowly in the mouth after brushing/flossing, preferably before bedtime.</w:t>
      </w:r>
    </w:p>
    <w:p>
      <w:r>
        <w:rPr>
          <w:b/>
        </w:rPr>
        <w:t xml:space="preserve">Route of Exposure: </w:t>
      </w:r>
      <w:r>
        <w:t>Oral: primary buccal/sublingual; secondary gastrointestinal.</w:t>
      </w:r>
    </w:p>
    <w:p>
      <w:r>
        <w:rPr>
          <w:b/>
        </w:rPr>
        <w:t xml:space="preserve">Frequency: </w:t>
      </w:r>
      <w:r>
        <w:t>1 lozenge per day</w:t>
      </w:r>
    </w:p>
    <w:p>
      <w:pPr>
        <w:pStyle w:val="Heading1"/>
      </w:pPr>
      <w:r>
        <w:t>4. Available Documentation</w:t>
      </w:r>
    </w:p>
    <w:p>
      <w:r>
        <w:rPr>
          <w:b w:val="0"/>
          <w:i w:val="0"/>
        </w:rPr>
        <w:t>The following documentation was available or requested: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B5C" w:color="auto" w:val="clear"/>
          </w:tcPr>
          <w:p>
            <w:r/>
            <w:r>
              <w:rPr>
                <w:rFonts w:ascii="Calibri" w:hAnsi="Calibri"/>
                <w:b/>
                <w:color w:val="FFFFFF"/>
                <w:sz w:val="18"/>
              </w:rPr>
              <w:t>Document Type</w:t>
            </w:r>
          </w:p>
        </w:tc>
        <w:tc>
          <w:tcPr>
            <w:tcW w:type="dxa" w:w="3135"/>
            <w:shd w:fill="1A3B5C" w:color="auto" w:val="clear"/>
          </w:tcPr>
          <w:p>
            <w:r/>
            <w:r>
              <w:rPr>
                <w:rFonts w:ascii="Calibri" w:hAnsi="Calibri"/>
                <w:b/>
                <w:color w:val="FFFFFF"/>
                <w:sz w:val="18"/>
              </w:rPr>
              <w:t>Status</w:t>
            </w:r>
          </w:p>
        </w:tc>
        <w:tc>
          <w:tcPr>
            <w:tcW w:type="dxa" w:w="3135"/>
            <w:shd w:fill="1A3B5C" w:color="auto" w:val="clear"/>
          </w:tcPr>
          <w:p>
            <w:r/>
            <w:r>
              <w:rPr>
                <w:rFonts w:ascii="Calibri" w:hAnsi="Calibri"/>
                <w:b/>
                <w:color w:val="FFFFFF"/>
                <w:sz w:val="18"/>
              </w:rPr>
              <w:t>Remarks</w:t>
            </w:r>
          </w:p>
        </w:tc>
      </w:tr>
      <w:tr>
        <w:tc>
          <w:tcPr>
            <w:tcW w:type="dxa" w:w="3135"/>
          </w:tcPr>
          <w:p>
            <w:r/>
            <w:r>
              <w:rPr>
                <w:rFonts w:ascii="Calibri" w:hAnsi="Calibri"/>
                <w:sz w:val="18"/>
              </w:rPr>
              <w:t>Full qualitative/quantitative composition</w:t>
            </w:r>
          </w:p>
        </w:tc>
        <w:tc>
          <w:tcPr>
            <w:tcW w:type="dxa" w:w="3135"/>
          </w:tcPr>
          <w:p>
            <w:r/>
            <w:r>
              <w:rPr>
                <w:rFonts w:ascii="Calibri" w:hAnsi="Calibri"/>
                <w:sz w:val="18"/>
              </w:rPr>
              <w:t>[Available/Pending]</w:t>
            </w:r>
          </w:p>
        </w:tc>
        <w:tc>
          <w:tcPr>
            <w:tcW w:type="dxa" w:w="3135"/>
          </w:tcPr>
          <w:p>
            <w:r/>
            <w:r>
              <w:rPr>
                <w:rFonts w:ascii="Calibri" w:hAnsi="Calibri"/>
                <w:sz w:val="18"/>
              </w:rPr>
            </w:r>
          </w:p>
        </w:tc>
      </w:tr>
      <w:tr>
        <w:tc>
          <w:tcPr>
            <w:tcW w:type="dxa" w:w="3135"/>
          </w:tcPr>
          <w:p>
            <w:r/>
            <w:r>
              <w:rPr>
                <w:rFonts w:ascii="Calibri" w:hAnsi="Calibri"/>
                <w:sz w:val="18"/>
              </w:rPr>
              <w:t>Safety Data Sheets (SDS) — all raw materials</w:t>
            </w:r>
          </w:p>
        </w:tc>
        <w:tc>
          <w:tcPr>
            <w:tcW w:type="dxa" w:w="3135"/>
          </w:tcPr>
          <w:p>
            <w:r/>
            <w:r>
              <w:rPr>
                <w:rFonts w:ascii="Calibri" w:hAnsi="Calibri"/>
                <w:sz w:val="18"/>
              </w:rPr>
              <w:t>[Available/Pending]</w:t>
            </w:r>
          </w:p>
        </w:tc>
        <w:tc>
          <w:tcPr>
            <w:tcW w:type="dxa" w:w="3135"/>
          </w:tcPr>
          <w:p>
            <w:r/>
            <w:r>
              <w:rPr>
                <w:rFonts w:ascii="Calibri" w:hAnsi="Calibri"/>
                <w:sz w:val="18"/>
              </w:rPr>
              <w:t>Per ingredient</w:t>
            </w:r>
          </w:p>
        </w:tc>
      </w:tr>
      <w:tr>
        <w:tc>
          <w:tcPr>
            <w:tcW w:type="dxa" w:w="3135"/>
          </w:tcPr>
          <w:p>
            <w:r/>
            <w:r>
              <w:rPr>
                <w:rFonts w:ascii="Calibri" w:hAnsi="Calibri"/>
                <w:sz w:val="18"/>
              </w:rPr>
              <w:t>Product specifications</w:t>
            </w:r>
          </w:p>
        </w:tc>
        <w:tc>
          <w:tcPr>
            <w:tcW w:type="dxa" w:w="3135"/>
          </w:tcPr>
          <w:p>
            <w:r/>
            <w:r>
              <w:rPr>
                <w:rFonts w:ascii="Calibri" w:hAnsi="Calibri"/>
                <w:sz w:val="18"/>
              </w:rPr>
              <w:t>[Available/Pending]</w:t>
            </w:r>
          </w:p>
        </w:tc>
        <w:tc>
          <w:tcPr>
            <w:tcW w:type="dxa" w:w="3135"/>
          </w:tcPr>
          <w:p>
            <w:r/>
            <w:r>
              <w:rPr>
                <w:rFonts w:ascii="Calibri" w:hAnsi="Calibri"/>
                <w:sz w:val="18"/>
              </w:rPr>
            </w:r>
          </w:p>
        </w:tc>
      </w:tr>
      <w:tr>
        <w:tc>
          <w:tcPr>
            <w:tcW w:type="dxa" w:w="3135"/>
          </w:tcPr>
          <w:p>
            <w:r/>
            <w:r>
              <w:rPr>
                <w:rFonts w:ascii="Calibri" w:hAnsi="Calibri"/>
                <w:sz w:val="18"/>
              </w:rPr>
              <w:t>Certificates of Analysis (CoA)</w:t>
            </w:r>
          </w:p>
        </w:tc>
        <w:tc>
          <w:tcPr>
            <w:tcW w:type="dxa" w:w="3135"/>
          </w:tcPr>
          <w:p>
            <w:r/>
            <w:r>
              <w:rPr>
                <w:rFonts w:ascii="Calibri" w:hAnsi="Calibri"/>
                <w:sz w:val="18"/>
              </w:rPr>
              <w:t>[Available/Pending]</w:t>
            </w:r>
          </w:p>
        </w:tc>
        <w:tc>
          <w:tcPr>
            <w:tcW w:type="dxa" w:w="3135"/>
          </w:tcPr>
          <w:p>
            <w:r/>
            <w:r>
              <w:rPr>
                <w:rFonts w:ascii="Calibri" w:hAnsi="Calibri"/>
                <w:sz w:val="18"/>
              </w:rPr>
            </w:r>
          </w:p>
        </w:tc>
      </w:tr>
      <w:tr>
        <w:tc>
          <w:tcPr>
            <w:tcW w:type="dxa" w:w="3135"/>
          </w:tcPr>
          <w:p>
            <w:r/>
            <w:r>
              <w:rPr>
                <w:rFonts w:ascii="Calibri" w:hAnsi="Calibri"/>
                <w:sz w:val="18"/>
              </w:rPr>
              <w:t>Microbiological test results</w:t>
            </w:r>
          </w:p>
        </w:tc>
        <w:tc>
          <w:tcPr>
            <w:tcW w:type="dxa" w:w="3135"/>
          </w:tcPr>
          <w:p>
            <w:r/>
            <w:r>
              <w:rPr>
                <w:rFonts w:ascii="Calibri" w:hAnsi="Calibri"/>
                <w:sz w:val="18"/>
              </w:rPr>
              <w:t>[Available/Pending]</w:t>
            </w:r>
          </w:p>
        </w:tc>
        <w:tc>
          <w:tcPr>
            <w:tcW w:type="dxa" w:w="3135"/>
          </w:tcPr>
          <w:p>
            <w:r/>
            <w:r>
              <w:rPr>
                <w:rFonts w:ascii="Calibri" w:hAnsi="Calibri"/>
                <w:sz w:val="18"/>
              </w:rPr>
            </w:r>
          </w:p>
        </w:tc>
      </w:tr>
      <w:tr>
        <w:tc>
          <w:tcPr>
            <w:tcW w:type="dxa" w:w="3135"/>
          </w:tcPr>
          <w:p>
            <w:r/>
            <w:r>
              <w:rPr>
                <w:rFonts w:ascii="Calibri" w:hAnsi="Calibri"/>
                <w:sz w:val="18"/>
              </w:rPr>
              <w:t>Stability data</w:t>
            </w:r>
          </w:p>
        </w:tc>
        <w:tc>
          <w:tcPr>
            <w:tcW w:type="dxa" w:w="3135"/>
          </w:tcPr>
          <w:p>
            <w:r/>
            <w:r>
              <w:rPr>
                <w:rFonts w:ascii="Calibri" w:hAnsi="Calibri"/>
                <w:sz w:val="18"/>
              </w:rPr>
              <w:t>[Available/Pending]</w:t>
            </w:r>
          </w:p>
        </w:tc>
        <w:tc>
          <w:tcPr>
            <w:tcW w:type="dxa" w:w="3135"/>
          </w:tcPr>
          <w:p>
            <w:r/>
            <w:r>
              <w:rPr>
                <w:rFonts w:ascii="Calibri" w:hAnsi="Calibri"/>
                <w:sz w:val="18"/>
              </w:rPr>
            </w:r>
          </w:p>
        </w:tc>
      </w:tr>
      <w:tr>
        <w:tc>
          <w:tcPr>
            <w:tcW w:type="dxa" w:w="3135"/>
          </w:tcPr>
          <w:p>
            <w:r/>
            <w:r>
              <w:rPr>
                <w:rFonts w:ascii="Calibri" w:hAnsi="Calibri"/>
                <w:sz w:val="18"/>
              </w:rPr>
              <w:t>Product label / packaging</w:t>
            </w:r>
          </w:p>
        </w:tc>
        <w:tc>
          <w:tcPr>
            <w:tcW w:type="dxa" w:w="3135"/>
          </w:tcPr>
          <w:p>
            <w:r/>
            <w:r>
              <w:rPr>
                <w:rFonts w:ascii="Calibri" w:hAnsi="Calibri"/>
                <w:sz w:val="18"/>
              </w:rPr>
              <w:t>[Available/Pending]</w:t>
            </w:r>
          </w:p>
        </w:tc>
        <w:tc>
          <w:tcPr>
            <w:tcW w:type="dxa" w:w="3135"/>
          </w:tcPr>
          <w:p>
            <w:r/>
            <w:r>
              <w:rPr>
                <w:rFonts w:ascii="Calibri" w:hAnsi="Calibri"/>
                <w:sz w:val="18"/>
              </w:rPr>
            </w:r>
          </w:p>
        </w:tc>
      </w:tr>
      <w:tr>
        <w:tc>
          <w:tcPr>
            <w:tcW w:type="dxa" w:w="3135"/>
          </w:tcPr>
          <w:p>
            <w:r/>
            <w:r>
              <w:rPr>
                <w:rFonts w:ascii="Calibri" w:hAnsi="Calibri"/>
                <w:sz w:val="18"/>
              </w:rPr>
              <w:t>Published literature / clinical studies</w:t>
            </w:r>
          </w:p>
        </w:tc>
        <w:tc>
          <w:tcPr>
            <w:tcW w:type="dxa" w:w="3135"/>
          </w:tcPr>
          <w:p>
            <w:r/>
            <w:r>
              <w:rPr>
                <w:rFonts w:ascii="Calibri" w:hAnsi="Calibri"/>
                <w:sz w:val="18"/>
              </w:rPr>
              <w:t>[Available/Pending]</w:t>
            </w:r>
          </w:p>
        </w:tc>
        <w:tc>
          <w:tcPr>
            <w:tcW w:type="dxa" w:w="3135"/>
          </w:tcPr>
          <w:p>
            <w:r/>
            <w:r>
              <w:rPr>
                <w:rFonts w:ascii="Calibri" w:hAnsi="Calibri"/>
                <w:sz w:val="18"/>
              </w:rPr>
            </w:r>
          </w:p>
        </w:tc>
      </w:tr>
      <w:tr>
        <w:tc>
          <w:tcPr>
            <w:tcW w:type="dxa" w:w="3135"/>
          </w:tcPr>
          <w:p>
            <w:r/>
            <w:r>
              <w:rPr>
                <w:rFonts w:ascii="Calibri" w:hAnsi="Calibri"/>
                <w:sz w:val="18"/>
              </w:rPr>
              <w:t>Strain identification certificates</w:t>
            </w:r>
          </w:p>
        </w:tc>
        <w:tc>
          <w:tcPr>
            <w:tcW w:type="dxa" w:w="3135"/>
          </w:tcPr>
          <w:p>
            <w:r/>
            <w:r>
              <w:rPr>
                <w:rFonts w:ascii="Calibri" w:hAnsi="Calibri"/>
                <w:sz w:val="18"/>
              </w:rPr>
              <w:t>[Available/Pending]</w:t>
            </w:r>
          </w:p>
        </w:tc>
        <w:tc>
          <w:tcPr>
            <w:tcW w:type="dxa" w:w="3135"/>
          </w:tcPr>
          <w:p>
            <w:r/>
            <w:r>
              <w:rPr>
                <w:rFonts w:ascii="Calibri" w:hAnsi="Calibri"/>
                <w:sz w:val="18"/>
              </w:rPr>
            </w:r>
          </w:p>
        </w:tc>
      </w:tr>
      <w:tr>
        <w:tc>
          <w:tcPr>
            <w:tcW w:type="dxa" w:w="3135"/>
          </w:tcPr>
          <w:p>
            <w:r/>
            <w:r>
              <w:rPr>
                <w:rFonts w:ascii="Calibri" w:hAnsi="Calibri"/>
                <w:sz w:val="18"/>
              </w:rPr>
              <w:t>Antibiotic resistance profiles</w:t>
            </w:r>
          </w:p>
        </w:tc>
        <w:tc>
          <w:tcPr>
            <w:tcW w:type="dxa" w:w="3135"/>
          </w:tcPr>
          <w:p>
            <w:r/>
            <w:r>
              <w:rPr>
                <w:rFonts w:ascii="Calibri" w:hAnsi="Calibri"/>
                <w:sz w:val="18"/>
              </w:rPr>
              <w:t>[Available/Pending]</w:t>
            </w:r>
          </w:p>
        </w:tc>
        <w:tc>
          <w:tcPr>
            <w:tcW w:type="dxa" w:w="3135"/>
          </w:tcPr>
          <w:p>
            <w:r/>
            <w:r>
              <w:rPr>
                <w:rFonts w:ascii="Calibri" w:hAnsi="Calibri"/>
                <w:sz w:val="18"/>
              </w:rPr>
              <w:t>EFSA requirement</w:t>
            </w:r>
          </w:p>
        </w:tc>
      </w:tr>
      <w:tr>
        <w:tc>
          <w:tcPr>
            <w:tcW w:type="dxa" w:w="3135"/>
          </w:tcPr>
          <w:p>
            <w:r/>
            <w:r>
              <w:rPr>
                <w:rFonts w:ascii="Calibri" w:hAnsi="Calibri"/>
                <w:sz w:val="18"/>
              </w:rPr>
              <w:t>QPS status documentation</w:t>
            </w:r>
          </w:p>
        </w:tc>
        <w:tc>
          <w:tcPr>
            <w:tcW w:type="dxa" w:w="3135"/>
          </w:tcPr>
          <w:p>
            <w:r/>
            <w:r>
              <w:rPr>
                <w:rFonts w:ascii="Calibri" w:hAnsi="Calibri"/>
                <w:sz w:val="18"/>
              </w:rPr>
              <w:t>[Available/Pending]</w:t>
            </w:r>
          </w:p>
        </w:tc>
        <w:tc>
          <w:tcPr>
            <w:tcW w:type="dxa" w:w="3135"/>
          </w:tcPr>
          <w:p>
            <w:r/>
            <w:r>
              <w:rPr>
                <w:rFonts w:ascii="Calibri" w:hAnsi="Calibri"/>
                <w:sz w:val="18"/>
              </w:rPr>
            </w:r>
          </w:p>
        </w:tc>
      </w:tr>
      <w:tr>
        <w:tc>
          <w:tcPr>
            <w:tcW w:type="dxa" w:w="3135"/>
          </w:tcPr>
          <w:p>
            <w:r/>
            <w:r>
              <w:rPr>
                <w:rFonts w:ascii="Calibri" w:hAnsi="Calibri"/>
                <w:sz w:val="18"/>
              </w:rPr>
              <w:t>Heavy metals / contaminant testing</w:t>
            </w:r>
          </w:p>
        </w:tc>
        <w:tc>
          <w:tcPr>
            <w:tcW w:type="dxa" w:w="3135"/>
          </w:tcPr>
          <w:p>
            <w:r/>
            <w:r>
              <w:rPr>
                <w:rFonts w:ascii="Calibri" w:hAnsi="Calibri"/>
                <w:sz w:val="18"/>
              </w:rPr>
              <w:t>[Available/Pending]</w:t>
            </w:r>
          </w:p>
        </w:tc>
        <w:tc>
          <w:tcPr>
            <w:tcW w:type="dxa" w:w="3135"/>
          </w:tcPr>
          <w:p>
            <w:r/>
            <w:r>
              <w:rPr>
                <w:rFonts w:ascii="Calibri" w:hAnsi="Calibri"/>
                <w:sz w:val="18"/>
              </w:rPr>
              <w:t>Pb, Cd, Hg, As</w:t>
            </w:r>
          </w:p>
        </w:tc>
      </w:tr>
      <w:tr>
        <w:tc>
          <w:tcPr>
            <w:tcW w:type="dxa" w:w="3135"/>
          </w:tcPr>
          <w:p>
            <w:r/>
            <w:r>
              <w:rPr>
                <w:rFonts w:ascii="Calibri" w:hAnsi="Calibri"/>
                <w:sz w:val="18"/>
              </w:rPr>
              <w:t>Allergen risk assessment</w:t>
            </w:r>
          </w:p>
        </w:tc>
        <w:tc>
          <w:tcPr>
            <w:tcW w:type="dxa" w:w="3135"/>
          </w:tcPr>
          <w:p>
            <w:r/>
            <w:r>
              <w:rPr>
                <w:rFonts w:ascii="Calibri" w:hAnsi="Calibri"/>
                <w:sz w:val="18"/>
              </w:rPr>
              <w:t>[Available/Pending]</w:t>
            </w:r>
          </w:p>
        </w:tc>
        <w:tc>
          <w:tcPr>
            <w:tcW w:type="dxa" w:w="3135"/>
          </w:tcPr>
          <w:p>
            <w:r/>
            <w:r>
              <w:rPr>
                <w:rFonts w:ascii="Calibri" w:hAnsi="Calibri"/>
                <w:sz w:val="18"/>
              </w:rPr>
            </w:r>
          </w:p>
        </w:tc>
      </w:tr>
    </w:tbl>
    <w:p>
      <w:pPr>
        <w:pStyle w:val="Heading1"/>
      </w:pPr>
      <w:r>
        <w:t>5. Qualitative and Quantitative Composition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A3B5C" w:color="auto" w:val="clear"/>
          </w:tcPr>
          <w:p>
            <w:r/>
            <w:r>
              <w:rPr>
                <w:rFonts w:ascii="Calibri" w:hAnsi="Calibri"/>
                <w:b/>
                <w:color w:val="FFFFFF"/>
                <w:sz w:val="18"/>
              </w:rPr>
              <w:t>No.</w:t>
            </w:r>
          </w:p>
        </w:tc>
        <w:tc>
          <w:tcPr>
            <w:tcW w:type="dxa" w:w="1568"/>
            <w:shd w:fill="1A3B5C" w:color="auto" w:val="clear"/>
          </w:tcPr>
          <w:p>
            <w:r/>
            <w:r>
              <w:rPr>
                <w:rFonts w:ascii="Calibri" w:hAnsi="Calibri"/>
                <w:b/>
                <w:color w:val="FFFFFF"/>
                <w:sz w:val="18"/>
              </w:rPr>
              <w:t>Component</w:t>
            </w:r>
          </w:p>
        </w:tc>
        <w:tc>
          <w:tcPr>
            <w:tcW w:type="dxa" w:w="1568"/>
            <w:shd w:fill="1A3B5C" w:color="auto" w:val="clear"/>
          </w:tcPr>
          <w:p>
            <w:r/>
            <w:r>
              <w:rPr>
                <w:rFonts w:ascii="Calibri" w:hAnsi="Calibri"/>
                <w:b/>
                <w:color w:val="FFFFFF"/>
                <w:sz w:val="18"/>
              </w:rPr>
              <w:t>CAS/EC</w:t>
            </w:r>
          </w:p>
        </w:tc>
        <w:tc>
          <w:tcPr>
            <w:tcW w:type="dxa" w:w="1568"/>
            <w:shd w:fill="1A3B5C" w:color="auto" w:val="clear"/>
          </w:tcPr>
          <w:p>
            <w:r/>
            <w:r>
              <w:rPr>
                <w:rFonts w:ascii="Calibri" w:hAnsi="Calibri"/>
                <w:b/>
                <w:color w:val="FFFFFF"/>
                <w:sz w:val="18"/>
              </w:rPr>
              <w:t>Function</w:t>
            </w:r>
          </w:p>
        </w:tc>
        <w:tc>
          <w:tcPr>
            <w:tcW w:type="dxa" w:w="1568"/>
            <w:shd w:fill="1A3B5C" w:color="auto" w:val="clear"/>
          </w:tcPr>
          <w:p>
            <w:r/>
            <w:r>
              <w:rPr>
                <w:rFonts w:ascii="Calibri" w:hAnsi="Calibri"/>
                <w:b/>
                <w:color w:val="FFFFFF"/>
                <w:sz w:val="18"/>
              </w:rPr>
              <w:t>Amount</w:t>
            </w:r>
          </w:p>
        </w:tc>
        <w:tc>
          <w:tcPr>
            <w:tcW w:type="dxa" w:w="1568"/>
            <w:shd w:fill="1A3B5C" w:color="auto" w:val="clear"/>
          </w:tcPr>
          <w:p>
            <w:r/>
            <w:r>
              <w:rPr>
                <w:rFonts w:ascii="Calibri" w:hAnsi="Calibri"/>
                <w:b/>
                <w:color w:val="FFFFFF"/>
                <w:sz w:val="18"/>
              </w:rPr>
              <w:t>Remarks</w:t>
            </w:r>
          </w:p>
        </w:tc>
      </w:tr>
      <w:tr>
        <w:tc>
          <w:tcPr>
            <w:tcW w:type="dxa" w:w="1568"/>
          </w:tcPr>
          <w:p>
            <w:r/>
            <w:r>
              <w:rPr>
                <w:rFonts w:ascii="Calibri" w:hAnsi="Calibri"/>
                <w:sz w:val="18"/>
              </w:rPr>
              <w:t>1</w:t>
            </w:r>
          </w:p>
        </w:tc>
        <w:tc>
          <w:tcPr>
            <w:tcW w:type="dxa" w:w="1568"/>
          </w:tcPr>
          <w:p>
            <w:r/>
            <w:r>
              <w:rPr>
                <w:rFonts w:ascii="Calibri" w:hAnsi="Calibri"/>
                <w:sz w:val="18"/>
              </w:rPr>
              <w:t>Lactobacillus reuteri DSM 17938</w:t>
            </w:r>
          </w:p>
        </w:tc>
        <w:tc>
          <w:tcPr>
            <w:tcW w:type="dxa" w:w="1568"/>
          </w:tcPr>
          <w:p>
            <w:r/>
            <w:r>
              <w:rPr>
                <w:rFonts w:ascii="Calibri" w:hAnsi="Calibri"/>
                <w:sz w:val="18"/>
              </w:rPr>
              <w:t>N/A (biol.)</w:t>
            </w:r>
          </w:p>
        </w:tc>
        <w:tc>
          <w:tcPr>
            <w:tcW w:type="dxa" w:w="1568"/>
          </w:tcPr>
          <w:p>
            <w:r/>
            <w:r>
              <w:rPr>
                <w:rFonts w:ascii="Calibri" w:hAnsi="Calibri"/>
                <w:sz w:val="18"/>
              </w:rPr>
              <w:t>Active — oral probiotic</w:t>
            </w:r>
          </w:p>
        </w:tc>
        <w:tc>
          <w:tcPr>
            <w:tcW w:type="dxa" w:w="1568"/>
          </w:tcPr>
          <w:p>
            <w:r/>
            <w:r>
              <w:rPr>
                <w:rFonts w:ascii="Calibri" w:hAnsi="Calibri"/>
                <w:sz w:val="18"/>
              </w:rPr>
              <w:t>100M CFU</w:t>
            </w:r>
          </w:p>
        </w:tc>
        <w:tc>
          <w:tcPr>
            <w:tcW w:type="dxa" w:w="1568"/>
          </w:tcPr>
          <w:p>
            <w:r/>
            <w:r>
              <w:rPr>
                <w:rFonts w:ascii="Calibri" w:hAnsi="Calibri"/>
                <w:sz w:val="18"/>
              </w:rPr>
              <w:t>EFSA QPS</w:t>
            </w:r>
          </w:p>
        </w:tc>
      </w:tr>
      <w:tr>
        <w:tc>
          <w:tcPr>
            <w:tcW w:type="dxa" w:w="1568"/>
          </w:tcPr>
          <w:p>
            <w:r/>
            <w:r>
              <w:rPr>
                <w:rFonts w:ascii="Calibri" w:hAnsi="Calibri"/>
                <w:sz w:val="18"/>
              </w:rPr>
              <w:t>2</w:t>
            </w:r>
          </w:p>
        </w:tc>
        <w:tc>
          <w:tcPr>
            <w:tcW w:type="dxa" w:w="1568"/>
          </w:tcPr>
          <w:p>
            <w:r/>
            <w:r>
              <w:rPr>
                <w:rFonts w:ascii="Calibri" w:hAnsi="Calibri"/>
                <w:sz w:val="18"/>
              </w:rPr>
              <w:t>Lactobacillus paracasei [strain]</w:t>
            </w:r>
          </w:p>
        </w:tc>
        <w:tc>
          <w:tcPr>
            <w:tcW w:type="dxa" w:w="1568"/>
          </w:tcPr>
          <w:p>
            <w:r/>
            <w:r>
              <w:rPr>
                <w:rFonts w:ascii="Calibri" w:hAnsi="Calibri"/>
                <w:sz w:val="18"/>
              </w:rPr>
              <w:t>N/A (biol.)</w:t>
            </w:r>
          </w:p>
        </w:tc>
        <w:tc>
          <w:tcPr>
            <w:tcW w:type="dxa" w:w="1568"/>
          </w:tcPr>
          <w:p>
            <w:r/>
            <w:r>
              <w:rPr>
                <w:rFonts w:ascii="Calibri" w:hAnsi="Calibri"/>
                <w:sz w:val="18"/>
              </w:rPr>
              <w:t>Active — oral probiotic</w:t>
            </w:r>
          </w:p>
        </w:tc>
        <w:tc>
          <w:tcPr>
            <w:tcW w:type="dxa" w:w="1568"/>
          </w:tcPr>
          <w:p>
            <w:r/>
            <w:r>
              <w:rPr>
                <w:rFonts w:ascii="Calibri" w:hAnsi="Calibri"/>
                <w:sz w:val="18"/>
              </w:rPr>
              <w:t>[CFU]</w:t>
            </w:r>
          </w:p>
        </w:tc>
        <w:tc>
          <w:tcPr>
            <w:tcW w:type="dxa" w:w="1568"/>
          </w:tcPr>
          <w:p>
            <w:r/>
            <w:r>
              <w:rPr>
                <w:rFonts w:ascii="Calibri" w:hAnsi="Calibri"/>
                <w:sz w:val="18"/>
              </w:rPr>
              <w:t>EFSA QPS</w:t>
            </w:r>
          </w:p>
        </w:tc>
      </w:tr>
      <w:tr>
        <w:tc>
          <w:tcPr>
            <w:tcW w:type="dxa" w:w="1568"/>
          </w:tcPr>
          <w:p>
            <w:r/>
            <w:r>
              <w:rPr>
                <w:rFonts w:ascii="Calibri" w:hAnsi="Calibri"/>
                <w:sz w:val="18"/>
              </w:rPr>
              <w:t>3</w:t>
            </w:r>
          </w:p>
        </w:tc>
        <w:tc>
          <w:tcPr>
            <w:tcW w:type="dxa" w:w="1568"/>
          </w:tcPr>
          <w:p>
            <w:r/>
            <w:r>
              <w:rPr>
                <w:rFonts w:ascii="Calibri" w:hAnsi="Calibri"/>
                <w:sz w:val="18"/>
              </w:rPr>
              <w:t>Streptococcus salivarius K12</w:t>
            </w:r>
          </w:p>
        </w:tc>
        <w:tc>
          <w:tcPr>
            <w:tcW w:type="dxa" w:w="1568"/>
          </w:tcPr>
          <w:p>
            <w:r/>
            <w:r>
              <w:rPr>
                <w:rFonts w:ascii="Calibri" w:hAnsi="Calibri"/>
                <w:sz w:val="18"/>
              </w:rPr>
              <w:t>N/A (biol.)</w:t>
            </w:r>
          </w:p>
        </w:tc>
        <w:tc>
          <w:tcPr>
            <w:tcW w:type="dxa" w:w="1568"/>
          </w:tcPr>
          <w:p>
            <w:r/>
            <w:r>
              <w:rPr>
                <w:rFonts w:ascii="Calibri" w:hAnsi="Calibri"/>
                <w:sz w:val="18"/>
              </w:rPr>
              <w:t>Active — oral probiotic</w:t>
            </w:r>
          </w:p>
        </w:tc>
        <w:tc>
          <w:tcPr>
            <w:tcW w:type="dxa" w:w="1568"/>
          </w:tcPr>
          <w:p>
            <w:r/>
            <w:r>
              <w:rPr>
                <w:rFonts w:ascii="Calibri" w:hAnsi="Calibri"/>
                <w:sz w:val="18"/>
              </w:rPr>
              <w:t>1B CFU</w:t>
            </w:r>
          </w:p>
        </w:tc>
        <w:tc>
          <w:tcPr>
            <w:tcW w:type="dxa" w:w="1568"/>
          </w:tcPr>
          <w:p>
            <w:r/>
            <w:r>
              <w:rPr>
                <w:rFonts w:ascii="Calibri" w:hAnsi="Calibri"/>
                <w:sz w:val="18"/>
              </w:rPr>
              <w:t>EFSA QPS</w:t>
            </w:r>
          </w:p>
        </w:tc>
      </w:tr>
      <w:tr>
        <w:tc>
          <w:tcPr>
            <w:tcW w:type="dxa" w:w="1568"/>
          </w:tcPr>
          <w:p>
            <w:r/>
            <w:r>
              <w:rPr>
                <w:rFonts w:ascii="Calibri" w:hAnsi="Calibri"/>
                <w:sz w:val="18"/>
              </w:rPr>
              <w:t>4</w:t>
            </w:r>
          </w:p>
        </w:tc>
        <w:tc>
          <w:tcPr>
            <w:tcW w:type="dxa" w:w="1568"/>
          </w:tcPr>
          <w:p>
            <w:r/>
            <w:r>
              <w:rPr>
                <w:rFonts w:ascii="Calibri" w:hAnsi="Calibri"/>
                <w:sz w:val="18"/>
              </w:rPr>
              <w:t>Streptococcus salivarius M18</w:t>
            </w:r>
          </w:p>
        </w:tc>
        <w:tc>
          <w:tcPr>
            <w:tcW w:type="dxa" w:w="1568"/>
          </w:tcPr>
          <w:p>
            <w:r/>
            <w:r>
              <w:rPr>
                <w:rFonts w:ascii="Calibri" w:hAnsi="Calibri"/>
                <w:sz w:val="18"/>
              </w:rPr>
              <w:t>N/A (biol.)</w:t>
            </w:r>
          </w:p>
        </w:tc>
        <w:tc>
          <w:tcPr>
            <w:tcW w:type="dxa" w:w="1568"/>
          </w:tcPr>
          <w:p>
            <w:r/>
            <w:r>
              <w:rPr>
                <w:rFonts w:ascii="Calibri" w:hAnsi="Calibri"/>
                <w:sz w:val="18"/>
              </w:rPr>
              <w:t>Active — oral probiotic</w:t>
            </w:r>
          </w:p>
        </w:tc>
        <w:tc>
          <w:tcPr>
            <w:tcW w:type="dxa" w:w="1568"/>
          </w:tcPr>
          <w:p>
            <w:r/>
            <w:r>
              <w:rPr>
                <w:rFonts w:ascii="Calibri" w:hAnsi="Calibri"/>
                <w:sz w:val="18"/>
              </w:rPr>
              <w:t>500M CFU</w:t>
            </w:r>
          </w:p>
        </w:tc>
        <w:tc>
          <w:tcPr>
            <w:tcW w:type="dxa" w:w="1568"/>
          </w:tcPr>
          <w:p>
            <w:r/>
            <w:r>
              <w:rPr>
                <w:rFonts w:ascii="Calibri" w:hAnsi="Calibri"/>
                <w:sz w:val="18"/>
              </w:rPr>
              <w:t>EFSA QPS</w:t>
            </w:r>
          </w:p>
        </w:tc>
      </w:tr>
      <w:tr>
        <w:tc>
          <w:tcPr>
            <w:tcW w:type="dxa" w:w="1568"/>
          </w:tcPr>
          <w:p>
            <w:r/>
            <w:r>
              <w:rPr>
                <w:rFonts w:ascii="Calibri" w:hAnsi="Calibri"/>
                <w:sz w:val="18"/>
              </w:rPr>
              <w:t>5</w:t>
            </w:r>
          </w:p>
        </w:tc>
        <w:tc>
          <w:tcPr>
            <w:tcW w:type="dxa" w:w="1568"/>
          </w:tcPr>
          <w:p>
            <w:r/>
            <w:r>
              <w:rPr>
                <w:rFonts w:ascii="Calibri" w:hAnsi="Calibri"/>
                <w:sz w:val="18"/>
              </w:rPr>
              <w:t>Xylitol</w:t>
            </w:r>
          </w:p>
        </w:tc>
        <w:tc>
          <w:tcPr>
            <w:tcW w:type="dxa" w:w="1568"/>
          </w:tcPr>
          <w:p>
            <w:r/>
            <w:r>
              <w:rPr>
                <w:rFonts w:ascii="Calibri" w:hAnsi="Calibri"/>
                <w:sz w:val="18"/>
              </w:rPr>
              <w:t>CAS 87-99-0 / EC 201-788-0</w:t>
            </w:r>
          </w:p>
        </w:tc>
        <w:tc>
          <w:tcPr>
            <w:tcW w:type="dxa" w:w="1568"/>
          </w:tcPr>
          <w:p>
            <w:r/>
            <w:r>
              <w:rPr>
                <w:rFonts w:ascii="Calibri" w:hAnsi="Calibri"/>
                <w:sz w:val="18"/>
              </w:rPr>
              <w:t>Sweetener / dental agent</w:t>
            </w:r>
          </w:p>
        </w:tc>
        <w:tc>
          <w:tcPr>
            <w:tcW w:type="dxa" w:w="1568"/>
          </w:tcPr>
          <w:p>
            <w:r/>
            <w:r>
              <w:rPr>
                <w:rFonts w:ascii="Calibri" w:hAnsi="Calibri"/>
                <w:sz w:val="18"/>
              </w:rPr>
              <w:t>500 mg</w:t>
            </w:r>
          </w:p>
        </w:tc>
        <w:tc>
          <w:tcPr>
            <w:tcW w:type="dxa" w:w="1568"/>
          </w:tcPr>
          <w:p>
            <w:r/>
            <w:r>
              <w:rPr>
                <w:rFonts w:ascii="Calibri" w:hAnsi="Calibri"/>
                <w:sz w:val="18"/>
              </w:rPr>
              <w:t>Laxative threshold ~20 g/day</w:t>
            </w:r>
          </w:p>
        </w:tc>
      </w:tr>
      <w:tr>
        <w:tc>
          <w:tcPr>
            <w:tcW w:type="dxa" w:w="1568"/>
          </w:tcPr>
          <w:p>
            <w:r/>
            <w:r>
              <w:rPr>
                <w:rFonts w:ascii="Calibri" w:hAnsi="Calibri"/>
                <w:sz w:val="18"/>
              </w:rPr>
              <w:t>6</w:t>
            </w:r>
          </w:p>
        </w:tc>
        <w:tc>
          <w:tcPr>
            <w:tcW w:type="dxa" w:w="1568"/>
          </w:tcPr>
          <w:p>
            <w:r/>
            <w:r>
              <w:rPr>
                <w:rFonts w:ascii="Calibri" w:hAnsi="Calibri"/>
                <w:sz w:val="18"/>
              </w:rPr>
              <w:t>Peppermint oil (Mentha x piperita)</w:t>
            </w:r>
          </w:p>
        </w:tc>
        <w:tc>
          <w:tcPr>
            <w:tcW w:type="dxa" w:w="1568"/>
          </w:tcPr>
          <w:p>
            <w:r/>
            <w:r>
              <w:rPr>
                <w:rFonts w:ascii="Calibri" w:hAnsi="Calibri"/>
                <w:sz w:val="18"/>
              </w:rPr>
              <w:t>CAS 8006-90-4</w:t>
            </w:r>
          </w:p>
        </w:tc>
        <w:tc>
          <w:tcPr>
            <w:tcW w:type="dxa" w:w="1568"/>
          </w:tcPr>
          <w:p>
            <w:r/>
            <w:r>
              <w:rPr>
                <w:rFonts w:ascii="Calibri" w:hAnsi="Calibri"/>
                <w:sz w:val="18"/>
              </w:rPr>
              <w:t>Flavouring</w:t>
            </w:r>
          </w:p>
        </w:tc>
        <w:tc>
          <w:tcPr>
            <w:tcW w:type="dxa" w:w="1568"/>
          </w:tcPr>
          <w:p>
            <w:r/>
            <w:r>
              <w:rPr>
                <w:rFonts w:ascii="Calibri" w:hAnsi="Calibri"/>
                <w:sz w:val="18"/>
              </w:rPr>
              <w:t>q.s.</w:t>
            </w:r>
          </w:p>
        </w:tc>
        <w:tc>
          <w:tcPr>
            <w:tcW w:type="dxa" w:w="1568"/>
          </w:tcPr>
          <w:p>
            <w:r/>
            <w:r>
              <w:rPr>
                <w:rFonts w:ascii="Calibri" w:hAnsi="Calibri"/>
                <w:sz w:val="18"/>
              </w:rPr>
              <w:t>FEMA GRAS 2848</w:t>
            </w:r>
          </w:p>
        </w:tc>
      </w:tr>
      <w:tr>
        <w:tc>
          <w:tcPr>
            <w:tcW w:type="dxa" w:w="1568"/>
          </w:tcPr>
          <w:p>
            <w:r/>
            <w:r>
              <w:rPr>
                <w:rFonts w:ascii="Calibri" w:hAnsi="Calibri"/>
                <w:sz w:val="18"/>
              </w:rPr>
              <w:t>7</w:t>
            </w:r>
          </w:p>
        </w:tc>
        <w:tc>
          <w:tcPr>
            <w:tcW w:type="dxa" w:w="1568"/>
          </w:tcPr>
          <w:p>
            <w:r/>
            <w:r>
              <w:rPr>
                <w:rFonts w:ascii="Calibri" w:hAnsi="Calibri"/>
                <w:sz w:val="18"/>
              </w:rPr>
              <w:t>[Bulking agent(s)]</w:t>
            </w:r>
          </w:p>
        </w:tc>
        <w:tc>
          <w:tcPr>
            <w:tcW w:type="dxa" w:w="1568"/>
          </w:tcPr>
          <w:p>
            <w:r/>
            <w:r>
              <w:rPr>
                <w:rFonts w:ascii="Calibri" w:hAnsi="Calibri"/>
                <w:sz w:val="18"/>
              </w:rPr>
              <w:t>[CAS]</w:t>
            </w:r>
          </w:p>
        </w:tc>
        <w:tc>
          <w:tcPr>
            <w:tcW w:type="dxa" w:w="1568"/>
          </w:tcPr>
          <w:p>
            <w:r/>
            <w:r>
              <w:rPr>
                <w:rFonts w:ascii="Calibri" w:hAnsi="Calibri"/>
                <w:sz w:val="18"/>
              </w:rPr>
              <w:t>Excipient</w:t>
            </w:r>
          </w:p>
        </w:tc>
        <w:tc>
          <w:tcPr>
            <w:tcW w:type="dxa" w:w="1568"/>
          </w:tcPr>
          <w:p>
            <w:r/>
            <w:r>
              <w:rPr>
                <w:rFonts w:ascii="Calibri" w:hAnsi="Calibri"/>
                <w:sz w:val="18"/>
              </w:rPr>
              <w:t>[mg]</w:t>
            </w:r>
          </w:p>
        </w:tc>
        <w:tc>
          <w:tcPr>
            <w:tcW w:type="dxa" w:w="1568"/>
          </w:tcPr>
          <w:p>
            <w:r/>
            <w:r>
              <w:rPr>
                <w:rFonts w:ascii="Calibri" w:hAnsi="Calibri"/>
                <w:sz w:val="18"/>
              </w:rPr>
              <w:t>[e.g. isomalt]</w:t>
            </w:r>
          </w:p>
        </w:tc>
      </w:tr>
      <w:tr>
        <w:tc>
          <w:tcPr>
            <w:tcW w:type="dxa" w:w="1568"/>
          </w:tcPr>
          <w:p>
            <w:r/>
            <w:r>
              <w:rPr>
                <w:rFonts w:ascii="Calibri" w:hAnsi="Calibri"/>
                <w:sz w:val="18"/>
              </w:rPr>
              <w:t>8</w:t>
            </w:r>
          </w:p>
        </w:tc>
        <w:tc>
          <w:tcPr>
            <w:tcW w:type="dxa" w:w="1568"/>
          </w:tcPr>
          <w:p>
            <w:r/>
            <w:r>
              <w:rPr>
                <w:rFonts w:ascii="Calibri" w:hAnsi="Calibri"/>
                <w:sz w:val="18"/>
              </w:rPr>
              <w:t>[Binder(s)]</w:t>
            </w:r>
          </w:p>
        </w:tc>
        <w:tc>
          <w:tcPr>
            <w:tcW w:type="dxa" w:w="1568"/>
          </w:tcPr>
          <w:p>
            <w:r/>
            <w:r>
              <w:rPr>
                <w:rFonts w:ascii="Calibri" w:hAnsi="Calibri"/>
                <w:sz w:val="18"/>
              </w:rPr>
              <w:t>[CAS]</w:t>
            </w:r>
          </w:p>
        </w:tc>
        <w:tc>
          <w:tcPr>
            <w:tcW w:type="dxa" w:w="1568"/>
          </w:tcPr>
          <w:p>
            <w:r/>
            <w:r>
              <w:rPr>
                <w:rFonts w:ascii="Calibri" w:hAnsi="Calibri"/>
                <w:sz w:val="18"/>
              </w:rPr>
              <w:t>Excipient</w:t>
            </w:r>
          </w:p>
        </w:tc>
        <w:tc>
          <w:tcPr>
            <w:tcW w:type="dxa" w:w="1568"/>
          </w:tcPr>
          <w:p>
            <w:r/>
            <w:r>
              <w:rPr>
                <w:rFonts w:ascii="Calibri" w:hAnsi="Calibri"/>
                <w:sz w:val="18"/>
              </w:rPr>
              <w:t>[mg]</w:t>
            </w:r>
          </w:p>
        </w:tc>
        <w:tc>
          <w:tcPr>
            <w:tcW w:type="dxa" w:w="1568"/>
          </w:tcPr>
          <w:p>
            <w:r/>
            <w:r>
              <w:rPr>
                <w:rFonts w:ascii="Calibri" w:hAnsi="Calibri"/>
                <w:sz w:val="18"/>
              </w:rPr>
            </w:r>
          </w:p>
        </w:tc>
      </w:tr>
      <w:tr>
        <w:tc>
          <w:tcPr>
            <w:tcW w:type="dxa" w:w="1568"/>
          </w:tcPr>
          <w:p>
            <w:r/>
            <w:r>
              <w:rPr>
                <w:rFonts w:ascii="Calibri" w:hAnsi="Calibri"/>
                <w:sz w:val="18"/>
              </w:rPr>
              <w:t>9</w:t>
            </w:r>
          </w:p>
        </w:tc>
        <w:tc>
          <w:tcPr>
            <w:tcW w:type="dxa" w:w="1568"/>
          </w:tcPr>
          <w:p>
            <w:r/>
            <w:r>
              <w:rPr>
                <w:rFonts w:ascii="Calibri" w:hAnsi="Calibri"/>
                <w:sz w:val="18"/>
              </w:rPr>
              <w:t>[Anti-caking agent(s)]</w:t>
            </w:r>
          </w:p>
        </w:tc>
        <w:tc>
          <w:tcPr>
            <w:tcW w:type="dxa" w:w="1568"/>
          </w:tcPr>
          <w:p>
            <w:r/>
            <w:r>
              <w:rPr>
                <w:rFonts w:ascii="Calibri" w:hAnsi="Calibri"/>
                <w:sz w:val="18"/>
              </w:rPr>
              <w:t>[CAS]</w:t>
            </w:r>
          </w:p>
        </w:tc>
        <w:tc>
          <w:tcPr>
            <w:tcW w:type="dxa" w:w="1568"/>
          </w:tcPr>
          <w:p>
            <w:r/>
            <w:r>
              <w:rPr>
                <w:rFonts w:ascii="Calibri" w:hAnsi="Calibri"/>
                <w:sz w:val="18"/>
              </w:rPr>
              <w:t>Excipient</w:t>
            </w:r>
          </w:p>
        </w:tc>
        <w:tc>
          <w:tcPr>
            <w:tcW w:type="dxa" w:w="1568"/>
          </w:tcPr>
          <w:p>
            <w:r/>
            <w:r>
              <w:rPr>
                <w:rFonts w:ascii="Calibri" w:hAnsi="Calibri"/>
                <w:sz w:val="18"/>
              </w:rPr>
              <w:t>[mg]</w:t>
            </w:r>
          </w:p>
        </w:tc>
        <w:tc>
          <w:tcPr>
            <w:tcW w:type="dxa" w:w="1568"/>
          </w:tcPr>
          <w:p>
            <w:r/>
            <w:r>
              <w:rPr>
                <w:rFonts w:ascii="Calibri" w:hAnsi="Calibri"/>
                <w:sz w:val="18"/>
              </w:rPr>
            </w:r>
          </w:p>
        </w:tc>
      </w:tr>
    </w:tbl>
    <w:p>
      <w:r>
        <w:rPr>
          <w:b w:val="0"/>
          <w:i/>
        </w:rPr>
        <w:t>Note: Full excipient list and exact quantities must be provided by the commissioner.</w:t>
      </w:r>
    </w:p>
    <w:p>
      <w:pPr>
        <w:pStyle w:val="Heading1"/>
      </w:pPr>
      <w:r>
        <w:t>6. Methodology</w:t>
      </w:r>
    </w:p>
    <w:p>
      <w:r>
        <w:rPr>
          <w:b w:val="0"/>
          <w:i w:val="0"/>
        </w:rPr>
        <w:t>This assessment follows established principles of toxicological risk assessment per:</w:t>
        <w:br/>
        <w:t>- WHO/IPCS Framework for Risk Assessment (2004)</w:t>
        <w:br/>
        <w:t>- EFSA Guidance on risk assessment of substances in food (2012)</w:t>
        <w:br/>
        <w:t>- EFSA Guidance on characterisation of microorganisms (2018)</w:t>
        <w:br/>
        <w:t>- EFSA Qualified Presumption of Safety (QPS) approach</w:t>
        <w:br/>
        <w:t>- Regulation (EC) No 178/2002, Directive 2002/46/EC</w:t>
        <w:br/>
        <w:t>- Relevant JECFA evaluations</w:t>
      </w:r>
    </w:p>
    <w:p>
      <w:r>
        <w:rPr>
          <w:b w:val="0"/>
          <w:i w:val="0"/>
        </w:rPr>
        <w:t>The standard four-step paradigm is followed:</w:t>
        <w:br/>
        <w:t>1. Hazard Identification</w:t>
        <w:br/>
        <w:t>2. Hazard Characterisation (dose-response, NOAEL, LOAEL, ADI)</w:t>
        <w:br/>
        <w:t>3. Exposure Assessment</w:t>
        <w:br/>
        <w:t>4. Risk Characterisation (MoS/MoE calculation)</w:t>
      </w:r>
    </w:p>
    <w:p>
      <w:r>
        <w:rPr>
          <w:b w:val="0"/>
          <w:i w:val="0"/>
        </w:rPr>
        <w:t>For probiotics, additionally: taxonomic identity, QPS status, absence of transferable AMR genes, history of safe use, clinical safety data, viability.</w:t>
      </w:r>
    </w:p>
    <w:p>
      <w:pPr>
        <w:pStyle w:val="Heading1"/>
      </w:pPr>
      <w:r>
        <w:t>7. Hazard Identification per Ingredient</w:t>
      </w:r>
    </w:p>
    <w:p>
      <w:pPr>
        <w:pStyle w:val="Heading3"/>
      </w:pPr>
      <w:r>
        <w:t>7.1 Lactobacillus reuteri DSM 17938</w:t>
      </w:r>
    </w:p>
    <w:p>
      <w:r>
        <w:rPr>
          <w:b/>
          <w:sz w:val="20"/>
        </w:rPr>
        <w:t xml:space="preserve">Identification: </w:t>
      </w:r>
      <w:r>
        <w:rPr>
          <w:sz w:val="20"/>
        </w:rPr>
        <w:t>Species: Lactobacillus reuteri | Strain: DSM 17938 | CAS: N/A (biological) | QPS: Listed, no safety concerns.</w:t>
      </w:r>
    </w:p>
    <w:p>
      <w:r>
        <w:rPr>
          <w:b/>
          <w:sz w:val="20"/>
        </w:rPr>
        <w:t xml:space="preserve">Acute Toxicity: </w:t>
      </w:r>
      <w:r>
        <w:rPr>
          <w:sz w:val="20"/>
        </w:rPr>
        <w:t>No acute toxicity reported. Studied at doses up to 10^10 CFU/day without adverse effects. Long history of safe use.</w:t>
      </w:r>
    </w:p>
    <w:p>
      <w:r>
        <w:rPr>
          <w:b/>
          <w:sz w:val="20"/>
        </w:rPr>
        <w:t xml:space="preserve">Skin Irritation: </w:t>
      </w:r>
      <w:r>
        <w:rPr>
          <w:sz w:val="20"/>
        </w:rPr>
        <w:t>Not applicable (oral route).</w:t>
      </w:r>
    </w:p>
    <w:p>
      <w:r>
        <w:rPr>
          <w:b/>
          <w:sz w:val="20"/>
        </w:rPr>
        <w:t xml:space="preserve">Sensitisation: </w:t>
      </w:r>
      <w:r>
        <w:rPr>
          <w:sz w:val="20"/>
        </w:rPr>
        <w:t>No evidence. Verify allergen cross-contamination from culture medium.</w:t>
      </w:r>
    </w:p>
    <w:p>
      <w:r>
        <w:rPr>
          <w:b/>
          <w:sz w:val="20"/>
        </w:rPr>
        <w:t xml:space="preserve">Repeated Dose Toxicity: </w:t>
      </w:r>
      <w:r>
        <w:rPr>
          <w:sz w:val="20"/>
        </w:rPr>
        <w:t>Long-term studies (up to 12 months) show no systemic adverse effects.</w:t>
      </w:r>
    </w:p>
    <w:p>
      <w:r>
        <w:rPr>
          <w:b/>
          <w:sz w:val="20"/>
        </w:rPr>
        <w:t xml:space="preserve">Genotoxicity / Mutagenicity: </w:t>
      </w:r>
      <w:r>
        <w:rPr>
          <w:sz w:val="20"/>
        </w:rPr>
        <w:t>No evidence of genotoxicity. LAB do not produce genotoxic metabolites.</w:t>
      </w:r>
    </w:p>
    <w:p>
      <w:r>
        <w:rPr>
          <w:b/>
          <w:sz w:val="20"/>
        </w:rPr>
        <w:t xml:space="preserve">Carcinogenicity: </w:t>
      </w:r>
      <w:r>
        <w:rPr>
          <w:sz w:val="20"/>
        </w:rPr>
        <w:t>No evidence.</w:t>
      </w:r>
    </w:p>
    <w:p>
      <w:r>
        <w:rPr>
          <w:b/>
          <w:sz w:val="20"/>
        </w:rPr>
        <w:t xml:space="preserve">Reproductive Toxicity: </w:t>
      </w:r>
      <w:r>
        <w:rPr>
          <w:sz w:val="20"/>
        </w:rPr>
        <w:t>Clinical studies in pregnant women show no adverse outcomes. Limited data.</w:t>
      </w:r>
    </w:p>
    <w:p>
      <w:r>
        <w:rPr>
          <w:b/>
          <w:sz w:val="20"/>
        </w:rPr>
        <w:t xml:space="preserve">Critical Endpoint: </w:t>
      </w:r>
      <w:r>
        <w:rPr>
          <w:sz w:val="20"/>
        </w:rPr>
        <w:t>No critical endpoint at intended dose. QPS status and clinical data support safety.</w:t>
      </w:r>
    </w:p>
    <w:p>
      <w:r>
        <w:rPr>
          <w:b/>
          <w:sz w:val="20"/>
        </w:rPr>
        <w:t xml:space="preserve">Uncertainties: </w:t>
      </w:r>
      <w:r>
        <w:rPr>
          <w:sz w:val="20"/>
        </w:rPr>
        <w:t>Confirm strain-specific antibiotic resistance profile (EFSA). Verify viability at end of shelf life.</w:t>
      </w:r>
    </w:p>
    <w:p>
      <w:pPr>
        <w:pStyle w:val="Heading3"/>
      </w:pPr>
      <w:r>
        <w:t>7.2 Lactobacillus paracasei [Strain]</w:t>
      </w:r>
    </w:p>
    <w:p>
      <w:r>
        <w:rPr>
          <w:b/>
          <w:sz w:val="20"/>
        </w:rPr>
        <w:t xml:space="preserve">Identification: </w:t>
      </w:r>
      <w:r>
        <w:rPr>
          <w:sz w:val="20"/>
        </w:rPr>
        <w:t>Species: Lactobacillus paracasei | Strain: [To be provided] | CAS: N/A | QPS: Listed.</w:t>
      </w:r>
    </w:p>
    <w:p>
      <w:r>
        <w:rPr>
          <w:b/>
          <w:sz w:val="20"/>
        </w:rPr>
        <w:t xml:space="preserve">Acute Toxicity: </w:t>
      </w:r>
      <w:r>
        <w:rPr>
          <w:sz w:val="20"/>
        </w:rPr>
        <w:t>No acute toxicity at supplement-level doses. Safe use history in fermented dairy.</w:t>
      </w:r>
    </w:p>
    <w:p>
      <w:r>
        <w:rPr>
          <w:b/>
          <w:sz w:val="20"/>
        </w:rPr>
        <w:t xml:space="preserve">Skin Irritation: </w:t>
      </w:r>
      <w:r>
        <w:rPr>
          <w:sz w:val="20"/>
        </w:rPr>
        <w:t>Not applicable (oral route).</w:t>
      </w:r>
    </w:p>
    <w:p>
      <w:r>
        <w:rPr>
          <w:b/>
          <w:sz w:val="20"/>
        </w:rPr>
        <w:t xml:space="preserve">Sensitisation: </w:t>
      </w:r>
      <w:r>
        <w:rPr>
          <w:sz w:val="20"/>
        </w:rPr>
        <w:t>No known potential. Assess culture media allergens.</w:t>
      </w:r>
    </w:p>
    <w:p>
      <w:r>
        <w:rPr>
          <w:b/>
          <w:sz w:val="20"/>
        </w:rPr>
        <w:t xml:space="preserve">Repeated Dose Toxicity: </w:t>
      </w:r>
      <w:r>
        <w:rPr>
          <w:sz w:val="20"/>
        </w:rPr>
        <w:t>Generally well tolerated. [Add strain-specific references.]</w:t>
      </w:r>
    </w:p>
    <w:p>
      <w:r>
        <w:rPr>
          <w:b/>
          <w:sz w:val="20"/>
        </w:rPr>
        <w:t xml:space="preserve">Genotoxicity / Mutagenicity: </w:t>
      </w:r>
      <w:r>
        <w:rPr>
          <w:sz w:val="20"/>
        </w:rPr>
        <w:t>No evidence for the species.</w:t>
      </w:r>
    </w:p>
    <w:p>
      <w:r>
        <w:rPr>
          <w:b/>
          <w:sz w:val="20"/>
        </w:rPr>
        <w:t xml:space="preserve">Carcinogenicity: </w:t>
      </w:r>
      <w:r>
        <w:rPr>
          <w:sz w:val="20"/>
        </w:rPr>
        <w:t>No evidence.</w:t>
      </w:r>
    </w:p>
    <w:p>
      <w:r>
        <w:rPr>
          <w:b/>
          <w:sz w:val="20"/>
        </w:rPr>
        <w:t xml:space="preserve">Reproductive Toxicity: </w:t>
      </w:r>
      <w:r>
        <w:rPr>
          <w:sz w:val="20"/>
        </w:rPr>
        <w:t>Insufficient strain-specific data. No species-level concerns.</w:t>
      </w:r>
    </w:p>
    <w:p>
      <w:r>
        <w:rPr>
          <w:b/>
          <w:sz w:val="20"/>
        </w:rPr>
        <w:t xml:space="preserve">Critical Endpoint: </w:t>
      </w:r>
      <w:r>
        <w:rPr>
          <w:sz w:val="20"/>
        </w:rPr>
        <w:t>No critical endpoint identified.</w:t>
      </w:r>
    </w:p>
    <w:p>
      <w:r>
        <w:rPr>
          <w:b/>
          <w:sz w:val="20"/>
        </w:rPr>
        <w:t xml:space="preserve">Uncertainties: </w:t>
      </w:r>
      <w:r>
        <w:rPr>
          <w:sz w:val="20"/>
        </w:rPr>
        <w:t>ACTION REQUIRED: Exact strain designation and antibiotic resistance profile needed.</w:t>
      </w:r>
    </w:p>
    <w:p>
      <w:pPr>
        <w:pStyle w:val="Heading3"/>
      </w:pPr>
      <w:r>
        <w:t>7.3 Streptococcus salivarius K12 (BLIS K12)</w:t>
      </w:r>
    </w:p>
    <w:p>
      <w:r>
        <w:rPr>
          <w:b/>
          <w:sz w:val="20"/>
        </w:rPr>
        <w:t xml:space="preserve">Identification: </w:t>
      </w:r>
      <w:r>
        <w:rPr>
          <w:sz w:val="20"/>
        </w:rPr>
        <w:t>Species: S. salivarius | Strain: K12 | QPS: Listed. Predominant commensal of the human oral cavity.</w:t>
      </w:r>
    </w:p>
    <w:p>
      <w:r>
        <w:rPr>
          <w:b/>
          <w:sz w:val="20"/>
        </w:rPr>
        <w:t xml:space="preserve">Acute Toxicity: </w:t>
      </w:r>
      <w:r>
        <w:rPr>
          <w:sz w:val="20"/>
        </w:rPr>
        <w:t>No acute toxicity. Over 30 years of commercial use. Clinical doses up to 2.5x10^9 CFU/day safe.</w:t>
      </w:r>
    </w:p>
    <w:p>
      <w:r>
        <w:rPr>
          <w:b/>
          <w:sz w:val="20"/>
        </w:rPr>
        <w:t xml:space="preserve">Skin Irritation: </w:t>
      </w:r>
      <w:r>
        <w:rPr>
          <w:sz w:val="20"/>
        </w:rPr>
        <w:t>Not applicable.</w:t>
      </w:r>
    </w:p>
    <w:p>
      <w:r>
        <w:rPr>
          <w:b/>
          <w:sz w:val="20"/>
        </w:rPr>
        <w:t xml:space="preserve">Sensitisation: </w:t>
      </w:r>
      <w:r>
        <w:rPr>
          <w:sz w:val="20"/>
        </w:rPr>
        <w:t>No evidence. Normal human commensal.</w:t>
      </w:r>
    </w:p>
    <w:p>
      <w:r>
        <w:rPr>
          <w:b/>
          <w:sz w:val="20"/>
        </w:rPr>
        <w:t xml:space="preserve">Repeated Dose Toxicity: </w:t>
      </w:r>
      <w:r>
        <w:rPr>
          <w:sz w:val="20"/>
        </w:rPr>
        <w:t>Long-term use (up to 6 months) shows no adverse effects. Transient colonisation.</w:t>
      </w:r>
    </w:p>
    <w:p>
      <w:r>
        <w:rPr>
          <w:b/>
          <w:sz w:val="20"/>
        </w:rPr>
        <w:t xml:space="preserve">Genotoxicity / Mutagenicity: </w:t>
      </w:r>
      <w:r>
        <w:rPr>
          <w:sz w:val="20"/>
        </w:rPr>
        <w:t>No evidence.</w:t>
      </w:r>
    </w:p>
    <w:p>
      <w:r>
        <w:rPr>
          <w:b/>
          <w:sz w:val="20"/>
        </w:rPr>
        <w:t xml:space="preserve">Carcinogenicity: </w:t>
      </w:r>
      <w:r>
        <w:rPr>
          <w:sz w:val="20"/>
        </w:rPr>
        <w:t>No evidence.</w:t>
      </w:r>
    </w:p>
    <w:p>
      <w:r>
        <w:rPr>
          <w:b/>
          <w:sz w:val="20"/>
        </w:rPr>
        <w:t xml:space="preserve">Reproductive Toxicity: </w:t>
      </w:r>
      <w:r>
        <w:rPr>
          <w:sz w:val="20"/>
        </w:rPr>
        <w:t>No specific data. No species-level concerns.</w:t>
      </w:r>
    </w:p>
    <w:p>
      <w:r>
        <w:rPr>
          <w:b/>
          <w:sz w:val="20"/>
        </w:rPr>
        <w:t xml:space="preserve">Critical Endpoint: </w:t>
      </w:r>
      <w:r>
        <w:rPr>
          <w:sz w:val="20"/>
        </w:rPr>
        <w:t>No critical endpoint. QPS status + 30+ years commercial use.</w:t>
      </w:r>
    </w:p>
    <w:p>
      <w:r>
        <w:rPr>
          <w:b/>
          <w:sz w:val="20"/>
        </w:rPr>
        <w:t xml:space="preserve">Uncertainties: </w:t>
      </w:r>
      <w:r>
        <w:rPr>
          <w:sz w:val="20"/>
        </w:rPr>
        <w:t>Confirm antibiotic resistance profile from BLIS Technologies.</w:t>
      </w:r>
    </w:p>
    <w:p>
      <w:pPr>
        <w:pStyle w:val="Heading3"/>
      </w:pPr>
      <w:r>
        <w:t>7.4 Streptococcus salivarius M18 (BLIS M18)</w:t>
      </w:r>
    </w:p>
    <w:p>
      <w:r>
        <w:rPr>
          <w:b/>
          <w:sz w:val="20"/>
        </w:rPr>
        <w:t xml:space="preserve">Identification: </w:t>
      </w:r>
      <w:r>
        <w:rPr>
          <w:sz w:val="20"/>
        </w:rPr>
        <w:t>Species: S. salivarius | Strain: M18 | QPS: Listed.</w:t>
      </w:r>
    </w:p>
    <w:p>
      <w:r>
        <w:rPr>
          <w:b/>
          <w:sz w:val="20"/>
        </w:rPr>
        <w:t xml:space="preserve">Acute Toxicity: </w:t>
      </w:r>
      <w:r>
        <w:rPr>
          <w:sz w:val="20"/>
        </w:rPr>
        <w:t>No acute toxicity observed in clinical trials.</w:t>
      </w:r>
    </w:p>
    <w:p>
      <w:r>
        <w:rPr>
          <w:b/>
          <w:sz w:val="20"/>
        </w:rPr>
        <w:t xml:space="preserve">Skin Irritation: </w:t>
      </w:r>
      <w:r>
        <w:rPr>
          <w:sz w:val="20"/>
        </w:rPr>
        <w:t>Not applicable.</w:t>
      </w:r>
    </w:p>
    <w:p>
      <w:r>
        <w:rPr>
          <w:b/>
          <w:sz w:val="20"/>
        </w:rPr>
        <w:t xml:space="preserve">Sensitisation: </w:t>
      </w:r>
      <w:r>
        <w:rPr>
          <w:sz w:val="20"/>
        </w:rPr>
        <w:t>No evidence. Normal human oral commensal.</w:t>
      </w:r>
    </w:p>
    <w:p>
      <w:r>
        <w:rPr>
          <w:b/>
          <w:sz w:val="20"/>
        </w:rPr>
        <w:t xml:space="preserve">Repeated Dose Toxicity: </w:t>
      </w:r>
      <w:r>
        <w:rPr>
          <w:sz w:val="20"/>
        </w:rPr>
        <w:t>Good tolerability with repeated daily use. No systemic effects.</w:t>
      </w:r>
    </w:p>
    <w:p>
      <w:r>
        <w:rPr>
          <w:b/>
          <w:sz w:val="20"/>
        </w:rPr>
        <w:t xml:space="preserve">Genotoxicity / Mutagenicity: </w:t>
      </w:r>
      <w:r>
        <w:rPr>
          <w:sz w:val="20"/>
        </w:rPr>
        <w:t>No evidence.</w:t>
      </w:r>
    </w:p>
    <w:p>
      <w:r>
        <w:rPr>
          <w:b/>
          <w:sz w:val="20"/>
        </w:rPr>
        <w:t xml:space="preserve">Carcinogenicity: </w:t>
      </w:r>
      <w:r>
        <w:rPr>
          <w:sz w:val="20"/>
        </w:rPr>
        <w:t>No evidence.</w:t>
      </w:r>
    </w:p>
    <w:p>
      <w:r>
        <w:rPr>
          <w:b/>
          <w:sz w:val="20"/>
        </w:rPr>
        <w:t xml:space="preserve">Reproductive Toxicity: </w:t>
      </w:r>
      <w:r>
        <w:rPr>
          <w:sz w:val="20"/>
        </w:rPr>
        <w:t>No specific data. No species-level concerns.</w:t>
      </w:r>
    </w:p>
    <w:p>
      <w:r>
        <w:rPr>
          <w:b/>
          <w:sz w:val="20"/>
        </w:rPr>
        <w:t xml:space="preserve">Critical Endpoint: </w:t>
      </w:r>
      <w:r>
        <w:rPr>
          <w:sz w:val="20"/>
        </w:rPr>
        <w:t>No critical endpoint at intended dose.</w:t>
      </w:r>
    </w:p>
    <w:p>
      <w:r>
        <w:rPr>
          <w:b/>
          <w:sz w:val="20"/>
        </w:rPr>
        <w:t xml:space="preserve">Uncertainties: </w:t>
      </w:r>
      <w:r>
        <w:rPr>
          <w:sz w:val="20"/>
        </w:rPr>
        <w:t>Confirm antibiotic resistance profile. Document viability specs.</w:t>
      </w:r>
    </w:p>
    <w:p>
      <w:pPr>
        <w:pStyle w:val="Heading3"/>
      </w:pPr>
      <w:r>
        <w:t>7.5 Xylitol</w:t>
      </w:r>
    </w:p>
    <w:p>
      <w:r>
        <w:rPr>
          <w:b/>
          <w:sz w:val="20"/>
        </w:rPr>
        <w:t xml:space="preserve">Identification: </w:t>
      </w:r>
      <w:r>
        <w:rPr>
          <w:sz w:val="20"/>
        </w:rPr>
        <w:t>Xylitol (D-xylitol) | CAS: 87-99-0 | EC: 201-788-0 | E 967 | MW: 152.15 g/mol | JECFA ADI: not specified (safe at normal dietary levels). Approved food additive (quantum satis) under Reg (EC) 1333/2008.</w:t>
      </w:r>
    </w:p>
    <w:p>
      <w:r>
        <w:rPr>
          <w:b/>
          <w:sz w:val="20"/>
        </w:rPr>
        <w:t xml:space="preserve">Acute Toxicity: </w:t>
      </w:r>
      <w:r>
        <w:rPr>
          <w:sz w:val="20"/>
        </w:rPr>
        <w:t>Oral LD50 (rat): &gt;20 g/kg bw. Very low acute toxicity. High single doses (&gt;20 g) may cause transient GI discomfort.</w:t>
      </w:r>
    </w:p>
    <w:p>
      <w:r>
        <w:rPr>
          <w:b/>
          <w:sz w:val="20"/>
        </w:rPr>
        <w:t xml:space="preserve">Skin Irritation: </w:t>
      </w:r>
      <w:r>
        <w:rPr>
          <w:sz w:val="20"/>
        </w:rPr>
        <w:t>Not classified as irritant.</w:t>
      </w:r>
    </w:p>
    <w:p>
      <w:r>
        <w:rPr>
          <w:b/>
          <w:sz w:val="20"/>
        </w:rPr>
        <w:t xml:space="preserve">Sensitisation: </w:t>
      </w:r>
      <w:r>
        <w:rPr>
          <w:sz w:val="20"/>
        </w:rPr>
        <w:t>Not classified. No reports of allergic reactions.</w:t>
      </w:r>
    </w:p>
    <w:p>
      <w:r>
        <w:rPr>
          <w:b/>
          <w:sz w:val="20"/>
        </w:rPr>
        <w:t xml:space="preserve">Repeated Dose Toxicity: </w:t>
      </w:r>
      <w:r>
        <w:rPr>
          <w:sz w:val="20"/>
        </w:rPr>
        <w:t>2-year rat study: NOAEL 5 g/kg bw/day. Caecal enlargement (adaptive, not adverse). JECFA considers GI effects pharmacological, not toxicological.</w:t>
      </w:r>
    </w:p>
    <w:p>
      <w:r>
        <w:rPr>
          <w:b/>
          <w:sz w:val="20"/>
        </w:rPr>
        <w:t xml:space="preserve">Genotoxicity / Mutagenicity: </w:t>
      </w:r>
      <w:r>
        <w:rPr>
          <w:sz w:val="20"/>
        </w:rPr>
        <w:t>Negative in Ames, chromosomal aberration, micronucleus assays. No genotoxic potential.</w:t>
      </w:r>
    </w:p>
    <w:p>
      <w:r>
        <w:rPr>
          <w:b/>
          <w:sz w:val="20"/>
        </w:rPr>
        <w:t xml:space="preserve">Carcinogenicity: </w:t>
      </w:r>
      <w:r>
        <w:rPr>
          <w:sz w:val="20"/>
        </w:rPr>
        <w:t>No evidence. Not classified by IARC.</w:t>
      </w:r>
    </w:p>
    <w:p>
      <w:r>
        <w:rPr>
          <w:b/>
          <w:sz w:val="20"/>
        </w:rPr>
        <w:t xml:space="preserve">Reproductive Toxicity: </w:t>
      </w:r>
      <w:r>
        <w:rPr>
          <w:sz w:val="20"/>
        </w:rPr>
        <w:t>No evidence at nutritionally relevant doses.</w:t>
      </w:r>
    </w:p>
    <w:p>
      <w:r>
        <w:rPr>
          <w:b/>
          <w:sz w:val="20"/>
        </w:rPr>
        <w:t xml:space="preserve">Critical Endpoint: </w:t>
      </w:r>
      <w:r>
        <w:rPr>
          <w:sz w:val="20"/>
        </w:rPr>
        <w:t>GI tolerance is dose-limiting. Laxative threshold ~20-30 g/day adults. At 500 mg/day: well below threshold (2.5%).</w:t>
      </w:r>
    </w:p>
    <w:p>
      <w:r>
        <w:rPr>
          <w:b/>
          <w:sz w:val="20"/>
        </w:rPr>
        <w:t xml:space="preserve">Uncertainties: </w:t>
      </w:r>
      <w:r>
        <w:rPr>
          <w:sz w:val="20"/>
        </w:rPr>
        <w:t>Low. Robust safety dossier. Note: highly toxic to dogs — relevant for labelling.</w:t>
      </w:r>
    </w:p>
    <w:p>
      <w:pPr>
        <w:pStyle w:val="Heading3"/>
      </w:pPr>
      <w:r>
        <w:t>7.6 Natural Peppermint Flavouring</w:t>
      </w:r>
    </w:p>
    <w:p>
      <w:r>
        <w:rPr>
          <w:b/>
          <w:sz w:val="20"/>
        </w:rPr>
        <w:t xml:space="preserve">Identification: </w:t>
      </w:r>
      <w:r>
        <w:rPr>
          <w:sz w:val="20"/>
        </w:rPr>
        <w:t>Peppermint oil (Mentha x piperita L.) | CAS: 8006-90-4 | FEMA GRAS 2848 | Primary constituent: menthol (30-55%). GRAS as flavouring. Listed in Reg (EC) 1334/2008.</w:t>
      </w:r>
    </w:p>
    <w:p>
      <w:r>
        <w:rPr>
          <w:b/>
          <w:sz w:val="20"/>
        </w:rPr>
        <w:t xml:space="preserve">Acute Toxicity: </w:t>
      </w:r>
      <w:r>
        <w:rPr>
          <w:sz w:val="20"/>
        </w:rPr>
        <w:t>Oral LD50 (rat): ~4.4 g/kg bw. No concern at flavouring levels.</w:t>
      </w:r>
    </w:p>
    <w:p>
      <w:r>
        <w:rPr>
          <w:b/>
          <w:sz w:val="20"/>
        </w:rPr>
        <w:t xml:space="preserve">Skin Irritation: </w:t>
      </w:r>
      <w:r>
        <w:rPr>
          <w:sz w:val="20"/>
        </w:rPr>
        <w:t>Mild irritant at high conc. Not relevant for oral lozenge.</w:t>
      </w:r>
    </w:p>
    <w:p>
      <w:r>
        <w:rPr>
          <w:b/>
          <w:sz w:val="20"/>
        </w:rPr>
        <w:t xml:space="preserve">Sensitisation: </w:t>
      </w:r>
      <w:r>
        <w:rPr>
          <w:sz w:val="20"/>
        </w:rPr>
        <w:t>Rare contact sensitisation to menthol reported. Oral exposure at flavouring levels not associated.</w:t>
      </w:r>
    </w:p>
    <w:p>
      <w:r>
        <w:rPr>
          <w:b/>
          <w:sz w:val="20"/>
        </w:rPr>
        <w:t xml:space="preserve">Repeated Dose Toxicity: </w:t>
      </w:r>
      <w:r>
        <w:rPr>
          <w:sz w:val="20"/>
        </w:rPr>
        <w:t>Menthol ADI (JECFA): 0-4 mg/kg bw/day. Flavouring level exposure expected well below.</w:t>
      </w:r>
    </w:p>
    <w:p>
      <w:r>
        <w:rPr>
          <w:b/>
          <w:sz w:val="20"/>
        </w:rPr>
        <w:t xml:space="preserve">Genotoxicity / Mutagenicity: </w:t>
      </w:r>
      <w:r>
        <w:rPr>
          <w:sz w:val="20"/>
        </w:rPr>
        <w:t>Menthol: negative in standard battery. No concern at flavouring concentrations.</w:t>
      </w:r>
    </w:p>
    <w:p>
      <w:r>
        <w:rPr>
          <w:b/>
          <w:sz w:val="20"/>
        </w:rPr>
        <w:t xml:space="preserve">Carcinogenicity: </w:t>
      </w:r>
      <w:r>
        <w:rPr>
          <w:sz w:val="20"/>
        </w:rPr>
        <w:t>No evidence.</w:t>
      </w:r>
    </w:p>
    <w:p>
      <w:r>
        <w:rPr>
          <w:b/>
          <w:sz w:val="20"/>
        </w:rPr>
        <w:t xml:space="preserve">Reproductive Toxicity: </w:t>
      </w:r>
      <w:r>
        <w:rPr>
          <w:sz w:val="20"/>
        </w:rPr>
        <w:t>High-dose animal effects only. Not relevant at flavouring levels.</w:t>
      </w:r>
    </w:p>
    <w:p>
      <w:r>
        <w:rPr>
          <w:b/>
          <w:sz w:val="20"/>
        </w:rPr>
        <w:t xml:space="preserve">Critical Endpoint: </w:t>
      </w:r>
      <w:r>
        <w:rPr>
          <w:sz w:val="20"/>
        </w:rPr>
        <w:t>No concern at flavouring concentration.</w:t>
      </w:r>
    </w:p>
    <w:p>
      <w:r>
        <w:rPr>
          <w:b/>
          <w:sz w:val="20"/>
        </w:rPr>
        <w:t xml:space="preserve">Uncertainties: </w:t>
      </w:r>
      <w:r>
        <w:rPr>
          <w:sz w:val="20"/>
        </w:rPr>
        <w:t>ACTION REQUIRED: Exact quantity per lozenge needed for quantitative assessment.</w:t>
      </w:r>
    </w:p>
    <w:p>
      <w:pPr>
        <w:pStyle w:val="Heading3"/>
      </w:pPr>
      <w:r>
        <w:t>7.7 Excipients</w:t>
      </w:r>
    </w:p>
    <w:p>
      <w:r>
        <w:rPr>
          <w:b w:val="0"/>
          <w:i w:val="0"/>
        </w:rPr>
        <w:t>The exact excipients have not been fully disclosed. Common excipients in probiotic lozenges include: isomalt (E 953), mannitol (E 421), sorbitol (E 420), microcrystalline cellulose (E 460i), magnesium stearate (E 470b), silicon dioxide (E 551). All are approved food additives with established safety profiles.</w:t>
      </w:r>
    </w:p>
    <w:p>
      <w:r>
        <w:rPr>
          <w:b/>
          <w:i w:val="0"/>
        </w:rPr>
        <w:t>ACTION REQUIRED: The commissioner must provide the complete excipient list with exact quantities for this section to be finalised.</w:t>
      </w:r>
    </w:p>
    <w:p>
      <w:pPr>
        <w:pStyle w:val="Heading1"/>
      </w:pPr>
      <w:r>
        <w:t>8. Exposure Assessment</w:t>
      </w:r>
    </w:p>
    <w:p>
      <w:r>
        <w:rPr>
          <w:b/>
        </w:rPr>
        <w:t xml:space="preserve">Use Scenario: </w:t>
      </w:r>
      <w:r>
        <w:t>Daily oral care supplement. 1 lozenge dissolved slowly after brushing/flossing, ~5-10 min dissolution. No eating/drinking for 30 min.</w:t>
      </w:r>
    </w:p>
    <w:p>
      <w:r>
        <w:rPr>
          <w:b/>
        </w:rPr>
        <w:t xml:space="preserve">Frequency: </w:t>
      </w:r>
      <w:r>
        <w:t>Once daily (1 lozenge/day)</w:t>
      </w:r>
    </w:p>
    <w:p>
      <w:r>
        <w:rPr>
          <w:b/>
        </w:rPr>
        <w:t xml:space="preserve">Duration: </w:t>
      </w:r>
      <w:r>
        <w:t>Long-term daily use (continuous, subscription model 30-day cycles)</w:t>
      </w:r>
    </w:p>
    <w:p>
      <w:r>
        <w:rPr>
          <w:b/>
        </w:rPr>
        <w:t xml:space="preserve">Target Population: </w:t>
      </w:r>
      <w:r>
        <w:t>Healthy adults &gt;= 18 years. BW assumption: 60 kg (conservative).</w:t>
      </w:r>
    </w:p>
    <w:p>
      <w:r>
        <w:rPr>
          <w:b/>
        </w:rPr>
        <w:t xml:space="preserve">Route: </w:t>
      </w:r>
      <w:r>
        <w:t>Primary: buccal/sublingual. Secondary: GI (after swallowing). Dermal/inhalation: N/A.</w:t>
      </w:r>
    </w:p>
    <w:p>
      <w:pPr>
        <w:pStyle w:val="Heading2"/>
      </w:pPr>
      <w:r>
        <w:t>Estimated Daily Exposure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3B5C" w:color="auto" w:val="clear"/>
          </w:tcPr>
          <w:p>
            <w:r/>
            <w:r>
              <w:rPr>
                <w:rFonts w:ascii="Calibri" w:hAnsi="Calibri"/>
                <w:b/>
                <w:color w:val="FFFFFF"/>
                <w:sz w:val="18"/>
              </w:rPr>
              <w:t>Ingredient</w:t>
            </w:r>
          </w:p>
        </w:tc>
        <w:tc>
          <w:tcPr>
            <w:tcW w:type="dxa" w:w="1881"/>
            <w:shd w:fill="1A3B5C" w:color="auto" w:val="clear"/>
          </w:tcPr>
          <w:p>
            <w:r/>
            <w:r>
              <w:rPr>
                <w:rFonts w:ascii="Calibri" w:hAnsi="Calibri"/>
                <w:b/>
                <w:color w:val="FFFFFF"/>
                <w:sz w:val="18"/>
              </w:rPr>
              <w:t>Amount/Dose</w:t>
            </w:r>
          </w:p>
        </w:tc>
        <w:tc>
          <w:tcPr>
            <w:tcW w:type="dxa" w:w="1881"/>
            <w:shd w:fill="1A3B5C" w:color="auto" w:val="clear"/>
          </w:tcPr>
          <w:p>
            <w:r/>
            <w:r>
              <w:rPr>
                <w:rFonts w:ascii="Calibri" w:hAnsi="Calibri"/>
                <w:b/>
                <w:color w:val="FFFFFF"/>
                <w:sz w:val="18"/>
              </w:rPr>
              <w:t>mg/kg bw (60 kg)</w:t>
            </w:r>
          </w:p>
        </w:tc>
        <w:tc>
          <w:tcPr>
            <w:tcW w:type="dxa" w:w="1881"/>
            <w:shd w:fill="1A3B5C" w:color="auto" w:val="clear"/>
          </w:tcPr>
          <w:p>
            <w:r/>
            <w:r>
              <w:rPr>
                <w:rFonts w:ascii="Calibri" w:hAnsi="Calibri"/>
                <w:b/>
                <w:color w:val="FFFFFF"/>
                <w:sz w:val="18"/>
              </w:rPr>
              <w:t>Reference Value</w:t>
            </w:r>
          </w:p>
        </w:tc>
        <w:tc>
          <w:tcPr>
            <w:tcW w:type="dxa" w:w="1881"/>
            <w:shd w:fill="1A3B5C" w:color="auto" w:val="clear"/>
          </w:tcPr>
          <w:p>
            <w:r/>
            <w:r>
              <w:rPr>
                <w:rFonts w:ascii="Calibri" w:hAnsi="Calibri"/>
                <w:b/>
                <w:color w:val="FFFFFF"/>
                <w:sz w:val="18"/>
              </w:rPr>
              <w:t>Assessment</w:t>
            </w:r>
          </w:p>
        </w:tc>
      </w:tr>
      <w:tr>
        <w:tc>
          <w:tcPr>
            <w:tcW w:type="dxa" w:w="1881"/>
          </w:tcPr>
          <w:p>
            <w:r/>
            <w:r>
              <w:rPr>
                <w:rFonts w:ascii="Calibri" w:hAnsi="Calibri"/>
                <w:sz w:val="18"/>
              </w:rPr>
              <w:t>L. reuteri DSM 17938</w:t>
            </w:r>
          </w:p>
        </w:tc>
        <w:tc>
          <w:tcPr>
            <w:tcW w:type="dxa" w:w="1881"/>
          </w:tcPr>
          <w:p>
            <w:r/>
            <w:r>
              <w:rPr>
                <w:rFonts w:ascii="Calibri" w:hAnsi="Calibri"/>
                <w:sz w:val="18"/>
              </w:rPr>
              <w:t>100M CFU</w:t>
            </w:r>
          </w:p>
        </w:tc>
        <w:tc>
          <w:tcPr>
            <w:tcW w:type="dxa" w:w="1881"/>
          </w:tcPr>
          <w:p>
            <w:r/>
            <w:r>
              <w:rPr>
                <w:rFonts w:ascii="Calibri" w:hAnsi="Calibri"/>
                <w:sz w:val="18"/>
              </w:rPr>
              <w:t>N/A</w:t>
            </w:r>
          </w:p>
        </w:tc>
        <w:tc>
          <w:tcPr>
            <w:tcW w:type="dxa" w:w="1881"/>
          </w:tcPr>
          <w:p>
            <w:r/>
            <w:r>
              <w:rPr>
                <w:rFonts w:ascii="Calibri" w:hAnsi="Calibri"/>
                <w:sz w:val="18"/>
              </w:rPr>
              <w:t>No ADI for QPS probiotics</w:t>
            </w:r>
          </w:p>
        </w:tc>
        <w:tc>
          <w:tcPr>
            <w:tcW w:type="dxa" w:w="1881"/>
          </w:tcPr>
          <w:p>
            <w:r/>
            <w:r>
              <w:rPr>
                <w:rFonts w:ascii="Calibri" w:hAnsi="Calibri"/>
                <w:sz w:val="18"/>
              </w:rPr>
              <w:t>Acceptable</w:t>
            </w:r>
          </w:p>
        </w:tc>
      </w:tr>
      <w:tr>
        <w:tc>
          <w:tcPr>
            <w:tcW w:type="dxa" w:w="1881"/>
          </w:tcPr>
          <w:p>
            <w:r/>
            <w:r>
              <w:rPr>
                <w:rFonts w:ascii="Calibri" w:hAnsi="Calibri"/>
                <w:sz w:val="18"/>
              </w:rPr>
              <w:t>L. paracasei</w:t>
            </w:r>
          </w:p>
        </w:tc>
        <w:tc>
          <w:tcPr>
            <w:tcW w:type="dxa" w:w="1881"/>
          </w:tcPr>
          <w:p>
            <w:r/>
            <w:r>
              <w:rPr>
                <w:rFonts w:ascii="Calibri" w:hAnsi="Calibri"/>
                <w:sz w:val="18"/>
              </w:rPr>
              <w:t>[CFU]</w:t>
            </w:r>
          </w:p>
        </w:tc>
        <w:tc>
          <w:tcPr>
            <w:tcW w:type="dxa" w:w="1881"/>
          </w:tcPr>
          <w:p>
            <w:r/>
            <w:r>
              <w:rPr>
                <w:rFonts w:ascii="Calibri" w:hAnsi="Calibri"/>
                <w:sz w:val="18"/>
              </w:rPr>
              <w:t>N/A</w:t>
            </w:r>
          </w:p>
        </w:tc>
        <w:tc>
          <w:tcPr>
            <w:tcW w:type="dxa" w:w="1881"/>
          </w:tcPr>
          <w:p>
            <w:r/>
            <w:r>
              <w:rPr>
                <w:rFonts w:ascii="Calibri" w:hAnsi="Calibri"/>
                <w:sz w:val="18"/>
              </w:rPr>
              <w:t>[Pending]</w:t>
            </w:r>
          </w:p>
        </w:tc>
        <w:tc>
          <w:tcPr>
            <w:tcW w:type="dxa" w:w="1881"/>
          </w:tcPr>
          <w:p>
            <w:r/>
            <w:r>
              <w:rPr>
                <w:rFonts w:ascii="Calibri" w:hAnsi="Calibri"/>
                <w:sz w:val="18"/>
              </w:rPr>
              <w:t>[TBD]</w:t>
            </w:r>
          </w:p>
        </w:tc>
      </w:tr>
      <w:tr>
        <w:tc>
          <w:tcPr>
            <w:tcW w:type="dxa" w:w="1881"/>
          </w:tcPr>
          <w:p>
            <w:r/>
            <w:r>
              <w:rPr>
                <w:rFonts w:ascii="Calibri" w:hAnsi="Calibri"/>
                <w:sz w:val="18"/>
              </w:rPr>
              <w:t>S. salivarius K12</w:t>
            </w:r>
          </w:p>
        </w:tc>
        <w:tc>
          <w:tcPr>
            <w:tcW w:type="dxa" w:w="1881"/>
          </w:tcPr>
          <w:p>
            <w:r/>
            <w:r>
              <w:rPr>
                <w:rFonts w:ascii="Calibri" w:hAnsi="Calibri"/>
                <w:sz w:val="18"/>
              </w:rPr>
              <w:t>1B CFU</w:t>
            </w:r>
          </w:p>
        </w:tc>
        <w:tc>
          <w:tcPr>
            <w:tcW w:type="dxa" w:w="1881"/>
          </w:tcPr>
          <w:p>
            <w:r/>
            <w:r>
              <w:rPr>
                <w:rFonts w:ascii="Calibri" w:hAnsi="Calibri"/>
                <w:sz w:val="18"/>
              </w:rPr>
              <w:t>N/A</w:t>
            </w:r>
          </w:p>
        </w:tc>
        <w:tc>
          <w:tcPr>
            <w:tcW w:type="dxa" w:w="1881"/>
          </w:tcPr>
          <w:p>
            <w:r/>
            <w:r>
              <w:rPr>
                <w:rFonts w:ascii="Calibri" w:hAnsi="Calibri"/>
                <w:sz w:val="18"/>
              </w:rPr>
              <w:t>No ADI</w:t>
            </w:r>
          </w:p>
        </w:tc>
        <w:tc>
          <w:tcPr>
            <w:tcW w:type="dxa" w:w="1881"/>
          </w:tcPr>
          <w:p>
            <w:r/>
            <w:r>
              <w:rPr>
                <w:rFonts w:ascii="Calibri" w:hAnsi="Calibri"/>
                <w:sz w:val="18"/>
              </w:rPr>
              <w:t>Acceptable</w:t>
            </w:r>
          </w:p>
        </w:tc>
      </w:tr>
      <w:tr>
        <w:tc>
          <w:tcPr>
            <w:tcW w:type="dxa" w:w="1881"/>
          </w:tcPr>
          <w:p>
            <w:r/>
            <w:r>
              <w:rPr>
                <w:rFonts w:ascii="Calibri" w:hAnsi="Calibri"/>
                <w:sz w:val="18"/>
              </w:rPr>
              <w:t>S. salivarius M18</w:t>
            </w:r>
          </w:p>
        </w:tc>
        <w:tc>
          <w:tcPr>
            <w:tcW w:type="dxa" w:w="1881"/>
          </w:tcPr>
          <w:p>
            <w:r/>
            <w:r>
              <w:rPr>
                <w:rFonts w:ascii="Calibri" w:hAnsi="Calibri"/>
                <w:sz w:val="18"/>
              </w:rPr>
              <w:t>500M CFU</w:t>
            </w:r>
          </w:p>
        </w:tc>
        <w:tc>
          <w:tcPr>
            <w:tcW w:type="dxa" w:w="1881"/>
          </w:tcPr>
          <w:p>
            <w:r/>
            <w:r>
              <w:rPr>
                <w:rFonts w:ascii="Calibri" w:hAnsi="Calibri"/>
                <w:sz w:val="18"/>
              </w:rPr>
              <w:t>N/A</w:t>
            </w:r>
          </w:p>
        </w:tc>
        <w:tc>
          <w:tcPr>
            <w:tcW w:type="dxa" w:w="1881"/>
          </w:tcPr>
          <w:p>
            <w:r/>
            <w:r>
              <w:rPr>
                <w:rFonts w:ascii="Calibri" w:hAnsi="Calibri"/>
                <w:sz w:val="18"/>
              </w:rPr>
              <w:t>No ADI</w:t>
            </w:r>
          </w:p>
        </w:tc>
        <w:tc>
          <w:tcPr>
            <w:tcW w:type="dxa" w:w="1881"/>
          </w:tcPr>
          <w:p>
            <w:r/>
            <w:r>
              <w:rPr>
                <w:rFonts w:ascii="Calibri" w:hAnsi="Calibri"/>
                <w:sz w:val="18"/>
              </w:rPr>
              <w:t>Acceptable</w:t>
            </w:r>
          </w:p>
        </w:tc>
      </w:tr>
      <w:tr>
        <w:tc>
          <w:tcPr>
            <w:tcW w:type="dxa" w:w="1881"/>
          </w:tcPr>
          <w:p>
            <w:r/>
            <w:r>
              <w:rPr>
                <w:rFonts w:ascii="Calibri" w:hAnsi="Calibri"/>
                <w:sz w:val="18"/>
              </w:rPr>
              <w:t>Xylitol</w:t>
            </w:r>
          </w:p>
        </w:tc>
        <w:tc>
          <w:tcPr>
            <w:tcW w:type="dxa" w:w="1881"/>
          </w:tcPr>
          <w:p>
            <w:r/>
            <w:r>
              <w:rPr>
                <w:rFonts w:ascii="Calibri" w:hAnsi="Calibri"/>
                <w:sz w:val="18"/>
              </w:rPr>
              <w:t>500 mg</w:t>
            </w:r>
          </w:p>
        </w:tc>
        <w:tc>
          <w:tcPr>
            <w:tcW w:type="dxa" w:w="1881"/>
          </w:tcPr>
          <w:p>
            <w:r/>
            <w:r>
              <w:rPr>
                <w:rFonts w:ascii="Calibri" w:hAnsi="Calibri"/>
                <w:sz w:val="18"/>
              </w:rPr>
              <w:t>8.3 mg/kg</w:t>
            </w:r>
          </w:p>
        </w:tc>
        <w:tc>
          <w:tcPr>
            <w:tcW w:type="dxa" w:w="1881"/>
          </w:tcPr>
          <w:p>
            <w:r/>
            <w:r>
              <w:rPr>
                <w:rFonts w:ascii="Calibri" w:hAnsi="Calibri"/>
                <w:sz w:val="18"/>
              </w:rPr>
              <w:t>JECFA ADI: not specified; laxative ~20g/day</w:t>
            </w:r>
          </w:p>
        </w:tc>
        <w:tc>
          <w:tcPr>
            <w:tcW w:type="dxa" w:w="1881"/>
          </w:tcPr>
          <w:p>
            <w:r/>
            <w:r>
              <w:rPr>
                <w:rFonts w:ascii="Calibri" w:hAnsi="Calibri"/>
                <w:sz w:val="18"/>
              </w:rPr>
              <w:t>Acceptable (2.5% of threshold)</w:t>
            </w:r>
          </w:p>
        </w:tc>
      </w:tr>
      <w:tr>
        <w:tc>
          <w:tcPr>
            <w:tcW w:type="dxa" w:w="1881"/>
          </w:tcPr>
          <w:p>
            <w:r/>
            <w:r>
              <w:rPr>
                <w:rFonts w:ascii="Calibri" w:hAnsi="Calibri"/>
                <w:sz w:val="18"/>
              </w:rPr>
              <w:t>Peppermint oil</w:t>
            </w:r>
          </w:p>
        </w:tc>
        <w:tc>
          <w:tcPr>
            <w:tcW w:type="dxa" w:w="1881"/>
          </w:tcPr>
          <w:p>
            <w:r/>
            <w:r>
              <w:rPr>
                <w:rFonts w:ascii="Calibri" w:hAnsi="Calibri"/>
                <w:sz w:val="18"/>
              </w:rPr>
              <w:t>q.s.</w:t>
            </w:r>
          </w:p>
        </w:tc>
        <w:tc>
          <w:tcPr>
            <w:tcW w:type="dxa" w:w="1881"/>
          </w:tcPr>
          <w:p>
            <w:r/>
            <w:r>
              <w:rPr>
                <w:rFonts w:ascii="Calibri" w:hAnsi="Calibri"/>
                <w:sz w:val="18"/>
              </w:rPr>
              <w:t>[TBD]</w:t>
            </w:r>
          </w:p>
        </w:tc>
        <w:tc>
          <w:tcPr>
            <w:tcW w:type="dxa" w:w="1881"/>
          </w:tcPr>
          <w:p>
            <w:r/>
            <w:r>
              <w:rPr>
                <w:rFonts w:ascii="Calibri" w:hAnsi="Calibri"/>
                <w:sz w:val="18"/>
              </w:rPr>
              <w:t>Menthol ADI: 0-4 mg/kg bw/day</w:t>
            </w:r>
          </w:p>
        </w:tc>
        <w:tc>
          <w:tcPr>
            <w:tcW w:type="dxa" w:w="1881"/>
          </w:tcPr>
          <w:p>
            <w:r/>
            <w:r>
              <w:rPr>
                <w:rFonts w:ascii="Calibri" w:hAnsi="Calibri"/>
                <w:sz w:val="18"/>
              </w:rPr>
              <w:t>[Requires quantification]</w:t>
            </w:r>
          </w:p>
        </w:tc>
      </w:tr>
    </w:tbl>
    <w:p>
      <w:pPr>
        <w:pStyle w:val="Heading1"/>
      </w:pPr>
      <w:r>
        <w:t>9. Risk Characterisation</w:t>
      </w:r>
    </w:p>
    <w:p>
      <w:r>
        <w:rPr>
          <w:b w:val="0"/>
          <w:i w:val="0"/>
        </w:rPr>
        <w:t>Based on available data:</w:t>
        <w:br/>
        <w:t>- The four probiotic strains are QPS-listed and used at or below clinically studied doses.</w:t>
        <w:br/>
        <w:t>- Xylitol at 500 mg/day = 2.5% of laxative threshold. Negligible risk.</w:t>
        <w:br/>
        <w:t>- Peppermint at flavouring level: no concern expected. Quantitative confirmation required.</w:t>
        <w:br/>
        <w:t>- Excipients: pending full composition.</w:t>
        <w:br/>
        <w:br/>
        <w:t>No unacceptable risks identified for assessed components. Overall safety profile is favourable, pending data gap completion.</w:t>
      </w:r>
    </w:p>
    <w:p>
      <w:r>
        <w:rPr>
          <w:b w:val="0"/>
          <w:i w:val="0"/>
        </w:rPr>
        <w:t>Conditions:</w:t>
        <w:br/>
        <w:t>- Valid only for described formulation and use scenario.</w:t>
        <w:br/>
        <w:t>- Assumes compliance with recommended dose (1 lozenge/day).</w:t>
        <w:br/>
        <w:t>- Does not cover drug interactions or immunocompromised individuals.</w:t>
        <w:br/>
        <w:t>- Any formulation change requires reassessment.</w:t>
      </w:r>
    </w:p>
    <w:p>
      <w:pPr>
        <w:pStyle w:val="Heading1"/>
      </w:pPr>
      <w:r>
        <w:t>10. Uncertainties and Limitations</w:t>
      </w:r>
    </w:p>
    <w:p>
      <w:r>
        <w:rPr>
          <w:b w:val="0"/>
          <w:i w:val="0"/>
        </w:rPr>
        <w:t>1. Incomplete composition data — full excipient list not provided.</w:t>
      </w:r>
    </w:p>
    <w:p>
      <w:r>
        <w:rPr>
          <w:b w:val="0"/>
          <w:i w:val="0"/>
        </w:rPr>
        <w:t>2. L. paracasei strain designation not disclosed. Strain-level safety data required per EFSA.</w:t>
      </w:r>
    </w:p>
    <w:p>
      <w:r>
        <w:rPr>
          <w:b w:val="0"/>
          <w:i w:val="0"/>
        </w:rPr>
        <w:t>3. Peppermint oil quantity not specified — quantitative assessment pending.</w:t>
      </w:r>
    </w:p>
    <w:p>
      <w:r>
        <w:rPr>
          <w:b w:val="0"/>
          <w:i w:val="0"/>
        </w:rPr>
        <w:t>4. Antibiotic resistance profiles for all four strains required (EFSA).</w:t>
      </w:r>
    </w:p>
    <w:p>
      <w:r>
        <w:rPr>
          <w:b w:val="0"/>
          <w:i w:val="0"/>
        </w:rPr>
        <w:t>5. Stability and viability data over shelf life needed.</w:t>
      </w:r>
    </w:p>
    <w:p>
      <w:r>
        <w:rPr>
          <w:b w:val="0"/>
          <w:i w:val="0"/>
        </w:rPr>
        <w:t>6. Heavy metal testing (Pb, Cd, Hg, As) and microbiological quality needed.</w:t>
      </w:r>
    </w:p>
    <w:p>
      <w:r>
        <w:rPr>
          <w:b w:val="0"/>
          <w:i w:val="0"/>
        </w:rPr>
        <w:t>7. Aggregate xylitol/menthol exposure from other dietary sources not assessed.</w:t>
      </w:r>
    </w:p>
    <w:p>
      <w:r>
        <w:rPr>
          <w:b w:val="0"/>
          <w:i w:val="0"/>
        </w:rPr>
        <w:t>8. Assessment limited to healthy adults. Pregnant/breastfeeding, immunocompromised, and children not fully evaluated.</w:t>
      </w:r>
    </w:p>
    <w:p>
      <w:r>
        <w:rPr>
          <w:b w:val="0"/>
          <w:i w:val="0"/>
        </w:rPr>
        <w:t>9. Accuracy depends on commissioner-provided data.</w:t>
      </w:r>
    </w:p>
    <w:p>
      <w:r>
        <w:rPr>
          <w:b w:val="0"/>
          <w:i w:val="0"/>
        </w:rPr>
        <w:t>10. Periodic review required when new data/regulatory guidance available.</w:t>
      </w:r>
    </w:p>
    <w:p>
      <w:pPr>
        <w:pStyle w:val="Heading1"/>
      </w:pPr>
      <w:r>
        <w:t>11. Conclusion</w:t>
      </w:r>
    </w:p>
    <w:p>
      <w:r>
        <w:rPr>
          <w:b w:val="0"/>
          <w:i w:val="0"/>
        </w:rPr>
        <w:t>Based on the information available, and subject to the uncertainties in Section 10:</w:t>
      </w:r>
    </w:p>
    <w:p>
      <w:r>
        <w:rPr>
          <w:b w:val="0"/>
          <w:i w:val="0"/>
        </w:rPr>
        <w:t>1. The probiotic strains (L. reuteri DSM 17938, L. paracasei, S. salivarius K12, S. salivarius M18) belong to EFSA QPS-listed species. No toxicological concerns at intended daily doses.</w:t>
      </w:r>
    </w:p>
    <w:p>
      <w:r>
        <w:rPr>
          <w:b w:val="0"/>
          <w:i w:val="0"/>
        </w:rPr>
        <w:t>2. Xylitol at 500 mg/day is well within the range of safe intake for adults.</w:t>
      </w:r>
    </w:p>
    <w:p>
      <w:r>
        <w:rPr>
          <w:b w:val="0"/>
          <w:i w:val="0"/>
        </w:rPr>
        <w:t>3. Natural peppermint flavouring at customary levels is not expected to present a safety concern.</w:t>
      </w:r>
    </w:p>
    <w:p>
      <w:r>
        <w:rPr>
          <w:b w:val="0"/>
          <w:i w:val="0"/>
        </w:rPr>
        <w:t>4. The Product, under intended conditions of use (1 lozenge daily, dissolved in mouth, by healthy adults), is considered toxicologically acceptable, provided that:</w:t>
        <w:br/>
        <w:t xml:space="preserve">   a) Complete quantitative formulation is confirmed;</w:t>
        <w:br/>
        <w:t xml:space="preserve">   b) Antibiotic resistance profiles are verified;</w:t>
        <w:br/>
        <w:t xml:space="preserve">   c) L. paracasei strain designation is provided;</w:t>
        <w:br/>
        <w:t xml:space="preserve">   d) Finished product meets quality/purity specifications.</w:t>
      </w:r>
    </w:p>
    <w:p>
      <w:r>
        <w:rPr>
          <w:b w:val="0"/>
          <w:i w:val="0"/>
        </w:rPr>
        <w:t>5. This conclusion applies exclusively to the described formulation and use scenario. Any modification requires reassessment.</w:t>
      </w:r>
    </w:p>
    <w:p>
      <w:r>
        <w:rPr>
          <w:b w:val="0"/>
          <w:i w:val="0"/>
        </w:rPr>
        <w:t>6. The product label warnings (children, pets, pregnancy, xylitol laxative effect) are appropriate and sufficient.</w:t>
      </w:r>
    </w:p>
    <w:p>
      <w:pPr>
        <w:pStyle w:val="Heading2"/>
      </w:pPr>
      <w:r>
        <w:t>Compact Conclusion</w:t>
      </w:r>
    </w:p>
    <w:p>
      <w:r>
        <w:rPr>
          <w:b w:val="0"/>
          <w:i/>
        </w:rPr>
        <w:t>OralBiome Pro, containing four QPS-listed probiotic strains, xylitol, and natural peppermint flavouring in a dissolvable lozenge, is considered toxicologically acceptable for daily use by healthy adults at the recommended dose of one lozenge per day, subject to completion of the outstanding data requirements identified in this report.</w:t>
      </w:r>
    </w:p>
    <w:p>
      <w:pPr>
        <w:pStyle w:val="Heading1"/>
      </w:pPr>
      <w:r>
        <w:t>12. Recommendations</w:t>
      </w:r>
    </w:p>
    <w:p>
      <w:r>
        <w:rPr>
          <w:b w:val="0"/>
          <w:i w:val="0"/>
        </w:rPr>
        <w:t>1. Provide full quantitative formulation (all excipients + exact quantities).</w:t>
      </w:r>
    </w:p>
    <w:p>
      <w:r>
        <w:rPr>
          <w:b w:val="0"/>
          <w:i w:val="0"/>
        </w:rPr>
        <w:t>2. Disclose L. paracasei exact strain designation + strain identity certificates.</w:t>
      </w:r>
    </w:p>
    <w:p>
      <w:r>
        <w:rPr>
          <w:b w:val="0"/>
          <w:i w:val="0"/>
        </w:rPr>
        <w:t>3. Provide antibiotic susceptibility testing per EFSA guidelines for all 4 strains.</w:t>
      </w:r>
    </w:p>
    <w:p>
      <w:r>
        <w:rPr>
          <w:b w:val="0"/>
          <w:i w:val="0"/>
        </w:rPr>
        <w:t>4. Provide peppermint oil specification (quantity/lozenge, menthol content, quality standard).</w:t>
      </w:r>
    </w:p>
    <w:p>
      <w:r>
        <w:rPr>
          <w:b w:val="0"/>
          <w:i w:val="0"/>
        </w:rPr>
        <w:t>5. Provide accelerated and real-time stability data.</w:t>
      </w:r>
    </w:p>
    <w:p>
      <w:r>
        <w:rPr>
          <w:b w:val="0"/>
          <w:i w:val="0"/>
        </w:rPr>
        <w:t>6. Provide heavy metal (Pb, Cd, Hg, As) and microbiological finished product testing.</w:t>
      </w:r>
    </w:p>
    <w:p>
      <w:r>
        <w:rPr>
          <w:b w:val="0"/>
          <w:i w:val="0"/>
        </w:rPr>
        <w:t>7. Confirm allergen status of all raw materials (including culture media cross-contamination).</w:t>
      </w:r>
    </w:p>
    <w:p>
      <w:r>
        <w:rPr>
          <w:b w:val="0"/>
          <w:i w:val="0"/>
        </w:rPr>
        <w:t>8. Review labelling for completeness (ingredient list, CFU declaration, warnings, storage, batch, best-before).</w:t>
      </w:r>
    </w:p>
    <w:p>
      <w:r>
        <w:rPr>
          <w:b w:val="0"/>
          <w:i w:val="0"/>
        </w:rPr>
        <w:t>9. Establish post-market adverse event monitoring system.</w:t>
      </w:r>
    </w:p>
    <w:p>
      <w:r>
        <w:rPr>
          <w:b w:val="0"/>
          <w:i w:val="0"/>
        </w:rPr>
        <w:t>10. Schedule reassessment every 2-3 years or upon formulation/regulatory changes.</w:t>
      </w:r>
    </w:p>
    <w:p>
      <w:pPr>
        <w:pStyle w:val="Heading1"/>
      </w:pPr>
      <w:r>
        <w:t>13. Declaration of Competence and Independence</w:t>
      </w:r>
    </w:p>
    <w:p>
      <w:r>
        <w:rPr>
          <w:b w:val="0"/>
          <w:i w:val="0"/>
        </w:rPr>
        <w:t>I, the undersigned, declare that this toxicological safety assessment has been prepared to the best of my scientific knowledge and professional judgement, in accordance with generally accepted principles of toxicology and risk assessment.</w:t>
      </w:r>
    </w:p>
    <w:p>
      <w:r>
        <w:rPr>
          <w:b w:val="0"/>
          <w:i w:val="0"/>
        </w:rPr>
        <w:t>I further declare that I have no financial interest in, or other conflict of interest with, the commissioning party (CALQIX B.V.) or its products, other than the agreed professional fee.</w:t>
      </w:r>
    </w:p>
    <w:p>
      <w:r>
        <w:rPr>
          <w:b/>
        </w:rPr>
        <w:t xml:space="preserve">Name: </w:t>
      </w:r>
      <w:r>
        <w:t>[Full name]</w:t>
      </w:r>
    </w:p>
    <w:p>
      <w:r>
        <w:rPr>
          <w:b/>
        </w:rPr>
        <w:t xml:space="preserve">Title: </w:t>
      </w:r>
      <w:r>
        <w:t>[e.g. Registered Toxicologist (ERT)]</w:t>
      </w:r>
    </w:p>
    <w:p>
      <w:r>
        <w:rPr>
          <w:b/>
        </w:rPr>
        <w:t xml:space="preserve">Date: </w:t>
      </w:r>
      <w:r>
        <w:t>[DD Month YYYY]</w:t>
      </w:r>
    </w:p>
    <w:p>
      <w:r>
        <w:rPr>
          <w:b/>
        </w:rPr>
        <w:t xml:space="preserve">Signature: </w:t>
      </w:r>
      <w:r>
        <w:t>________________________________________</w:t>
      </w:r>
    </w:p>
    <w:p>
      <w:pPr>
        <w:pStyle w:val="Heading1"/>
      </w:pPr>
      <w:r>
        <w:t>14. Annexes</w:t>
      </w:r>
    </w:p>
    <w:p>
      <w:r>
        <w:rPr>
          <w:b w:val="0"/>
          <w:i w:val="0"/>
        </w:rPr>
        <w:t>Annex A — Full qualitative and quantitative composition</w:t>
      </w:r>
    </w:p>
    <w:p>
      <w:r>
        <w:rPr>
          <w:b w:val="0"/>
          <w:i w:val="0"/>
        </w:rPr>
        <w:t>Annex B — Safety Data Sheets (SDS)</w:t>
      </w:r>
    </w:p>
    <w:p>
      <w:r>
        <w:rPr>
          <w:b w:val="0"/>
          <w:i w:val="0"/>
        </w:rPr>
        <w:t>Annex C — Certificates of Analysis</w:t>
      </w:r>
    </w:p>
    <w:p>
      <w:r>
        <w:rPr>
          <w:b w:val="0"/>
          <w:i w:val="0"/>
        </w:rPr>
        <w:t>Annex D — Strain identification certificates</w:t>
      </w:r>
    </w:p>
    <w:p>
      <w:r>
        <w:rPr>
          <w:b w:val="0"/>
          <w:i w:val="0"/>
        </w:rPr>
        <w:t>Annex E — Antibiotic resistance test results</w:t>
      </w:r>
    </w:p>
    <w:p>
      <w:r>
        <w:rPr>
          <w:b w:val="0"/>
          <w:i w:val="0"/>
        </w:rPr>
        <w:t>Annex F — Stability study reports</w:t>
      </w:r>
    </w:p>
    <w:p>
      <w:r>
        <w:rPr>
          <w:b w:val="0"/>
          <w:i w:val="0"/>
        </w:rPr>
        <w:t>Annex G — Heavy metal and contaminant results</w:t>
      </w:r>
    </w:p>
    <w:p>
      <w:r>
        <w:rPr>
          <w:b w:val="0"/>
          <w:i w:val="0"/>
        </w:rPr>
        <w:t>Annex H — Product label / packaging artwork</w:t>
      </w:r>
    </w:p>
    <w:p>
      <w:r>
        <w:rPr>
          <w:b w:val="0"/>
          <w:i w:val="0"/>
        </w:rPr>
        <w:t>Annex I — Published literature and clinical summaries</w:t>
      </w:r>
    </w:p>
    <w:p>
      <w:r>
        <w:rPr>
          <w:b w:val="0"/>
          <w:i w:val="0"/>
        </w:rPr>
        <w:t>Annex J — Exposure calculation worksheets</w:t>
      </w:r>
    </w:p>
    <w:p>
      <w:r>
        <w:rPr>
          <w:b w:val="0"/>
          <w:i w:val="0"/>
        </w:rPr>
        <w:t>Annex K — Allergen risk assessment</w:t>
      </w:r>
    </w:p>
    <w:p>
      <w:r>
        <w:rPr>
          <w:b w:val="0"/>
          <w:i w:val="0"/>
        </w:rPr>
        <w:t>Annex L — HACCP plan summary</w:t>
      </w:r>
    </w:p>
    <w:p>
      <w:pPr>
        <w:pStyle w:val="Heading1"/>
      </w:pPr>
      <w:r>
        <w:t>Optional Additional Sections</w:t>
      </w:r>
    </w:p>
    <w:p>
      <w:r>
        <w:rPr>
          <w:b w:val="0"/>
          <w:i w:val="0"/>
        </w:rPr>
        <w:t>- Executive Summary</w:t>
      </w:r>
    </w:p>
    <w:p>
      <w:r>
        <w:rPr>
          <w:b w:val="0"/>
          <w:i w:val="0"/>
        </w:rPr>
        <w:t>- Version History</w:t>
      </w:r>
    </w:p>
    <w:p>
      <w:r>
        <w:rPr>
          <w:b w:val="0"/>
          <w:i w:val="0"/>
        </w:rPr>
        <w:t>- Confidentiality Statement</w:t>
      </w:r>
    </w:p>
    <w:p>
      <w:r>
        <w:rPr>
          <w:b w:val="0"/>
          <w:i w:val="0"/>
        </w:rPr>
        <w:t>- Regulatory Framework</w:t>
      </w:r>
    </w:p>
    <w:p>
      <w:r>
        <w:rPr>
          <w:b w:val="0"/>
          <w:i w:val="0"/>
        </w:rPr>
        <w:t>- References</w:t>
      </w:r>
    </w:p>
    <w:p>
      <w:r>
        <w:rPr>
          <w:b w:val="0"/>
          <w:i w:val="0"/>
        </w:rPr>
        <w:t>- Glossary</w:t>
      </w:r>
    </w:p>
    <w:p>
      <w:r>
        <w:rPr>
          <w:b w:val="0"/>
          <w:i w:val="0"/>
        </w:rPr>
        <w:t>- EFSA QPS List Extract</w:t>
      </w:r>
    </w:p>
    <w:p>
      <w:r>
        <w:br w:type="page"/>
      </w:r>
    </w:p>
    <w:p>
      <w:pPr>
        <w:pStyle w:val="Heading1"/>
      </w:pPr>
      <w:r>
        <w:t>Validation Note</w:t>
      </w:r>
    </w:p>
    <w:p>
      <w:r>
        <w:rPr>
          <w:b w:val="0"/>
          <w:i/>
        </w:rPr>
        <w:t>This document has been prepared as a professional template pre-populated with product-specific data for CALQIX OralBiome Pro. It is intended as a working document for use by a qualified toxicologist. The final assessment must be reviewed, completed, validated, and signed by a suitably qualified professional before it may be relied upon for regulatory compliance.</w:t>
        <w:br/>
        <w:br/>
        <w:t>Template version: 1.0</w:t>
        <w:br/>
        <w:t>Generated: 15 April 2026</w:t>
        <w:br/>
        <w:t>Prepared by: Cascade AI (template generation only; no toxicological validation)</w:t>
        <w:br/>
        <w:t>Status: DRAFT — Requires expert review and completion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