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200"/>
        <w:jc w:val="center"/>
      </w:pPr>
      <w:r>
        <w:rPr>
          <w:b/>
          <w:bCs/>
          <w:color w:val="1a2744"/>
          <w:sz w:val="22"/>
          <w:szCs w:val="22"/>
        </w:rPr>
        <w:t xml:space="preserve">FACULTAD DE INGENIERÍA Y CIENCIAS APLICADAS</w:t>
      </w:r>
    </w:p>
    <w:p>
      <w:pPr>
        <w:spacing w:after="500"/>
        <w:jc w:val="center"/>
      </w:pPr>
      <w:r>
        <w:rPr>
          <w:color w:val="555555"/>
          <w:sz w:val="20"/>
          <w:szCs w:val="20"/>
        </w:rPr>
        <w:t xml:space="preserve">Ingeniería en Software · Seguridad Informática</w:t>
      </w:r>
    </w:p>
    <w:p>
      <w:pPr>
        <w:spacing w:after="120"/>
        <w:jc w:val="center"/>
      </w:pPr>
      <w:r>
        <w:rPr>
          <w:b/>
          <w:bCs/>
          <w:color w:val="2b4c8c"/>
          <w:sz w:val="20"/>
          <w:szCs w:val="20"/>
        </w:rPr>
        <w:t xml:space="preserve">CRITERIO ESPECÍFICO ABET — Metodología (Versión Final Consolidada)</w:t>
      </w:r>
    </w:p>
    <w:p>
      <w:pPr>
        <w:spacing w:after="200"/>
        <w:jc w:val="center"/>
      </w:pPr>
      <w:r>
        <w:rPr>
          <w:b/>
          <w:bCs/>
          <w:color w:val="1a2744"/>
          <w:sz w:val="40"/>
          <w:szCs w:val="40"/>
        </w:rPr>
        <w:t xml:space="preserve">MERCI</w:t>
      </w:r>
    </w:p>
    <w:p>
      <w:pPr>
        <w:spacing w:after="900"/>
        <w:jc w:val="center"/>
      </w:pPr>
      <w:r>
        <w:rPr>
          <w:i/>
          <w:iCs/>
          <w:color w:val="555555"/>
          <w:sz w:val="22"/>
          <w:szCs w:val="22"/>
        </w:rPr>
        <w:t xml:space="preserve">Metodología de Evaluación de Riesgo Cibernético Integrada — integra y actualiza la Tarea 5 (Gestión de Activos) y la Tarea 8 (MERCI), y las alinea con el aplicativo corregido</w:t>
      </w:r>
    </w:p>
    <w:p>
      <w:pPr>
        <w:spacing w:after="60"/>
        <w:jc w:val="center"/>
      </w:pPr>
      <w:r>
        <w:rPr>
          <w:b/>
          <w:bCs/>
          <w:color w:val="1a2744"/>
          <w:sz w:val="21"/>
          <w:szCs w:val="21"/>
        </w:rPr>
        <w:t xml:space="preserve">Alejandro Martinez · Camilo Núñez · Juan Choca</w:t>
      </w:r>
    </w:p>
    <w:p>
      <w:pPr>
        <w:spacing w:after="60"/>
        <w:jc w:val="center"/>
      </w:pPr>
      <w:r>
        <w:rPr>
          <w:color w:val="555555"/>
          <w:sz w:val="19"/>
          <w:szCs w:val="19"/>
        </w:rPr>
        <w:t xml:space="preserve">Proyecto Integrador · ITIZ3301</w:t>
      </w:r>
    </w:p>
    <w:p>
      <w:pPr>
        <w:spacing w:after="60"/>
        <w:jc w:val="center"/>
      </w:pPr>
      <w:r>
        <w:rPr>
          <w:color w:val="555555"/>
          <w:sz w:val="19"/>
          <w:szCs w:val="19"/>
        </w:rPr>
        <w:t xml:space="preserve">Quito – Ecuador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a2744"/>
          <w:sz w:val="27"/>
          <w:szCs w:val="27"/>
        </w:rPr>
        <w:t xml:space="preserve">I. Resumen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Este documento es la versión final y coherente de la metodología MERCI (Metodología de Evaluación de Riesgo Cibernético Integrada), que consolida en un solo cuerpo el Procedimiento de Gestión de Activos (Tarea 5) y la Metodología MERCI (Tarea 8), e incorpora tres ajustes necesarios para que la metodología escrita quede alineada con el aplicativo web finalmente entregado y con el texto literal de la consigna del Proyecto Integrador: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Se agrega un registro explícito de controles existentes dentro de la fase de identificación de riesgos (antes solo se documentaban en la fase de tratamiento), tal como exige la consigna: "Registro de amenazas, vulnerabilidades y controles existentes".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Se documenta como fase propia el cálculo de riesgo residual con el modelo multiplicativo que ya estaba implementado en el aplicativo (js/calc.js), pero que no tenía una sección dedicada en la Tarea 8.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Se documenta como fase propia la comunicación y consulta (bitácora + reportes por audiencia), y se añade una sección de dilema ético y responsabilidad profesional (RC4) que el propio aplicativo referencia en su interfaz.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La metodología conserva su base normativa: Guía SPDP-SPD-2025-0003-R (Ecuador), ISO/IEC 27001:2022, ISO/IEC 27002:2022, ISO/IEC 27005:2022, NIST SP 800-30 Rev.1 y MAGERIT v3, y su integración con la taxonomía de siete categorías de activos desarrollada en la Tarea 5.</w:t>
      </w:r>
    </w:p>
    <w:p>
      <w:pPr>
        <w:pStyle w:val="Heading1"/>
        <w:spacing w:after="160" w:before="320"/>
      </w:pPr>
      <w:r>
        <w:rPr>
          <w:b/>
          <w:bCs/>
          <w:color w:val="1a2744"/>
          <w:sz w:val="27"/>
          <w:szCs w:val="27"/>
        </w:rPr>
        <w:t xml:space="preserve">II. Objetivos de la metodología</w:t>
      </w:r>
    </w:p>
    <w:p>
      <w:pPr>
        <w:pStyle w:val="Heading2"/>
        <w:spacing w:after="120" w:before="240"/>
      </w:pPr>
      <w:r>
        <w:rPr>
          <w:b/>
          <w:bCs/>
          <w:color w:val="2b4c8c"/>
          <w:sz w:val="24"/>
          <w:szCs w:val="24"/>
        </w:rPr>
        <w:t xml:space="preserve">1. Objetivo general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Proveer a los equipos de ciberseguridad una metodología propia, cuantitativa y de aplicación inmediata para identificar, valorar, tratar y monitorear el riesgo cibernético en cualquier tipo de organización, integrando la Guía SPDP-SPD-2025-0003-R, los estándares ISO/IEC 27001, ISO/IEC 27002, ISO/IEC 27005 y NIST SP 800-30, y el Procedimiento de Gestión de Activos desarrollado en la Tarea 5.</w:t>
      </w:r>
    </w:p>
    <w:p>
      <w:pPr>
        <w:pStyle w:val="Heading2"/>
        <w:spacing w:after="120" w:before="240"/>
      </w:pPr>
      <w:r>
        <w:rPr>
          <w:b/>
          <w:bCs/>
          <w:color w:val="2b4c8c"/>
          <w:sz w:val="24"/>
          <w:szCs w:val="24"/>
        </w:rPr>
        <w:t xml:space="preserve">2. Objetivos específicos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Delimitar el alcance de la evaluación de riesgo para asegurar cobertura completa de activos, procesos y entornos organizacionales relevantes.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Integrar la taxonomía de activos de siete categorías de la Tarea 5 como base de identificación de activos sujetos a evaluación.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Aplicar una valoración CIA (Confidencialidad, Integridad, Disponibilidad) cuantitativa sobre cada activo identificado.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Identificar y catalogar amenazas, vulnerabilidades y controles existentes, distinguiendo estos últimos de los controles que se propongan formalmente en la fase de tratamiento.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Calcular el nivel de riesgo inherente de cada escenario mediante R = P × I y representarlo en una matriz de calor 5×5.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Priorizar los riesgos y definir estrategias de tratamiento diferenciadas (mitigar, transferir, aceptar, evitar), tomando como referencia los controles de ISO/IEC 27002:2022.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Calcular el riesgo residual posterior a la implementación de controles mediante un modelo multiplicativo que evite errores de sobreestimación de la reducción de riesgo.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Mantener un registro de comunicación y consulta con las partes interesadas y generar reportes diferenciados por audiencia.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Reconocer y declarar explícitamente los dilemas éticos y de responsabilidad profesional que surgen de automatizar la gestión de riesgo (RC4).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Establecer un plan de monitoreo continuo con KPIs que permitan evaluar la eficacia de los controles implementados.</w:t>
      </w:r>
    </w:p>
    <w:p>
      <w:pPr>
        <w:pStyle w:val="Heading1"/>
        <w:spacing w:after="160" w:before="320"/>
      </w:pPr>
      <w:r>
        <w:rPr>
          <w:b/>
          <w:bCs/>
          <w:color w:val="1a2744"/>
          <w:sz w:val="27"/>
          <w:szCs w:val="27"/>
        </w:rPr>
        <w:t xml:space="preserve">III. Alcance y público objetivo</w:t>
      </w:r>
    </w:p>
    <w:p>
      <w:pPr>
        <w:pStyle w:val="Heading3"/>
        <w:spacing w:after="90" w:before="180"/>
      </w:pPr>
      <w:r>
        <w:rPr>
          <w:b/>
          <w:bCs/>
          <w:color w:val="1a2744"/>
          <w:sz w:val="22"/>
          <w:szCs w:val="22"/>
        </w:rPr>
        <w:t xml:space="preserve">Alcance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MERCI aplica a la totalidad de los activos digitales y procesos de negocio que almacenan, procesan, transmiten o soportan información de valor para la organización, en cualquier modalidad de gestión (on-premise, nube o híbrida) y para cualquier tipo de organización (PYME, hospital, universidad, entidad pública, empresa financiera, entre otras). Los marcos normativos aplicables incluyen la LOPDP del Ecuador, la Resolución SPDP-SPD-2025-0003-R, ISO/IEC 27001, ISO/IEC 27002, ISO/IEC 27005, NIST SP 800-30 y MAGERIT, además de GDPR cuando aplique.</w:t>
      </w:r>
    </w:p>
    <w:p>
      <w:pPr>
        <w:pStyle w:val="Heading3"/>
        <w:spacing w:after="90" w:before="180"/>
      </w:pPr>
      <w:r>
        <w:rPr>
          <w:b/>
          <w:bCs/>
          <w:color w:val="1a2744"/>
          <w:sz w:val="22"/>
          <w:szCs w:val="22"/>
        </w:rPr>
        <w:t xml:space="preserve">Público objetivo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CISO, analistas de ciberseguridad, auditores internos y externos, gestores de riesgo tecnológico, responsables de cumplimiento normativo (Compliance Officers) y alta dirección que requiera visibilidad sobre el perfil de riesgo del patrimonio digital de la organización.</w:t>
      </w:r>
    </w:p>
    <w:p>
      <w:pPr>
        <w:pStyle w:val="Heading1"/>
        <w:spacing w:after="160" w:before="320"/>
      </w:pPr>
      <w:r>
        <w:rPr>
          <w:b/>
          <w:bCs/>
          <w:color w:val="1a2744"/>
          <w:sz w:val="27"/>
          <w:szCs w:val="27"/>
        </w:rPr>
        <w:t xml:space="preserve">IV. Marco de referencia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Marco / norma</w:t>
            </w:r>
          </w:p>
        </w:tc>
        <w:tc>
          <w:tcPr>
            <w:tcW w:type="dxa" w:w="635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 dentro de MERCI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Guía SPDP-SPD-2025-0003-R (Ecuador, 2025)</w:t>
            </w:r>
          </w:p>
        </w:tc>
        <w:tc>
          <w:tcPr>
            <w:tcW w:type="dxa" w:w="6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Marco principal de gestión de riesgos y evaluación de impacto (DPIA/EIPD) sobre datos personales; enriquece la Fase de valoración de riesgo y la Sección de dilema ético.</w:t>
            </w:r>
          </w:p>
        </w:tc>
      </w:tr>
      <w:tr>
        <w:tc>
          <w:tcPr>
            <w:tcW w:type="dxa" w:w="3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ISO/IEC 27005:2022</w:t>
            </w:r>
          </w:p>
        </w:tc>
        <w:tc>
          <w:tcPr>
            <w:tcW w:type="dxa" w:w="63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Define el ciclo de gestión del riesgo (contexto, identificación, estimación, evaluación, tratamiento, aceptación, comunicación, revisión) que estructura las fases de MERCI.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ISO/IEC 27001:2022 (Anexo A)</w:t>
            </w:r>
          </w:p>
        </w:tc>
        <w:tc>
          <w:tcPr>
            <w:tcW w:type="dxa" w:w="6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Marco de controles aplicables en el tratamiento del riesgo, cuyo listado se deriva directamente del catálogo de controles de ISO/IEC 27002:2022.</w:t>
            </w:r>
          </w:p>
        </w:tc>
      </w:tr>
      <w:tr>
        <w:tc>
          <w:tcPr>
            <w:tcW w:type="dxa" w:w="3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ISO/IEC 27002:2022</w:t>
            </w:r>
          </w:p>
        </w:tc>
        <w:tc>
          <w:tcPr>
            <w:tcW w:type="dxa" w:w="63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Catálogo de controles de referencia explícito para la Fase de Tratamiento del Riesgo, tal como lo exige textualmente la consigna del proyecto.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NIST SP 800-30 Rev. 1</w:t>
            </w:r>
          </w:p>
        </w:tc>
        <w:tc>
          <w:tcPr>
            <w:tcW w:type="dxa" w:w="6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Referencia complementaria para la parametrización de las escalas de probabilidad e impacto.</w:t>
            </w:r>
          </w:p>
        </w:tc>
      </w:tr>
      <w:tr>
        <w:tc>
          <w:tcPr>
            <w:tcW w:type="dxa" w:w="3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MAGERIT v3</w:t>
            </w:r>
          </w:p>
        </w:tc>
        <w:tc>
          <w:tcPr>
            <w:tcW w:type="dxa" w:w="63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Complementa la taxonomía de amenazas y vulnerabilidades en contextos hispanohablantes.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Tarea 5 — Procedimiento de Gestión de Activos</w:t>
            </w:r>
          </w:p>
        </w:tc>
        <w:tc>
          <w:tcPr>
            <w:tcW w:type="dxa" w:w="6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Insumo directo de identificación, clasificación y valoración de activos digitales (Fase V de esta metodología).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a2744"/>
          <w:sz w:val="27"/>
          <w:szCs w:val="27"/>
        </w:rPr>
        <w:t xml:space="preserve">V. Identificación y clasificación de activos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La identificación de activos se apoya directamente en el Procedimiento de Gestión de Activos de la Tarea 5, cuya taxonomía de siete categorías (información, software, hardware, red y comunicaciones, servicios, activos humanos y activos intangibles) constituye el inventario base. Los Instrumentos 1 (Matriz de Clasificación) y 2 (Hoja de Valoración Ponderada) de la Tarea 5 se mantienen vigentes como anexos de esta metodología; MERCI no los duplica, los utiliza como insumo validado.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El nivel de criticidad de cada activo (escala 1–5, Valor ponderado = IO×0,40 + CC×0,35 + VE×0,25) se usa como factor de ponderación en la estimación del impacto de cada escenario de riesgo (Fase VIII).</w:t>
      </w:r>
    </w:p>
    <w:p>
      <w:pPr>
        <w:pStyle w:val="Heading2"/>
        <w:spacing w:after="120" w:before="240"/>
      </w:pPr>
      <w:r>
        <w:rPr>
          <w:b/>
          <w:bCs/>
          <w:color w:val="2b4c8c"/>
          <w:sz w:val="24"/>
          <w:szCs w:val="24"/>
        </w:rPr>
        <w:t xml:space="preserve">Inventario de activos críticos seleccionados para la evaluación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1900"/>
        <w:gridCol w:w="2400"/>
        <w:gridCol w:w="1350"/>
      </w:tblGrid>
      <w:tr>
        <w:trPr>
          <w:tblHeader/>
        </w:trPr>
        <w:tc>
          <w:tcPr>
            <w:tcW w:type="dxa" w:w="11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activo</w:t>
            </w:r>
          </w:p>
        </w:tc>
        <w:tc>
          <w:tcPr>
            <w:tcW w:type="dxa" w:w="19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24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Sensibilidad</w:t>
            </w:r>
          </w:p>
        </w:tc>
        <w:tc>
          <w:tcPr>
            <w:tcW w:type="dxa" w:w="135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Nivel (Tarea 5)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ACT-001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Base de datos de clientes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Información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Alta — Datos personales LOPDP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5 — Crítico</w:t>
            </w:r>
          </w:p>
        </w:tc>
      </w:tr>
      <w:tr>
        <w:tc>
          <w:tcPr>
            <w:tcW w:type="dxa" w:w="11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ACT-002</w:t>
            </w:r>
          </w:p>
        </w:tc>
        <w:tc>
          <w:tcPr>
            <w:tcW w:type="dxa" w:w="26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ERP / Sistema de gestión</w:t>
            </w:r>
          </w:p>
        </w:tc>
        <w:tc>
          <w:tcPr>
            <w:tcW w:type="dxa" w:w="19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Software</w:t>
            </w:r>
          </w:p>
        </w:tc>
        <w:tc>
          <w:tcPr>
            <w:tcW w:type="dxa" w:w="24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Alta — Criticidad operacional</w:t>
            </w:r>
          </w:p>
        </w:tc>
        <w:tc>
          <w:tcPr>
            <w:tcW w:type="dxa" w:w="13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 — Alto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ACT-003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Servidores de producción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Hardware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Alta — Infraestructura crítica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 — Alto</w:t>
            </w:r>
          </w:p>
        </w:tc>
      </w:tr>
      <w:tr>
        <w:tc>
          <w:tcPr>
            <w:tcW w:type="dxa" w:w="11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ACT-004</w:t>
            </w:r>
          </w:p>
        </w:tc>
        <w:tc>
          <w:tcPr>
            <w:tcW w:type="dxa" w:w="26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Firewall / IDS perimetral</w:t>
            </w:r>
          </w:p>
        </w:tc>
        <w:tc>
          <w:tcPr>
            <w:tcW w:type="dxa" w:w="19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Red y comunicaciones</w:t>
            </w:r>
          </w:p>
        </w:tc>
        <w:tc>
          <w:tcPr>
            <w:tcW w:type="dxa" w:w="24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Alta — Perímetro de seguridad</w:t>
            </w:r>
          </w:p>
        </w:tc>
        <w:tc>
          <w:tcPr>
            <w:tcW w:type="dxa" w:w="13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 — Alto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ACT-005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Servicio de correo corporativo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Servicios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Media — Productividad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3 — Significativo</w:t>
            </w:r>
          </w:p>
        </w:tc>
      </w:tr>
      <w:tr>
        <w:tc>
          <w:tcPr>
            <w:tcW w:type="dxa" w:w="11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ACT-006</w:t>
            </w:r>
          </w:p>
        </w:tc>
        <w:tc>
          <w:tcPr>
            <w:tcW w:type="dxa" w:w="26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Administradores de sistemas</w:t>
            </w:r>
          </w:p>
        </w:tc>
        <w:tc>
          <w:tcPr>
            <w:tcW w:type="dxa" w:w="19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Humanos</w:t>
            </w:r>
          </w:p>
        </w:tc>
        <w:tc>
          <w:tcPr>
            <w:tcW w:type="dxa" w:w="24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Alta — Acceso privilegiado</w:t>
            </w:r>
          </w:p>
        </w:tc>
        <w:tc>
          <w:tcPr>
            <w:tcW w:type="dxa" w:w="13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 — Alto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ACT-007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Reputación e imagen digital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Intangibles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Alta — Posicionamiento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 — Alto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a2744"/>
          <w:sz w:val="27"/>
          <w:szCs w:val="27"/>
        </w:rPr>
        <w:t xml:space="preserve">VI. Valoración CIA de activos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Sobre cada activo del inventario se aplica una valoración de Confidencialidad (C), Integridad (I) y Disponibilidad (D) en escala 1–5, conforme a la Guía SPDP-SPD-2025-0003-R y a ISO/IEC 27005. Valoración CIA = C×0,40 + I×0,35 + D×0,25.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1000"/>
        <w:gridCol w:w="3550"/>
      </w:tblGrid>
      <w:tr>
        <w:trPr>
          <w:tblHeader/>
        </w:trPr>
        <w:tc>
          <w:tcPr>
            <w:tcW w:type="dxa" w:w="28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Activo</w:t>
            </w:r>
          </w:p>
        </w:tc>
        <w:tc>
          <w:tcPr>
            <w:tcW w:type="dxa" w:w="10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10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355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Valoración CIA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Base de datos clientes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Alta (4.67)</w:t>
            </w:r>
          </w:p>
        </w:tc>
      </w:tr>
      <w:tr>
        <w:tc>
          <w:tcPr>
            <w:tcW w:type="dxa" w:w="28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ERP / Sistema gestión</w:t>
            </w:r>
          </w:p>
        </w:tc>
        <w:tc>
          <w:tcPr>
            <w:tcW w:type="dxa" w:w="1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5</w:t>
            </w:r>
          </w:p>
        </w:tc>
        <w:tc>
          <w:tcPr>
            <w:tcW w:type="dxa" w:w="35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Alta (4.67)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Servidores producción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5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Alta (4.33)</w:t>
            </w:r>
          </w:p>
        </w:tc>
      </w:tr>
      <w:tr>
        <w:tc>
          <w:tcPr>
            <w:tcW w:type="dxa" w:w="28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Firewall / IDS</w:t>
            </w:r>
          </w:p>
        </w:tc>
        <w:tc>
          <w:tcPr>
            <w:tcW w:type="dxa" w:w="1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5</w:t>
            </w:r>
          </w:p>
        </w:tc>
        <w:tc>
          <w:tcPr>
            <w:tcW w:type="dxa" w:w="35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Alta (4.00)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Correo corporativo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Moderado (3.33)</w:t>
            </w:r>
          </w:p>
        </w:tc>
      </w:tr>
      <w:tr>
        <w:tc>
          <w:tcPr>
            <w:tcW w:type="dxa" w:w="28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Administradores TI</w:t>
            </w:r>
          </w:p>
        </w:tc>
        <w:tc>
          <w:tcPr>
            <w:tcW w:type="dxa" w:w="1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</w:t>
            </w:r>
          </w:p>
        </w:tc>
        <w:tc>
          <w:tcPr>
            <w:tcW w:type="dxa" w:w="35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Alta (4.33)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Reputación digital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2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Significativo (3.33)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a2744"/>
          <w:sz w:val="27"/>
          <w:szCs w:val="27"/>
        </w:rPr>
        <w:t xml:space="preserve">VII. Identificación de amenazas, vulnerabilidades y controles existentes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Esta fase incorpora los tres registros exigidos textualmente por la consigna en el punto 2 ("Registro de amenazas, vulnerabilidades y controles existentes"). En la versión inicial de la Tarea 8, los controles solo se documentaban en la fase de tratamiento; en esta versión final se agrega el catálogo de controles existentes como registro propio de la fase de identificación, coherente con el aplicativo corregido.</w:t>
      </w:r>
    </w:p>
    <w:p>
      <w:pPr>
        <w:pStyle w:val="Heading2"/>
        <w:spacing w:after="120" w:before="240"/>
      </w:pPr>
      <w:r>
        <w:rPr>
          <w:b/>
          <w:bCs/>
          <w:color w:val="2b4c8c"/>
          <w:sz w:val="24"/>
          <w:szCs w:val="24"/>
        </w:rPr>
        <w:t xml:space="preserve">7.1 Catálogo de amenazas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1600"/>
        <w:gridCol w:w="3450"/>
      </w:tblGrid>
      <w:tr>
        <w:trPr>
          <w:tblHeader/>
        </w:trPr>
        <w:tc>
          <w:tcPr>
            <w:tcW w:type="dxa" w:w="11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Amenaza</w:t>
            </w:r>
          </w:p>
        </w:tc>
        <w:tc>
          <w:tcPr>
            <w:tcW w:type="dxa" w:w="16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Origen</w:t>
            </w:r>
          </w:p>
        </w:tc>
        <w:tc>
          <w:tcPr>
            <w:tcW w:type="dxa" w:w="345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Activos expuestos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AME-01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Ransomware / Malware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Externa</w:t>
            </w:r>
          </w:p>
        </w:tc>
        <w:tc>
          <w:tcPr>
            <w:tcW w:type="dxa" w:w="3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ACT-001, ACT-002</w:t>
            </w:r>
          </w:p>
        </w:tc>
      </w:tr>
      <w:tr>
        <w:tc>
          <w:tcPr>
            <w:tcW w:type="dxa" w:w="11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AME-02</w:t>
            </w:r>
          </w:p>
        </w:tc>
        <w:tc>
          <w:tcPr>
            <w:tcW w:type="dxa" w:w="32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Acceso no autorizado externo</w:t>
            </w:r>
          </w:p>
        </w:tc>
        <w:tc>
          <w:tcPr>
            <w:tcW w:type="dxa" w:w="16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Externa</w:t>
            </w:r>
          </w:p>
        </w:tc>
        <w:tc>
          <w:tcPr>
            <w:tcW w:type="dxa" w:w="34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ACT-001, ACT-004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AME-03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Error humano / Insider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Interna</w:t>
            </w:r>
          </w:p>
        </w:tc>
        <w:tc>
          <w:tcPr>
            <w:tcW w:type="dxa" w:w="3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ACT-001, ACT-006</w:t>
            </w:r>
          </w:p>
        </w:tc>
      </w:tr>
      <w:tr>
        <w:tc>
          <w:tcPr>
            <w:tcW w:type="dxa" w:w="11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AME-04</w:t>
            </w:r>
          </w:p>
        </w:tc>
        <w:tc>
          <w:tcPr>
            <w:tcW w:type="dxa" w:w="32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Falla de servicio (DDoS)</w:t>
            </w:r>
          </w:p>
        </w:tc>
        <w:tc>
          <w:tcPr>
            <w:tcW w:type="dxa" w:w="16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Externa</w:t>
            </w:r>
          </w:p>
        </w:tc>
        <w:tc>
          <w:tcPr>
            <w:tcW w:type="dxa" w:w="34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ACT-003, ACT-004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AME-05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Brecha de proveedor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Tercero</w:t>
            </w:r>
          </w:p>
        </w:tc>
        <w:tc>
          <w:tcPr>
            <w:tcW w:type="dxa" w:w="3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ACT-005, ACT-002</w:t>
            </w:r>
          </w:p>
        </w:tc>
      </w:tr>
      <w:tr>
        <w:tc>
          <w:tcPr>
            <w:tcW w:type="dxa" w:w="11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AME-06</w:t>
            </w:r>
          </w:p>
        </w:tc>
        <w:tc>
          <w:tcPr>
            <w:tcW w:type="dxa" w:w="32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Phishing dirigido</w:t>
            </w:r>
          </w:p>
        </w:tc>
        <w:tc>
          <w:tcPr>
            <w:tcW w:type="dxa" w:w="16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Externa</w:t>
            </w:r>
          </w:p>
        </w:tc>
        <w:tc>
          <w:tcPr>
            <w:tcW w:type="dxa" w:w="34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ACT-006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AME-07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Vulnerabilidad de software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Externa</w:t>
            </w:r>
          </w:p>
        </w:tc>
        <w:tc>
          <w:tcPr>
            <w:tcW w:type="dxa" w:w="3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ACT-002, ACT-003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b4c8c"/>
          <w:sz w:val="24"/>
          <w:szCs w:val="24"/>
        </w:rPr>
        <w:t xml:space="preserve">7.2 Catálogo de vulnerabilidades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700"/>
        <w:gridCol w:w="1550"/>
        <w:gridCol w:w="3000"/>
      </w:tblGrid>
      <w:tr>
        <w:trPr>
          <w:tblHeader/>
        </w:trPr>
        <w:tc>
          <w:tcPr>
            <w:tcW w:type="dxa" w:w="11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7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Vulnerabilidad</w:t>
            </w:r>
          </w:p>
        </w:tc>
        <w:tc>
          <w:tcPr>
            <w:tcW w:type="dxa" w:w="155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0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Activos afectados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VUL-01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Ausencia de MFA en sistemas críticos</w:t>
            </w:r>
          </w:p>
        </w:tc>
        <w:tc>
          <w:tcPr>
            <w:tcW w:type="dxa" w:w="1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Tecnológica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ACT-001, ACT-002, ACT-006</w:t>
            </w:r>
          </w:p>
        </w:tc>
      </w:tr>
      <w:tr>
        <w:tc>
          <w:tcPr>
            <w:tcW w:type="dxa" w:w="11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VUL-02</w:t>
            </w:r>
          </w:p>
        </w:tc>
        <w:tc>
          <w:tcPr>
            <w:tcW w:type="dxa" w:w="37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Parches de seguridad desactualizados</w:t>
            </w:r>
          </w:p>
        </w:tc>
        <w:tc>
          <w:tcPr>
            <w:tcW w:type="dxa" w:w="15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Tecnológica</w:t>
            </w:r>
          </w:p>
        </w:tc>
        <w:tc>
          <w:tcPr>
            <w:tcW w:type="dxa" w:w="3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ACT-002, ACT-003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VUL-03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Falta de segmentación de red</w:t>
            </w:r>
          </w:p>
        </w:tc>
        <w:tc>
          <w:tcPr>
            <w:tcW w:type="dxa" w:w="1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Tecnológica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ACT-004</w:t>
            </w:r>
          </w:p>
        </w:tc>
      </w:tr>
      <w:tr>
        <w:tc>
          <w:tcPr>
            <w:tcW w:type="dxa" w:w="11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VUL-04</w:t>
            </w:r>
          </w:p>
        </w:tc>
        <w:tc>
          <w:tcPr>
            <w:tcW w:type="dxa" w:w="37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Capacitación insuficiente en ciberseguridad</w:t>
            </w:r>
          </w:p>
        </w:tc>
        <w:tc>
          <w:tcPr>
            <w:tcW w:type="dxa" w:w="15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Organizacional</w:t>
            </w:r>
          </w:p>
        </w:tc>
        <w:tc>
          <w:tcPr>
            <w:tcW w:type="dxa" w:w="3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ACT-006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VUL-05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Ausencia de política de contraseñas robusta</w:t>
            </w:r>
          </w:p>
        </w:tc>
        <w:tc>
          <w:tcPr>
            <w:tcW w:type="dxa" w:w="1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Organizacional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ACT-001, ACT-002, ACT-006</w:t>
            </w:r>
          </w:p>
        </w:tc>
      </w:tr>
      <w:tr>
        <w:tc>
          <w:tcPr>
            <w:tcW w:type="dxa" w:w="11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VUL-06</w:t>
            </w:r>
          </w:p>
        </w:tc>
        <w:tc>
          <w:tcPr>
            <w:tcW w:type="dxa" w:w="37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Backups sin cifrar fuera del perímetro</w:t>
            </w:r>
          </w:p>
        </w:tc>
        <w:tc>
          <w:tcPr>
            <w:tcW w:type="dxa" w:w="15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De procesos</w:t>
            </w:r>
          </w:p>
        </w:tc>
        <w:tc>
          <w:tcPr>
            <w:tcW w:type="dxa" w:w="3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ACT-001, ACT-003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VUL-07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Sin monitoreo de logs en tiempo real</w:t>
            </w:r>
          </w:p>
        </w:tc>
        <w:tc>
          <w:tcPr>
            <w:tcW w:type="dxa" w:w="1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Tecnológica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ACT-003, ACT-004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b4c8c"/>
          <w:sz w:val="24"/>
          <w:szCs w:val="24"/>
        </w:rPr>
        <w:t xml:space="preserve">7.3 Catálogo de controles existentes (registro de identificación — corrección aplicada)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Controles que ya operan en la organización al momento de la identificación, previos y distintos al plan formal de tratamiento. Se documentan aquí para que la fase de identificación quede completa por sí misma, y para que la fase de tratamiento (Sección IX) pueda partir de ellos en lugar de proponer controles desde cero.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900"/>
        <w:gridCol w:w="1200"/>
        <w:gridCol w:w="1650"/>
        <w:gridCol w:w="1300"/>
        <w:gridCol w:w="1300"/>
      </w:tblGrid>
      <w:tr>
        <w:trPr>
          <w:tblHeader/>
        </w:trPr>
        <w:tc>
          <w:tcPr>
            <w:tcW w:type="dxa" w:w="10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9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 existente</w:t>
            </w:r>
          </w:p>
        </w:tc>
        <w:tc>
          <w:tcPr>
            <w:tcW w:type="dxa" w:w="12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65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Vulns. cubiertas</w:t>
            </w:r>
          </w:p>
        </w:tc>
        <w:tc>
          <w:tcPr>
            <w:tcW w:type="dxa" w:w="13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Eficacia est.</w:t>
            </w:r>
          </w:p>
        </w:tc>
        <w:tc>
          <w:tcPr>
            <w:tcW w:type="dxa" w:w="13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CEX-01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Antivirus / EDR básico en endpoints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Detectivo</w:t>
            </w:r>
          </w:p>
        </w:tc>
        <w:tc>
          <w:tcPr>
            <w:tcW w:type="dxa" w:w="16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VUL-02, VUL-07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20%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CEX-02</w:t>
            </w:r>
          </w:p>
        </w:tc>
        <w:tc>
          <w:tcPr>
            <w:tcW w:type="dxa" w:w="29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Respaldo periódico de base de datos</w:t>
            </w:r>
          </w:p>
        </w:tc>
        <w:tc>
          <w:tcPr>
            <w:tcW w:type="dxa" w:w="12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Preventivo</w:t>
            </w:r>
          </w:p>
        </w:tc>
        <w:tc>
          <w:tcPr>
            <w:tcW w:type="dxa" w:w="16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VUL-06</w:t>
            </w:r>
          </w:p>
        </w:tc>
        <w:tc>
          <w:tcPr>
            <w:tcW w:type="dxa" w:w="13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25%</w:t>
            </w:r>
          </w:p>
        </w:tc>
        <w:tc>
          <w:tcPr>
            <w:tcW w:type="dxa" w:w="13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CEX-03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Charla anual de concienciación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Preventivo</w:t>
            </w:r>
          </w:p>
        </w:tc>
        <w:tc>
          <w:tcPr>
            <w:tcW w:type="dxa" w:w="16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VUL-04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15%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CEX-04</w:t>
            </w:r>
          </w:p>
        </w:tc>
        <w:tc>
          <w:tcPr>
            <w:tcW w:type="dxa" w:w="29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Contraseñas mínimas de 8 caracteres</w:t>
            </w:r>
          </w:p>
        </w:tc>
        <w:tc>
          <w:tcPr>
            <w:tcW w:type="dxa" w:w="12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Preventivo</w:t>
            </w:r>
          </w:p>
        </w:tc>
        <w:tc>
          <w:tcPr>
            <w:tcW w:type="dxa" w:w="16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VUL-05</w:t>
            </w:r>
          </w:p>
        </w:tc>
        <w:tc>
          <w:tcPr>
            <w:tcW w:type="dxa" w:w="13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10%</w:t>
            </w:r>
          </w:p>
        </w:tc>
        <w:tc>
          <w:tcPr>
            <w:tcW w:type="dxa" w:w="13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Implementado</w:t>
            </w:r>
          </w:p>
        </w:tc>
      </w:tr>
    </w:tbl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Integración con el tratamiento: al abrir el tratamiento de un escenario, el aplicativo cruza automáticamente sus vulnerabilidades con este catálogo y sugiere los controles existentes relevantes, permitiendo copiarlos al plan de tratamiento como punto de partida editable (eficacia y tipo iguales al catálogo; ISO y responsable se completan en el contexto del escenario).</w:t>
      </w:r>
    </w:p>
    <w:p>
      <w:pPr>
        <w:pStyle w:val="Heading1"/>
        <w:spacing w:after="160" w:before="320"/>
      </w:pPr>
      <w:r>
        <w:rPr>
          <w:b/>
          <w:bCs/>
          <w:color w:val="1a2744"/>
          <w:sz w:val="27"/>
          <w:szCs w:val="27"/>
        </w:rPr>
        <w:t xml:space="preserve">VIII. Valoración de riesgos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 = P × I, donde R toma valores entre 1 y 25, P es la probabilidad de ocurrencia (escala 1–5) e I es el impacto sobre el activo (escala 1–5, derivado de la valoración CIA).</w:t>
      </w:r>
    </w:p>
    <w:p>
      <w:pPr>
        <w:pStyle w:val="Heading2"/>
        <w:spacing w:after="120" w:before="240"/>
      </w:pPr>
      <w:r>
        <w:rPr>
          <w:b/>
          <w:bCs/>
          <w:color w:val="2b4c8c"/>
          <w:sz w:val="24"/>
          <w:szCs w:val="24"/>
        </w:rPr>
        <w:t xml:space="preserve">Escalas de probabilidad e impacto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50"/>
      </w:tblGrid>
      <w:tr>
        <w:trPr>
          <w:tblHeader/>
        </w:trPr>
        <w:tc>
          <w:tcPr>
            <w:tcW w:type="dxa" w:w="9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19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Probabilidad</w:t>
            </w:r>
          </w:p>
        </w:tc>
        <w:tc>
          <w:tcPr>
            <w:tcW w:type="dxa" w:w="655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 de asignación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Rara</w:t>
            </w:r>
          </w:p>
        </w:tc>
        <w:tc>
          <w:tcPr>
            <w:tcW w:type="dxa" w:w="6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Altamente improbable; sin precedentes en el sector.</w:t>
            </w:r>
          </w:p>
        </w:tc>
      </w:tr>
      <w:tr>
        <w:tc>
          <w:tcPr>
            <w:tcW w:type="dxa" w:w="9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Improbable</w:t>
            </w:r>
          </w:p>
        </w:tc>
        <w:tc>
          <w:tcPr>
            <w:tcW w:type="dxa" w:w="65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Ocurrencia menor a una vez en 5 años.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Posible</w:t>
            </w:r>
          </w:p>
        </w:tc>
        <w:tc>
          <w:tcPr>
            <w:tcW w:type="dxa" w:w="6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Ocurrencia esperada entre 1 y 3 veces en 5 años.</w:t>
            </w:r>
          </w:p>
        </w:tc>
      </w:tr>
      <w:tr>
        <w:tc>
          <w:tcPr>
            <w:tcW w:type="dxa" w:w="9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Probable</w:t>
            </w:r>
          </w:p>
        </w:tc>
        <w:tc>
          <w:tcPr>
            <w:tcW w:type="dxa" w:w="65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Antecedentes en el sector u organización; ocurrencia anual.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Casi segura</w:t>
            </w:r>
          </w:p>
        </w:tc>
        <w:tc>
          <w:tcPr>
            <w:tcW w:type="dxa" w:w="6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Se espera que ocurra en la mayoría de circunstancias.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b4c8c"/>
          <w:sz w:val="24"/>
          <w:szCs w:val="24"/>
        </w:rPr>
        <w:t xml:space="preserve">Mapa de calor de riesgos (5×5) — R = P × I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235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 ↓ / Probabilidad →</w:t>
            </w:r>
          </w:p>
        </w:tc>
        <w:tc>
          <w:tcPr>
            <w:tcW w:type="dxa" w:w="14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Rara (1)</w:t>
            </w:r>
          </w:p>
        </w:tc>
        <w:tc>
          <w:tcPr>
            <w:tcW w:type="dxa" w:w="14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Improbable (2)</w:t>
            </w:r>
          </w:p>
        </w:tc>
        <w:tc>
          <w:tcPr>
            <w:tcW w:type="dxa" w:w="14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Posible (3)</w:t>
            </w:r>
          </w:p>
        </w:tc>
        <w:tc>
          <w:tcPr>
            <w:tcW w:type="dxa" w:w="14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Probable (4)</w:t>
            </w:r>
          </w:p>
        </w:tc>
        <w:tc>
          <w:tcPr>
            <w:tcW w:type="dxa" w:w="14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Casi segura (5)</w:t>
            </w:r>
          </w:p>
        </w:tc>
      </w:tr>
      <w:tr>
        <w:tc>
          <w:tcPr>
            <w:tcW w:type="dxa" w:w="2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Muy alto (5)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15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23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Alto (4)</w:t>
            </w:r>
          </w:p>
        </w:tc>
        <w:tc>
          <w:tcPr>
            <w:tcW w:type="dxa" w:w="14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2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Moderado (3)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23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Bajo (2)</w:t>
            </w:r>
          </w:p>
        </w:tc>
        <w:tc>
          <w:tcPr>
            <w:tcW w:type="dxa" w:w="14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Muy bajo (1)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5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b4c8c"/>
          <w:sz w:val="24"/>
          <w:szCs w:val="24"/>
        </w:rPr>
        <w:t xml:space="preserve">Escenarios de riesgo evaluados</w:t>
      </w:r>
    </w:p>
    <w:tbl>
      <w:tblPr>
        <w:tblW w:type="dxa" w:w="8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2500"/>
        <w:gridCol w:w="900"/>
        <w:gridCol w:w="1200"/>
        <w:gridCol w:w="500"/>
        <w:gridCol w:w="500"/>
        <w:gridCol w:w="700"/>
        <w:gridCol w:w="1300"/>
      </w:tblGrid>
      <w:tr>
        <w:trPr>
          <w:tblHeader/>
        </w:trPr>
        <w:tc>
          <w:tcPr>
            <w:tcW w:type="dxa" w:w="75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9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Amenaza</w:t>
            </w:r>
          </w:p>
        </w:tc>
        <w:tc>
          <w:tcPr>
            <w:tcW w:type="dxa" w:w="12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Vulns.</w:t>
            </w:r>
          </w:p>
        </w:tc>
        <w:tc>
          <w:tcPr>
            <w:tcW w:type="dxa" w:w="5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5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7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R=I×P</w:t>
            </w:r>
          </w:p>
        </w:tc>
        <w:tc>
          <w:tcPr>
            <w:tcW w:type="dxa" w:w="13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</w:tr>
      <w:tr>
        <w:tc>
          <w:tcPr>
            <w:tcW w:type="dxa" w:w="7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RIE-01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Ransomware en BD clientes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AME-01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VUL-01,02</w:t>
            </w:r>
          </w:p>
        </w:tc>
        <w:tc>
          <w:tcPr>
            <w:tcW w:type="dxa" w:w="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20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7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RIE-02</w:t>
            </w:r>
          </w:p>
        </w:tc>
        <w:tc>
          <w:tcPr>
            <w:tcW w:type="dxa" w:w="25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Acceso no autorizado externo</w:t>
            </w:r>
          </w:p>
        </w:tc>
        <w:tc>
          <w:tcPr>
            <w:tcW w:type="dxa" w:w="9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AME-02</w:t>
            </w:r>
          </w:p>
        </w:tc>
        <w:tc>
          <w:tcPr>
            <w:tcW w:type="dxa" w:w="12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VUL-01,05</w:t>
            </w:r>
          </w:p>
        </w:tc>
        <w:tc>
          <w:tcPr>
            <w:tcW w:type="dxa" w:w="5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15</w:t>
            </w:r>
          </w:p>
        </w:tc>
        <w:tc>
          <w:tcPr>
            <w:tcW w:type="dxa" w:w="13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7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RIE-03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Fuga por insider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AME-03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VUL-04,05</w:t>
            </w:r>
          </w:p>
        </w:tc>
        <w:tc>
          <w:tcPr>
            <w:tcW w:type="dxa" w:w="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7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RIE-04</w:t>
            </w:r>
          </w:p>
        </w:tc>
        <w:tc>
          <w:tcPr>
            <w:tcW w:type="dxa" w:w="25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DDoS a servidores</w:t>
            </w:r>
          </w:p>
        </w:tc>
        <w:tc>
          <w:tcPr>
            <w:tcW w:type="dxa" w:w="9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AME-04</w:t>
            </w:r>
          </w:p>
        </w:tc>
        <w:tc>
          <w:tcPr>
            <w:tcW w:type="dxa" w:w="12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VUL-03,07</w:t>
            </w:r>
          </w:p>
        </w:tc>
        <w:tc>
          <w:tcPr>
            <w:tcW w:type="dxa" w:w="5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7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RIE-05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Brecha de proveedor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AME-05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VUL-06</w:t>
            </w:r>
          </w:p>
        </w:tc>
        <w:tc>
          <w:tcPr>
            <w:tcW w:type="dxa" w:w="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Moderado</w:t>
            </w:r>
          </w:p>
        </w:tc>
      </w:tr>
      <w:tr>
        <w:tc>
          <w:tcPr>
            <w:tcW w:type="dxa" w:w="7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RIE-06</w:t>
            </w:r>
          </w:p>
        </w:tc>
        <w:tc>
          <w:tcPr>
            <w:tcW w:type="dxa" w:w="25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Phishing a privilegiados</w:t>
            </w:r>
          </w:p>
        </w:tc>
        <w:tc>
          <w:tcPr>
            <w:tcW w:type="dxa" w:w="9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AME-06</w:t>
            </w:r>
          </w:p>
        </w:tc>
        <w:tc>
          <w:tcPr>
            <w:tcW w:type="dxa" w:w="12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VUL-04</w:t>
            </w:r>
          </w:p>
        </w:tc>
        <w:tc>
          <w:tcPr>
            <w:tcW w:type="dxa" w:w="5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16</w:t>
            </w:r>
          </w:p>
        </w:tc>
        <w:tc>
          <w:tcPr>
            <w:tcW w:type="dxa" w:w="13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7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RIE-07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Explotación CVE en ERP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AME-07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VUL-02</w:t>
            </w:r>
          </w:p>
        </w:tc>
        <w:tc>
          <w:tcPr>
            <w:tcW w:type="dxa" w:w="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Alto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a2744"/>
          <w:sz w:val="27"/>
          <w:szCs w:val="27"/>
        </w:rPr>
        <w:t xml:space="preserve">IX. Evaluación y priorización de riesgos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700"/>
        <w:gridCol w:w="3450"/>
      </w:tblGrid>
      <w:tr>
        <w:trPr>
          <w:tblHeader/>
        </w:trPr>
        <w:tc>
          <w:tcPr>
            <w:tcW w:type="dxa" w:w="14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 (P×I)</w:t>
            </w:r>
          </w:p>
        </w:tc>
        <w:tc>
          <w:tcPr>
            <w:tcW w:type="dxa" w:w="18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27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Plazo de atención</w:t>
            </w:r>
          </w:p>
        </w:tc>
        <w:tc>
          <w:tcPr>
            <w:tcW w:type="dxa" w:w="345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15 – 25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5 — Crítico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Inmediata (≤ 30 días)</w:t>
            </w:r>
          </w:p>
        </w:tc>
        <w:tc>
          <w:tcPr>
            <w:tcW w:type="dxa" w:w="3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CISO / Dirección ejecutiva</w:t>
            </w:r>
          </w:p>
        </w:tc>
      </w:tr>
      <w:tr>
        <w:tc>
          <w:tcPr>
            <w:tcW w:type="dxa" w:w="14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10 – 14</w:t>
            </w:r>
          </w:p>
        </w:tc>
        <w:tc>
          <w:tcPr>
            <w:tcW w:type="dxa" w:w="18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 — Alto</w:t>
            </w:r>
          </w:p>
        </w:tc>
        <w:tc>
          <w:tcPr>
            <w:tcW w:type="dxa" w:w="27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Corto plazo (31–90 días)</w:t>
            </w:r>
          </w:p>
        </w:tc>
        <w:tc>
          <w:tcPr>
            <w:tcW w:type="dxa" w:w="34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Gerencia TI / CISO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5 – 9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3 — Significativo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Mediano plazo (91–180 días)</w:t>
            </w:r>
          </w:p>
        </w:tc>
        <w:tc>
          <w:tcPr>
            <w:tcW w:type="dxa" w:w="3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Responsable de área</w:t>
            </w:r>
          </w:p>
        </w:tc>
      </w:tr>
      <w:tr>
        <w:tc>
          <w:tcPr>
            <w:tcW w:type="dxa" w:w="14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3 – 4</w:t>
            </w:r>
          </w:p>
        </w:tc>
        <w:tc>
          <w:tcPr>
            <w:tcW w:type="dxa" w:w="18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2 — Moderado</w:t>
            </w:r>
          </w:p>
        </w:tc>
        <w:tc>
          <w:tcPr>
            <w:tcW w:type="dxa" w:w="27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Largo plazo (&gt; 180 días)</w:t>
            </w:r>
          </w:p>
        </w:tc>
        <w:tc>
          <w:tcPr>
            <w:tcW w:type="dxa" w:w="34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Responsable de área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 – 2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 — Bajo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Ciclo ordinario de revisión</w:t>
            </w:r>
          </w:p>
        </w:tc>
        <w:tc>
          <w:tcPr>
            <w:tcW w:type="dxa" w:w="3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Custodio técnico</w:t>
            </w:r>
          </w:p>
        </w:tc>
      </w:tr>
    </w:tbl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Prioridad 1 — Crítico (R ≥ 15): RIE-01 (Ransomware, R=20), RIE-06 (Phishing a privilegiados, R=16). Atención inmediata ≤ 30 días.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Prioridad 2 — Alto (R = 10–14): RIE-02 (R=15), RIE-03 (R=12), RIE-04 (R=12), RIE-07 (R=12). Atención en 31–90 días.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Prioridad 3 — Moderado (R = 5–9): RIE-05 (R=6). Atención en 91–180 días.</w:t>
      </w:r>
    </w:p>
    <w:p>
      <w:pPr>
        <w:pStyle w:val="Heading1"/>
        <w:spacing w:after="160" w:before="320"/>
      </w:pPr>
      <w:r>
        <w:rPr>
          <w:b/>
          <w:bCs/>
          <w:color w:val="1a2744"/>
          <w:sz w:val="27"/>
          <w:szCs w:val="27"/>
        </w:rPr>
        <w:t xml:space="preserve">X. Tratamiento del riesgo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Cuatro estrategias de tratamiento: Mitigar (controles técnicos y organizativos que reducen probabilidad o impacto — prioritaria para riesgos Críticos y Altos), Transferir (seguro cibernético, SLA con proveedor, externalización), Aceptar (documentar formalmente la convivencia con el riesgo cuando el costo de mitigar supera el impacto esperado, para niveles Moderado o Bajo) y Evitar (eliminar la actividad, proceso o tecnología que genera el riesgo).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Los controles propuestos toman como referencia explícita el catálogo de ISO/IEC 27002:2022 (tal como exige la consigna), organizados según el Anexo A de ISO/IEC 27001:2022. El plan de tratamiento parte, cuando existen, de los controles ya catalogados en la Sección 7.3: el aplicativo los sugiere automáticamente por coincidencia de vulnerabilidad y permite copiarlos al escenario como punto de partida editable.</w:t>
      </w:r>
    </w:p>
    <w:tbl>
      <w:tblPr>
        <w:tblW w:type="dxa" w:w="8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1800"/>
        <w:gridCol w:w="1450"/>
        <w:gridCol w:w="2600"/>
        <w:gridCol w:w="1250"/>
        <w:gridCol w:w="1000"/>
      </w:tblGrid>
      <w:tr>
        <w:trPr>
          <w:tblHeader/>
        </w:trPr>
        <w:tc>
          <w:tcPr>
            <w:tcW w:type="dxa" w:w="75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145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Estrategia</w:t>
            </w:r>
          </w:p>
        </w:tc>
        <w:tc>
          <w:tcPr>
            <w:tcW w:type="dxa" w:w="26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Controles / medidas</w:t>
            </w:r>
          </w:p>
        </w:tc>
        <w:tc>
          <w:tcPr>
            <w:tcW w:type="dxa" w:w="125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Plazo</w:t>
            </w:r>
          </w:p>
        </w:tc>
      </w:tr>
      <w:tr>
        <w:tc>
          <w:tcPr>
            <w:tcW w:type="dxa" w:w="7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RIE-01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Ransomware BD</w:t>
            </w:r>
          </w:p>
        </w:tc>
        <w:tc>
          <w:tcPr>
            <w:tcW w:type="dxa" w:w="1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Mitigar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MFA, cifrado AES-256, backups offsite, EDR</w:t>
            </w:r>
          </w:p>
        </w:tc>
        <w:tc>
          <w:tcPr>
            <w:tcW w:type="dxa" w:w="12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CISO / TI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≤30 días</w:t>
            </w:r>
          </w:p>
        </w:tc>
      </w:tr>
      <w:tr>
        <w:tc>
          <w:tcPr>
            <w:tcW w:type="dxa" w:w="7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RIE-06</w:t>
            </w:r>
          </w:p>
        </w:tc>
        <w:tc>
          <w:tcPr>
            <w:tcW w:type="dxa" w:w="18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Phishing privilegiados</w:t>
            </w:r>
          </w:p>
        </w:tc>
        <w:tc>
          <w:tcPr>
            <w:tcW w:type="dxa" w:w="14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Mitigar</w:t>
            </w:r>
          </w:p>
        </w:tc>
        <w:tc>
          <w:tcPr>
            <w:tcW w:type="dxa" w:w="26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Concienciación, simulaciones, MFA obligatorio</w:t>
            </w:r>
          </w:p>
        </w:tc>
        <w:tc>
          <w:tcPr>
            <w:tcW w:type="dxa" w:w="12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CISO / RRHH</w:t>
            </w:r>
          </w:p>
        </w:tc>
        <w:tc>
          <w:tcPr>
            <w:tcW w:type="dxa" w:w="1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≤30 días</w:t>
            </w:r>
          </w:p>
        </w:tc>
      </w:tr>
      <w:tr>
        <w:tc>
          <w:tcPr>
            <w:tcW w:type="dxa" w:w="7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RIE-02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Acceso no autorizado</w:t>
            </w:r>
          </w:p>
        </w:tc>
        <w:tc>
          <w:tcPr>
            <w:tcW w:type="dxa" w:w="1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Mitigar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Revisión ACLs, segmentación, SIEM</w:t>
            </w:r>
          </w:p>
        </w:tc>
        <w:tc>
          <w:tcPr>
            <w:tcW w:type="dxa" w:w="12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Gerencia TI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31–90 días</w:t>
            </w:r>
          </w:p>
        </w:tc>
      </w:tr>
      <w:tr>
        <w:tc>
          <w:tcPr>
            <w:tcW w:type="dxa" w:w="7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RIE-03</w:t>
            </w:r>
          </w:p>
        </w:tc>
        <w:tc>
          <w:tcPr>
            <w:tcW w:type="dxa" w:w="18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Fuga por insider</w:t>
            </w:r>
          </w:p>
        </w:tc>
        <w:tc>
          <w:tcPr>
            <w:tcW w:type="dxa" w:w="14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Mitigar+Transferir</w:t>
            </w:r>
          </w:p>
        </w:tc>
        <w:tc>
          <w:tcPr>
            <w:tcW w:type="dxa" w:w="26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DLP, segregación funciones, seguro</w:t>
            </w:r>
          </w:p>
        </w:tc>
        <w:tc>
          <w:tcPr>
            <w:tcW w:type="dxa" w:w="12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Legal + TI</w:t>
            </w:r>
          </w:p>
        </w:tc>
        <w:tc>
          <w:tcPr>
            <w:tcW w:type="dxa" w:w="1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31–90 días</w:t>
            </w:r>
          </w:p>
        </w:tc>
      </w:tr>
      <w:tr>
        <w:tc>
          <w:tcPr>
            <w:tcW w:type="dxa" w:w="7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RIE-04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DDoS</w:t>
            </w:r>
          </w:p>
        </w:tc>
        <w:tc>
          <w:tcPr>
            <w:tcW w:type="dxa" w:w="1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Transferir+Mitigar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Anti-DDoS/CDN, contrato resiliencia ISP</w:t>
            </w:r>
          </w:p>
        </w:tc>
        <w:tc>
          <w:tcPr>
            <w:tcW w:type="dxa" w:w="12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Gerencia TI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31–90 días</w:t>
            </w:r>
          </w:p>
        </w:tc>
      </w:tr>
      <w:tr>
        <w:tc>
          <w:tcPr>
            <w:tcW w:type="dxa" w:w="7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RIE-07</w:t>
            </w:r>
          </w:p>
        </w:tc>
        <w:tc>
          <w:tcPr>
            <w:tcW w:type="dxa" w:w="18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Explotación CVE</w:t>
            </w:r>
          </w:p>
        </w:tc>
        <w:tc>
          <w:tcPr>
            <w:tcW w:type="dxa" w:w="14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Mitigar</w:t>
            </w:r>
          </w:p>
        </w:tc>
        <w:tc>
          <w:tcPr>
            <w:tcW w:type="dxa" w:w="26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Gestión de parches, escaneo mensual</w:t>
            </w:r>
          </w:p>
        </w:tc>
        <w:tc>
          <w:tcPr>
            <w:tcW w:type="dxa" w:w="12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Custodio TI</w:t>
            </w:r>
          </w:p>
        </w:tc>
        <w:tc>
          <w:tcPr>
            <w:tcW w:type="dxa" w:w="1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91–180 días</w:t>
            </w:r>
          </w:p>
        </w:tc>
      </w:tr>
      <w:tr>
        <w:tc>
          <w:tcPr>
            <w:tcW w:type="dxa" w:w="7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RIE-05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Brecha proveedor</w:t>
            </w:r>
          </w:p>
        </w:tc>
        <w:tc>
          <w:tcPr>
            <w:tcW w:type="dxa" w:w="1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Aceptar+Mitigar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Cláusulas contractuales, auditoría anual</w:t>
            </w:r>
          </w:p>
        </w:tc>
        <w:tc>
          <w:tcPr>
            <w:tcW w:type="dxa" w:w="12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Dirección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91–180 días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a2744"/>
          <w:sz w:val="27"/>
          <w:szCs w:val="27"/>
        </w:rPr>
        <w:t xml:space="preserve">XI. Cálculo de riesgo residual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Fase nueva, documentada explícitamente en esta versión final para reflejar el modelo ya implementado en js/calc.js. El riesgo residual se calcula sobre los controles cargados en cada escenario mediante una combinación multiplicativa de eficacias — no aditiva — porque los controles actúan sobre el riesgo remanente, no sobre el riesgo original completo: sumar eficacias directamente puede superar el 100% de reducción con apenas tres controles independientes, lo cual carece de sentido físico.</w:t>
      </w:r>
    </w:p>
    <w:p>
      <w:pPr>
        <w:pStyle w:val="Heading2"/>
        <w:spacing w:after="120" w:before="240"/>
      </w:pPr>
      <w:r>
        <w:rPr>
          <w:b/>
          <w:bCs/>
          <w:color w:val="2b4c8c"/>
          <w:sz w:val="24"/>
          <w:szCs w:val="24"/>
        </w:rPr>
        <w:t xml:space="preserve">Fórmula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Factor de reducción por eje: factor = ∏(1 − eficacia_i), con un tope de reducción acumulada del 95% (factor mínimo = 0,05).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P_residual = P × factor_preventivos  (los controles preventivos reducen la probabilidad)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I_residual = I × factor_detectivos  (los controles detectivos reducen el impacto, al acortar tiempo de detección/respuesta)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R_residual = máx(P_residual × I_residual, 1)  (piso de 1: el riesgo residual nunca se reporta como cero)</w:t>
      </w:r>
    </w:p>
    <w:p>
      <w:pPr>
        <w:pStyle w:val="Heading2"/>
        <w:spacing w:after="120" w:before="240"/>
      </w:pPr>
      <w:r>
        <w:rPr>
          <w:b/>
          <w:bCs/>
          <w:color w:val="2b4c8c"/>
          <w:sz w:val="24"/>
          <w:szCs w:val="24"/>
        </w:rPr>
        <w:t xml:space="preserve">Ejemplo aplicado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2100"/>
        <w:gridCol w:w="1350"/>
        <w:gridCol w:w="3050"/>
        <w:gridCol w:w="1050"/>
        <w:gridCol w:w="1050"/>
      </w:tblGrid>
      <w:tr>
        <w:trPr>
          <w:tblHeader/>
        </w:trPr>
        <w:tc>
          <w:tcPr>
            <w:tcW w:type="dxa" w:w="75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135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 inherente</w:t>
            </w:r>
          </w:p>
        </w:tc>
        <w:tc>
          <w:tcPr>
            <w:tcW w:type="dxa" w:w="305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Controles aplicados</w:t>
            </w:r>
          </w:p>
        </w:tc>
        <w:tc>
          <w:tcPr>
            <w:tcW w:type="dxa" w:w="105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 residual</w:t>
            </w:r>
          </w:p>
        </w:tc>
        <w:tc>
          <w:tcPr>
            <w:tcW w:type="dxa" w:w="105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Nivel residual</w:t>
            </w:r>
          </w:p>
        </w:tc>
      </w:tr>
      <w:tr>
        <w:tc>
          <w:tcPr>
            <w:tcW w:type="dxa" w:w="7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RIE-01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Ransomware BD clientes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20 (Crítico)</w:t>
            </w:r>
          </w:p>
        </w:tc>
        <w:tc>
          <w:tcPr>
            <w:tcW w:type="dxa" w:w="3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MFA 60% (Prev.), EDR 20% (Det.), cifrado backups 30% (Prev.)</w:t>
            </w:r>
          </w:p>
        </w:tc>
        <w:tc>
          <w:tcPr>
            <w:tcW w:type="dxa" w:w="1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6.40</w:t>
            </w:r>
          </w:p>
        </w:tc>
        <w:tc>
          <w:tcPr>
            <w:tcW w:type="dxa" w:w="1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Moderado</w:t>
            </w:r>
          </w:p>
        </w:tc>
      </w:tr>
      <w:tr>
        <w:tc>
          <w:tcPr>
            <w:tcW w:type="dxa" w:w="7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RIE-06</w:t>
            </w:r>
          </w:p>
        </w:tc>
        <w:tc>
          <w:tcPr>
            <w:tcW w:type="dxa" w:w="21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Phishing a privilegiados</w:t>
            </w:r>
          </w:p>
        </w:tc>
        <w:tc>
          <w:tcPr>
            <w:tcW w:type="dxa" w:w="13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16 (Crítico)</w:t>
            </w:r>
          </w:p>
        </w:tc>
        <w:tc>
          <w:tcPr>
            <w:tcW w:type="dxa" w:w="30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MFA obligatorio (Prev.) — sin control detectivo cargado</w:t>
            </w:r>
          </w:p>
        </w:tc>
        <w:tc>
          <w:tcPr>
            <w:tcW w:type="dxa" w:w="10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9.60</w:t>
            </w:r>
          </w:p>
        </w:tc>
        <w:tc>
          <w:tcPr>
            <w:tcW w:type="dxa" w:w="10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Significativo</w:t>
            </w:r>
          </w:p>
        </w:tc>
      </w:tr>
    </w:tbl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Alerta de asimetría de tratamiento: en RIE-06 el impacto residual permanece alto porque el plan de tratamiento no incluye ningún control detectivo — el aplicativo señala esta condición automáticamente cuando un escenario de nivel Crítico o Alto carece de controles de ese tipo, dirigiendo la atención del equipo hacia una brecha de diseño que el valor numérico por sí solo no evidenciaría con la misma claridad.</w:t>
      </w:r>
    </w:p>
    <w:p>
      <w:pPr>
        <w:pStyle w:val="Heading1"/>
        <w:spacing w:after="160" w:before="320"/>
      </w:pPr>
      <w:r>
        <w:rPr>
          <w:b/>
          <w:bCs/>
          <w:color w:val="1a2744"/>
          <w:sz w:val="27"/>
          <w:szCs w:val="27"/>
        </w:rPr>
        <w:t xml:space="preserve">XII. Comunicación y consulta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Fase nueva, documentada como sección propia para separarla explícitamente del monitoreo (Fase XIV). Comprende dos instrumentos: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Bitácora de comunicación: registro de observaciones y recomendaciones con fecha, tipo, riesgo relacionado, emisor, receptor y estado de seguimiento.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Reportes por audiencia: tres vistas generadas a partir del mismo estado — Reporte ejecutivo (Dirección: riesgos críticos activos y exposición acumulada inherente/residual), Reporte por responsable de área (riesgos, nivel y controles pendientes por escenario) y Reporte de auditoría y cumplimiento (inventario de activos, escenarios con estrategia y riesgo residual, y registro completo de comunicaciones).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Nota de transparencia (ver también Sección XIII): estas vistas segmentan la información por audiencia dentro del mismo aplicativo, pero no implementan control de acceso con autenticación — cualquier persona con acceso al navegador puede ver los tres reportes. Esta limitación se declara explícitamente y no debe interpretarse como una segregación de permisos real.</w:t>
      </w:r>
    </w:p>
    <w:p>
      <w:pPr>
        <w:pStyle w:val="Heading1"/>
        <w:spacing w:after="160" w:before="320"/>
      </w:pPr>
      <w:r>
        <w:rPr>
          <w:b/>
          <w:bCs/>
          <w:color w:val="1a2744"/>
          <w:sz w:val="27"/>
          <w:szCs w:val="27"/>
        </w:rPr>
        <w:t xml:space="preserve">XIII. Dilema ético y responsabilidad profesional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Sección exigida por el RC4 de la consigna (responsabilidades éticas y profesionales del ingeniero) y referenciada directamente desde la interfaz del aplicativo.</w:t>
      </w:r>
    </w:p>
    <w:p>
      <w:pPr>
        <w:pStyle w:val="Heading2"/>
        <w:spacing w:after="120" w:before="240"/>
      </w:pPr>
      <w:r>
        <w:rPr>
          <w:b/>
          <w:bCs/>
          <w:color w:val="2b4c8c"/>
          <w:sz w:val="24"/>
          <w:szCs w:val="24"/>
        </w:rPr>
        <w:t xml:space="preserve">13.1 Transparencia sobre el alcance del control de acceso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Como se indica en la Sección XII, los "reportes por audiencia" no son un sistema de permisos: son vistas filtradas del mismo almacenamiento local. Presentar esta funcionalidad sin declarar su límite induciría a un directivo o auditor a asumir garantías de confidencialidad que el sistema no ofrece. La responsabilidad profesional exige declarar esta limitación de forma explícita, tanto en la documentación como en la propia interfaz — lo cual se implementó como buena práctica de este proyecto.</w:t>
      </w:r>
    </w:p>
    <w:p>
      <w:pPr>
        <w:pStyle w:val="Heading2"/>
        <w:spacing w:after="120" w:before="240"/>
      </w:pPr>
      <w:r>
        <w:rPr>
          <w:b/>
          <w:bCs/>
          <w:color w:val="2b4c8c"/>
          <w:sz w:val="24"/>
          <w:szCs w:val="24"/>
        </w:rPr>
        <w:t xml:space="preserve">13.2 Alcance de uso frente a datos regulados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ACT-001 (Base de datos de clientes) está clasificado como información regulada por la LOPDP. MERCI almacena su información en localStorage, sin cifrado y sin control de acceso, por lo que no debe usarse con datos reales de esa naturaleza sin incorporar antes autenticación, cifrado en reposo y una base de datos con control de acceso. Declarar este límite de alcance —y no solo las capacidades— es parte de la responsabilidad profesional del equipo desarrollador frente a cualquier organización que evalúe adoptar la herramienta.</w:t>
      </w:r>
    </w:p>
    <w:p>
      <w:pPr>
        <w:pStyle w:val="Heading1"/>
        <w:spacing w:after="160" w:before="320"/>
      </w:pPr>
      <w:r>
        <w:rPr>
          <w:b/>
          <w:bCs/>
          <w:color w:val="1a2744"/>
          <w:sz w:val="27"/>
          <w:szCs w:val="27"/>
        </w:rPr>
        <w:t xml:space="preserve">XIV. Plan de mejora y monitoreo continuo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2050"/>
        <w:gridCol w:w="2000"/>
      </w:tblGrid>
      <w:tr>
        <w:trPr>
          <w:tblHeader/>
        </w:trPr>
        <w:tc>
          <w:tcPr>
            <w:tcW w:type="dxa" w:w="11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Indicador (KPI)</w:t>
            </w:r>
          </w:p>
        </w:tc>
        <w:tc>
          <w:tcPr>
            <w:tcW w:type="dxa" w:w="205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20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KPI-01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Tiempo medio de detección (MTTD)</w:t>
            </w:r>
          </w:p>
        </w:tc>
        <w:tc>
          <w:tcPr>
            <w:tcW w:type="dxa" w:w="2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≤ 4 horas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Mensual</w:t>
            </w:r>
          </w:p>
        </w:tc>
      </w:tr>
      <w:tr>
        <w:tc>
          <w:tcPr>
            <w:tcW w:type="dxa" w:w="11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KPI-02</w:t>
            </w:r>
          </w:p>
        </w:tc>
        <w:tc>
          <w:tcPr>
            <w:tcW w:type="dxa" w:w="42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Tiempo medio de respuesta (MTTR)</w:t>
            </w:r>
          </w:p>
        </w:tc>
        <w:tc>
          <w:tcPr>
            <w:tcW w:type="dxa" w:w="20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≤ 8 horas</w:t>
            </w:r>
          </w:p>
        </w:tc>
        <w:tc>
          <w:tcPr>
            <w:tcW w:type="dxa" w:w="2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Mensual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KPI-03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% activos críticos con MFA activo</w:t>
            </w:r>
          </w:p>
        </w:tc>
        <w:tc>
          <w:tcPr>
            <w:tcW w:type="dxa" w:w="2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100%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Trimestral</w:t>
            </w:r>
          </w:p>
        </w:tc>
      </w:tr>
      <w:tr>
        <w:tc>
          <w:tcPr>
            <w:tcW w:type="dxa" w:w="11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KPI-04</w:t>
            </w:r>
          </w:p>
        </w:tc>
        <w:tc>
          <w:tcPr>
            <w:tcW w:type="dxa" w:w="42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% parches aplicados en ≤30 días</w:t>
            </w:r>
          </w:p>
        </w:tc>
        <w:tc>
          <w:tcPr>
            <w:tcW w:type="dxa" w:w="20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≥ 95%</w:t>
            </w:r>
          </w:p>
        </w:tc>
        <w:tc>
          <w:tcPr>
            <w:tcW w:type="dxa" w:w="2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Mensual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KPI-05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N.º de incidentes de seguridad</w:t>
            </w:r>
          </w:p>
        </w:tc>
        <w:tc>
          <w:tcPr>
            <w:tcW w:type="dxa" w:w="2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Tendencia decreciente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Mensual</w:t>
            </w:r>
          </w:p>
        </w:tc>
      </w:tr>
      <w:tr>
        <w:tc>
          <w:tcPr>
            <w:tcW w:type="dxa" w:w="11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KPI-06</w:t>
            </w:r>
          </w:p>
        </w:tc>
        <w:tc>
          <w:tcPr>
            <w:tcW w:type="dxa" w:w="42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% personal capacitado en ciberseguridad</w:t>
            </w:r>
          </w:p>
        </w:tc>
        <w:tc>
          <w:tcPr>
            <w:tcW w:type="dxa" w:w="20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≥ 90%</w:t>
            </w:r>
          </w:p>
        </w:tc>
        <w:tc>
          <w:tcPr>
            <w:tcW w:type="dxa" w:w="2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Semestral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KPI-07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Tasa de clic en phishing simulado</w:t>
            </w:r>
          </w:p>
        </w:tc>
        <w:tc>
          <w:tcPr>
            <w:tcW w:type="dxa" w:w="2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≤ 5%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Trimestral</w:t>
            </w:r>
          </w:p>
        </w:tc>
      </w:tr>
      <w:tr>
        <w:tc>
          <w:tcPr>
            <w:tcW w:type="dxa" w:w="11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KPI-08</w:t>
            </w:r>
          </w:p>
        </w:tc>
        <w:tc>
          <w:tcPr>
            <w:tcW w:type="dxa" w:w="42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Cumplimiento de controles ISO/IEC 27001</w:t>
            </w:r>
          </w:p>
        </w:tc>
        <w:tc>
          <w:tcPr>
            <w:tcW w:type="dxa" w:w="20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≥ 80%</w:t>
            </w:r>
          </w:p>
        </w:tc>
        <w:tc>
          <w:tcPr>
            <w:tcW w:type="dxa" w:w="2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Anual</w:t>
            </w:r>
          </w:p>
        </w:tc>
      </w:tr>
    </w:tbl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Ciclo de revisión: riesgos Críticos, revisión mensual de indicadores y revisión completa del escenario cada 6 meses; riesgos Altos, revisión trimestral y anual; riesgos Significativos/Moderados, revisión semestral y anual. Revisiones extraordinarias ante incidentes, cambios tecnológicos relevantes o cambios normativos.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a2744"/>
          <w:sz w:val="27"/>
          <w:szCs w:val="27"/>
        </w:rPr>
        <w:t xml:space="preserve">XV. Conclusiones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Con las tres secciones incorporadas en esta versión final (controles existentes en identificación, riesgo residual y comunicación como fases propias, y dilema ético), MERCI cubre de forma explícita y verificable los seis puntos mínimos exigidos por la consigna, cerrando la brecha detectada en la versión anterior de la metodología escrita respecto del aplicativo ya corregido.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El modelo de riesgo residual multiplicativo, con piso de 1 y tope de reducción del 95%, es la elección técnica correcta frente a una suma simple de eficacias, y la detección de asimetría de tratamiento aporta valor real al dirigir la atención hacia escenarios con controles preventivos pero sin controles detectivos.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La integración con la Tarea 5 sigue siendo eficiente: el inventario de activos preexistente evita duplicar el esfuerzo de identificación y ancla la valoración CIA en criterios ya validados por los responsables de área.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La metodología reconoce sus propios límites: el modelo de persistencia (localStorage) y de reportes por audiencia no constituye un control de acceso real, y esta limitación se declara explícitamente como ejercicio de responsabilidad profesional, no se oculta ni se minimiza.</w:t>
      </w:r>
    </w:p>
    <w:p>
      <w:pPr>
        <w:pStyle w:val="Heading1"/>
        <w:spacing w:after="160" w:before="320"/>
      </w:pPr>
      <w:r>
        <w:rPr>
          <w:b/>
          <w:bCs/>
          <w:color w:val="1a2744"/>
          <w:sz w:val="27"/>
          <w:szCs w:val="27"/>
        </w:rPr>
        <w:t xml:space="preserve">XVI. Recomendaciones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Realizar una prueba piloto de MERCI en un entorno controlado antes de cualquier uso más allá del ámbito académico.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Conformar un equipo multidisciplinario (TI, legal, dirección) para la aplicación de la metodología, dado que la evaluación de riesgo requiere perspectivas diversas.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Mantener los catálogos de amenazas, vulnerabilidades, controles existentes y escenarios de riesgo actualizados según la periodicidad definida en el plan de monitoreo.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No usar el aplicativo para datos personales reales sin antes incorporar autenticación, cifrado en reposo y backend con control de acceso y auditoría inmutable.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Completar una Evaluación de Impacto (DPIA/EIPD) conforme a la Guía SPDP-SPD-2025-0003-R antes de levantar información real de una organización, dado que dos escenarios (RIE-01, RIE-06) involucran datos personales.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Explorar la incorporación de una plataforma GRC o backend propio para automatizar el registro, cálculo y seguimiento de los escenarios de riesgo, si el proyecto evoluciona más allá del entorno académico.</w:t>
      </w:r>
    </w:p>
    <w:p>
      <w:pPr>
        <w:pStyle w:val="Heading1"/>
        <w:spacing w:after="160" w:before="320"/>
      </w:pPr>
      <w:r>
        <w:rPr>
          <w:b/>
          <w:bCs/>
          <w:color w:val="1a2744"/>
          <w:sz w:val="27"/>
          <w:szCs w:val="27"/>
        </w:rPr>
        <w:t xml:space="preserve">XVII. Bibliografía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Superintendencia de Protección de Datos Personales del Ecuador. (2025). Guía de Gestión de Riesgos y Evaluación de Impacto del Tratamiento de Datos Personales (Resolución N.° SPDP-SPD-2025-0003-R). SPDP.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Núñez, C., Martinez, A., &amp; Choca, J. (2025). Criterio Específico ABET: Tarea 5 — Procedimiento de Gestión de Activos Digitales. Facultad de Ingeniería y Ciencias Aplicadas, Ingeniería en Software — Seguridad Informática.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International Organization for Standardization. (2022). ISO/IEC 27005:2022 — Information security, cybersecurity and privacy protection — Guidance on managing information security risks. ISO.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International Organization for Standardization. (2022). ISO/IEC 27001:2022 — Information security, cybersecurity and privacy protection — Information security management systems — Requirements. ISO.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International Organization for Standardization. (2022). ISO/IEC 27002:2022 — Information security, cybersecurity and privacy protection — Information security controls. ISO.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National Institute of Standards and Technology. (2012). NIST Special Publication 800-30 Rev. 1 — Guide for Conducting Risk Assessments. U.S. Department of Commerce.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Ministerio de Hacienda y Administraciones Públicas de España. (2012). MAGERIT v3 — Metodología de Análisis y Gestión de Riesgos de los Sistemas de Información.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Hernández, S. (2025). Conexión entre ISO 27005 e ISO 27001: Impulsa tu gestión de riesgos en seguridad de la información. GlobalSuite Solutions.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Van Dijk, V. (2026). NIST Risk Assessment Guide (SP 800-30): Process, Steps &amp; Template. Security Scientist.</w:t>
      </w:r>
    </w:p>
    <w:p>
      <w:pPr>
        <w:pStyle w:val="Heading1"/>
        <w:spacing w:after="160" w:before="320"/>
      </w:pPr>
      <w:r>
        <w:rPr>
          <w:b/>
          <w:bCs/>
          <w:color w:val="1a2744"/>
          <w:sz w:val="27"/>
          <w:szCs w:val="27"/>
        </w:rPr>
        <w:t xml:space="preserve">Anexos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Se mantienen vigentes como anexos de esta metodología: Instrumentos 1 a 4 de la Tarea 5 (Matriz de Clasificación de Activos, Hoja de Valoración Ponderada, Esquema de Priorización y Respuesta, Registro de Revisiones); y de la Tarea 8, el Anexo A (Glosario de Términos), Anexo B (Plantilla de Registro de Activos), Anexo C (Plantilla de Registro de Escenarios de Riesgo) y Anexo D (Esquema de Integración Tarea 5 → Tarea 8), este último ahora extendido para incluir el registro de controles existentes, el riesgo residual y la comunicación como fases propias.</w:t>
      </w:r>
    </w:p>
    <w:sectPr>
      <w:footerReference w:type="default" r:id="rId7"/>
      <w:pgSz w:w="11906" w:h="16838" w:orient="portrait"/>
      <w:pgMar w:top="1080" w:right="1100" w:bottom="108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MERCI — Seguridad Informática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2026-07-06T17:30:32.806Z</dcterms:created>
  <dcterms:modified xsi:type="dcterms:W3CDTF">2026-07-06T17:30:32.806Z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