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00"/>
        <w:jc w:val="center"/>
      </w:pPr>
      <w:r>
        <w:rPr>
          <w:b/>
          <w:bCs/>
          <w:color w:val="1a2744"/>
          <w:sz w:val="22"/>
          <w:szCs w:val="22"/>
        </w:rPr>
        <w:t xml:space="preserve">FACULTAD DE INGENIERÍA Y CIENCIAS APLICADAS</w:t>
      </w:r>
    </w:p>
    <w:p>
      <w:pPr>
        <w:spacing w:after="500"/>
        <w:jc w:val="center"/>
      </w:pPr>
      <w:r>
        <w:rPr>
          <w:color w:val="555555"/>
          <w:sz w:val="20"/>
          <w:szCs w:val="20"/>
        </w:rPr>
        <w:t xml:space="preserve">Ingeniería en Software · Seguridad Informática</w:t>
      </w:r>
    </w:p>
    <w:p>
      <w:pPr>
        <w:spacing w:after="120"/>
        <w:jc w:val="center"/>
      </w:pPr>
      <w:r>
        <w:rPr>
          <w:b/>
          <w:bCs/>
          <w:color w:val="2b4c8c"/>
          <w:sz w:val="20"/>
          <w:szCs w:val="20"/>
        </w:rPr>
        <w:t xml:space="preserve">CRITERIO ESPECÍFICO ABET — Metodología (Versión Final Consolidada)</w:t>
      </w:r>
    </w:p>
    <w:p>
      <w:pPr>
        <w:spacing w:after="200"/>
        <w:jc w:val="center"/>
      </w:pPr>
      <w:r>
        <w:rPr>
          <w:b/>
          <w:bCs/>
          <w:color w:val="1a2744"/>
          <w:sz w:val="40"/>
          <w:szCs w:val="40"/>
        </w:rPr>
        <w:t xml:space="preserve">MERCI</w:t>
      </w:r>
    </w:p>
    <w:p>
      <w:pPr>
        <w:spacing w:after="900"/>
        <w:jc w:val="center"/>
      </w:pPr>
      <w:r>
        <w:rPr>
          <w:i/>
          <w:iCs/>
          <w:color w:val="555555"/>
          <w:sz w:val="22"/>
          <w:szCs w:val="22"/>
        </w:rPr>
        <w:t xml:space="preserve">Metodología de Evaluación de Riesgo Cibernético Integrada — integra y actualiza la Tarea 5 (Gestión de Activos) y la Tarea 8 (MERCI), y las alinea con el aplicativo corregido</w:t>
      </w:r>
    </w:p>
    <w:p>
      <w:pPr>
        <w:spacing w:after="60"/>
        <w:jc w:val="center"/>
      </w:pPr>
      <w:r>
        <w:rPr>
          <w:b/>
          <w:bCs/>
          <w:color w:val="1a2744"/>
          <w:sz w:val="21"/>
          <w:szCs w:val="21"/>
        </w:rPr>
        <w:t xml:space="preserve">Alejandro Martinez · Camilo Núñez · Juan Choca</w:t>
      </w:r>
    </w:p>
    <w:p>
      <w:pPr>
        <w:spacing w:after="60"/>
        <w:jc w:val="center"/>
      </w:pPr>
      <w:r>
        <w:rPr>
          <w:color w:val="555555"/>
          <w:sz w:val="19"/>
          <w:szCs w:val="19"/>
        </w:rPr>
        <w:t xml:space="preserve">Proyecto Integrador · ITIZ3301</w:t>
      </w:r>
    </w:p>
    <w:p>
      <w:pPr>
        <w:spacing w:after="60"/>
        <w:jc w:val="center"/>
      </w:pPr>
      <w:r>
        <w:rPr>
          <w:color w:val="555555"/>
          <w:sz w:val="19"/>
          <w:szCs w:val="19"/>
        </w:rPr>
        <w:t xml:space="preserve">Quito – Ecuador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I. Resumen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Este documento es la versión final y coherente de la metodología MERCI (Metodología de Evaluación de Riesgo Cibernético Integrada), que consolida en un solo cuerpo el Procedimiento de Gestión de Activos (Tarea 5) y la Metodología MERCI (Tarea 8), e incorpora tres ajustes necesarios para que la metodología escrita quede alineada con el aplicativo web finalmente entregado y con el texto literal de la consigna del Proyecto Integrador: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Se agrega un registro explícito de controles existentes dentro de la fase de identificación de riesgos (antes solo se documentaban en la fase de tratamiento), tal como exige la consigna: "Registro de amenazas, vulnerabilidades y controles existentes".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Se documenta como fase propia el cálculo de riesgo residual con el modelo multiplicativo que ya estaba implementado en el aplicativo (js/calc.js), pero que no tenía una sección dedicada en la Tarea 8.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Se documenta como fase propia la comunicación y consulta (bitácora + reportes por audiencia), y se añade una sección de dilema ético y responsabilidad profesional (RC4) que el propio aplicativo referencia en su interfaz.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La metodología conserva su base normativa: Guía SPDP-SPD-2025-0003-R (Ecuador), ISO/IEC 27001:2022, ISO/IEC 27002:2022, ISO/IEC 27005:2022, NIST SP 800-30 Rev.1 y MAGERIT v3, y su integración con la taxonomía de siete categorías de activos desarrollada en la Tarea 5.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II. Objetivos de la metodología</w:t>
      </w:r>
    </w:p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1. Objetivo general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Proveer a los equipos de ciberseguridad una metodología propia, cuantitativa y de aplicación inmediata para identificar, valorar, tratar y monitorear el riesgo cibernético en cualquier tipo de organización, integrando la Guía SPDP-SPD-2025-0003-R, los estándares ISO/IEC 27001, ISO/IEC 27002, ISO/IEC 27005 y NIST SP 800-30, y el Procedimiento de Gestión de Activos desarrollado en la Tarea 5.</w:t>
      </w:r>
    </w:p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2. Objetivos específicos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Delimitar el alcance de la evaluación de riesgo para asegurar cobertura completa de activos, procesos y entornos organizacionales relevantes.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Integrar la taxonomía de activos de siete categorías de la Tarea 5 como base de identificación de activos sujetos a evaluación.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Aplicar una valoración CIA (Confidencialidad, Integridad, Disponibilidad) cuantitativa sobre cada activo identificado.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Identificar y catalogar amenazas, vulnerabilidades y controles existentes, distinguiendo estos últimos de los controles que se propongan formalmente en la fase de tratamiento.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Calcular el nivel de riesgo inherente de cada escenario mediante R = P × I y representarlo en una matriz de calor 5×5.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Priorizar los riesgos y definir estrategias de tratamiento diferenciadas (mitigar, transferir, aceptar, evitar), tomando como referencia los controles de ISO/IEC 27002:2022.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Calcular el riesgo residual posterior a la implementación de controles mediante un modelo multiplicativo que evite errores de sobreestimación de la reducción de riesgo.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Mantener un registro de comunicación y consulta con las partes interesadas y generar reportes diferenciados por audiencia.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Reconocer y declarar explícitamente los dilemas éticos y de responsabilidad profesional que surgen de automatizar la gestión de riesgo (RC4).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Establecer un plan de monitoreo continuo con KPIs que permitan evaluar la eficacia de los controles implementados.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III. Alcance y público objetivo</w:t>
      </w:r>
    </w:p>
    <w:p>
      <w:pPr>
        <w:pStyle w:val="Heading3"/>
        <w:spacing w:after="90" w:before="180"/>
      </w:pPr>
      <w:r>
        <w:rPr>
          <w:b/>
          <w:bCs/>
          <w:color w:val="1a2744"/>
          <w:sz w:val="22"/>
          <w:szCs w:val="22"/>
        </w:rPr>
        <w:t xml:space="preserve">Alcance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MERCI aplica a la totalidad de los activos digitales y procesos de negocio que almacenan, procesan, transmiten o soportan información de valor para la organización, en cualquier modalidad de gestión (on-premise, nube o híbrida) y para cualquier tipo de organización (PYME, hospital, universidad, entidad pública, empresa financiera, entre otras). Los marcos normativos aplicables incluyen la LOPDP del Ecuador, la Resolución SPDP-SPD-2025-0003-R, ISO/IEC 27001, ISO/IEC 27002, ISO/IEC 27005, NIST SP 800-30 y MAGERIT, además de GDPR cuando aplique.</w:t>
      </w:r>
    </w:p>
    <w:p>
      <w:pPr>
        <w:pStyle w:val="Heading3"/>
        <w:spacing w:after="90" w:before="180"/>
      </w:pPr>
      <w:r>
        <w:rPr>
          <w:b/>
          <w:bCs/>
          <w:color w:val="1a2744"/>
          <w:sz w:val="22"/>
          <w:szCs w:val="22"/>
        </w:rPr>
        <w:t xml:space="preserve">Público objetivo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CISO, analistas de ciberseguridad, auditores internos y externos, gestores de riesgo tecnológico, responsables de cumplimiento normativo (Compliance Officers) y alta dirección que requiera visibilidad sobre el perfil de riesgo del patrimonio digital de la organización.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IV. Marco de referencia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0"/>
      </w:tblGrid>
      <w:tr>
        <w:trPr>
          <w:tblHeader/>
        </w:trPr>
        <w:tc>
          <w:tcPr>
            <w:tcW w:type="dxa" w:w="30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Marco / norma</w:t>
            </w:r>
          </w:p>
        </w:tc>
        <w:tc>
          <w:tcPr>
            <w:tcW w:type="dxa" w:w="63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 dentro de MERCI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Guía SPDP-SPD-2025-0003-R (Ecuador, 2025)</w:t>
            </w:r>
          </w:p>
        </w:tc>
        <w:tc>
          <w:tcPr>
            <w:tcW w:type="dxa" w:w="6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Marco principal de gestión de riesgos y evaluación de impacto (DPIA/EIPD) sobre datos personales; enriquece la Fase de valoración de riesgo y la Sección de dilema ético.</w:t>
            </w:r>
          </w:p>
        </w:tc>
      </w:tr>
      <w:tr>
        <w:tc>
          <w:tcPr>
            <w:tcW w:type="dxa" w:w="3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ISO/IEC 27005:2022</w:t>
            </w:r>
          </w:p>
        </w:tc>
        <w:tc>
          <w:tcPr>
            <w:tcW w:type="dxa" w:w="63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Define el ciclo de gestión del riesgo (contexto, identificación, estimación, evaluación, tratamiento, aceptación, comunicación, revisión) que estructura las fases de MERCI.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ISO/IEC 27001:2022 (Anexo A)</w:t>
            </w:r>
          </w:p>
        </w:tc>
        <w:tc>
          <w:tcPr>
            <w:tcW w:type="dxa" w:w="6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Marco de controles aplicables en el tratamiento del riesgo, cuyo listado se deriva directamente del catálogo de controles de ISO/IEC 27002:2022.</w:t>
            </w:r>
          </w:p>
        </w:tc>
      </w:tr>
      <w:tr>
        <w:tc>
          <w:tcPr>
            <w:tcW w:type="dxa" w:w="3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ISO/IEC 27002:2022</w:t>
            </w:r>
          </w:p>
        </w:tc>
        <w:tc>
          <w:tcPr>
            <w:tcW w:type="dxa" w:w="63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Catálogo de controles de referencia explícito para la Fase de Tratamiento del Riesgo, tal como lo exige textualmente la consigna del proyecto.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NIST SP 800-30 Rev. 1</w:t>
            </w:r>
          </w:p>
        </w:tc>
        <w:tc>
          <w:tcPr>
            <w:tcW w:type="dxa" w:w="6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Referencia complementaria para la parametrización de las escalas de probabilidad e impacto.</w:t>
            </w:r>
          </w:p>
        </w:tc>
      </w:tr>
      <w:tr>
        <w:tc>
          <w:tcPr>
            <w:tcW w:type="dxa" w:w="3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MAGERIT v3</w:t>
            </w:r>
          </w:p>
        </w:tc>
        <w:tc>
          <w:tcPr>
            <w:tcW w:type="dxa" w:w="63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Complementa la taxonomía de amenazas y vulnerabilidades en contextos hispanohablantes.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Tarea 5 — Procedimiento de Gestión de Activos</w:t>
            </w:r>
          </w:p>
        </w:tc>
        <w:tc>
          <w:tcPr>
            <w:tcW w:type="dxa" w:w="6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Insumo directo de identificación, clasificación y valoración de activos digitales (Fase V de esta metodología).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V. Identificación y clasificación de activos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La identificación de activos se apoya directamente en el Procedimiento de Gestión de Activos de la Tarea 5, cuya taxonomía de siete categorías (información, software, hardware, red y comunicaciones, servicios, activos humanos y activos intangibles) constituye el inventario base. Los Instrumentos 1 (Matriz de Clasificación) y 2 (Hoja de Valoración Ponderada) de la Tarea 5 se mantienen vigentes como anexos de esta metodología; MERCI no los duplica, los utiliza como insumo validado.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El nivel de criticidad de cada activo (escala 1–5, Valor ponderado = IO×0,40 + CC×0,35 + VE×0,25) se usa como factor de ponderación en la estimación del impacto de cada escenario de riesgo (Fase VIII).</w:t>
      </w:r>
    </w:p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Inventario de activos críticos seleccionados para la evaluación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1900"/>
        <w:gridCol w:w="2400"/>
        <w:gridCol w:w="1350"/>
      </w:tblGrid>
      <w:tr>
        <w:trPr>
          <w:tblHeader/>
        </w:trPr>
        <w:tc>
          <w:tcPr>
            <w:tcW w:type="dxa" w:w="11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6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Nombre del activo</w:t>
            </w:r>
          </w:p>
        </w:tc>
        <w:tc>
          <w:tcPr>
            <w:tcW w:type="dxa" w:w="19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24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Sensibilidad</w:t>
            </w:r>
          </w:p>
        </w:tc>
        <w:tc>
          <w:tcPr>
            <w:tcW w:type="dxa" w:w="13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Nivel (Tarea 5)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ACT-001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Base de datos de clientes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Información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— Datos personales LOPDP</w:t>
            </w:r>
          </w:p>
        </w:tc>
        <w:tc>
          <w:tcPr>
            <w:tcW w:type="dxa" w:w="1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 — Crítico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ACT-002</w:t>
            </w:r>
          </w:p>
        </w:tc>
        <w:tc>
          <w:tcPr>
            <w:tcW w:type="dxa" w:w="26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ERP / Sistema de gestión</w:t>
            </w:r>
          </w:p>
        </w:tc>
        <w:tc>
          <w:tcPr>
            <w:tcW w:type="dxa" w:w="1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Software</w:t>
            </w:r>
          </w:p>
        </w:tc>
        <w:tc>
          <w:tcPr>
            <w:tcW w:type="dxa" w:w="2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— Criticidad operacional</w:t>
            </w:r>
          </w:p>
        </w:tc>
        <w:tc>
          <w:tcPr>
            <w:tcW w:type="dxa" w:w="13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 — Alto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ACT-003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Servidores de producción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Hardware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— Infraestructura crítica</w:t>
            </w:r>
          </w:p>
        </w:tc>
        <w:tc>
          <w:tcPr>
            <w:tcW w:type="dxa" w:w="1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 — Alto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ACT-004</w:t>
            </w:r>
          </w:p>
        </w:tc>
        <w:tc>
          <w:tcPr>
            <w:tcW w:type="dxa" w:w="26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Firewall / IDS perimetral</w:t>
            </w:r>
          </w:p>
        </w:tc>
        <w:tc>
          <w:tcPr>
            <w:tcW w:type="dxa" w:w="1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Red y comunicaciones</w:t>
            </w:r>
          </w:p>
        </w:tc>
        <w:tc>
          <w:tcPr>
            <w:tcW w:type="dxa" w:w="2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— Perímetro de seguridad</w:t>
            </w:r>
          </w:p>
        </w:tc>
        <w:tc>
          <w:tcPr>
            <w:tcW w:type="dxa" w:w="13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 — Alto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ACT-005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Servicio de correo corporativo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Servicios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Media — Productividad</w:t>
            </w:r>
          </w:p>
        </w:tc>
        <w:tc>
          <w:tcPr>
            <w:tcW w:type="dxa" w:w="1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 — Significativo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ACT-006</w:t>
            </w:r>
          </w:p>
        </w:tc>
        <w:tc>
          <w:tcPr>
            <w:tcW w:type="dxa" w:w="26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Administradores de sistemas</w:t>
            </w:r>
          </w:p>
        </w:tc>
        <w:tc>
          <w:tcPr>
            <w:tcW w:type="dxa" w:w="1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Humanos</w:t>
            </w:r>
          </w:p>
        </w:tc>
        <w:tc>
          <w:tcPr>
            <w:tcW w:type="dxa" w:w="2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— Acceso privilegiado</w:t>
            </w:r>
          </w:p>
        </w:tc>
        <w:tc>
          <w:tcPr>
            <w:tcW w:type="dxa" w:w="13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 — Alto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ACT-007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Reputación e imagen digital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Intangibles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— Posicionamiento</w:t>
            </w:r>
          </w:p>
        </w:tc>
        <w:tc>
          <w:tcPr>
            <w:tcW w:type="dxa" w:w="1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 — Alto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VI. Valoración CIA de activos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Sobre cada activo del inventario se aplica una valoración de Confidencialidad (C), Integridad (I) y Disponibilidad (D) en escala 1–5, conforme a la Guía SPDP-SPD-2025-0003-R y a ISO/IEC 27005. Valoración CIA = C×0,40 + I×0,35 + D×0,25.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000"/>
        <w:gridCol w:w="3550"/>
      </w:tblGrid>
      <w:tr>
        <w:trPr>
          <w:tblHeader/>
        </w:trPr>
        <w:tc>
          <w:tcPr>
            <w:tcW w:type="dxa" w:w="28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Activo</w:t>
            </w:r>
          </w:p>
        </w:tc>
        <w:tc>
          <w:tcPr>
            <w:tcW w:type="dxa" w:w="10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</w:t>
            </w:r>
          </w:p>
        </w:tc>
        <w:tc>
          <w:tcPr>
            <w:tcW w:type="dxa" w:w="10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</w:t>
            </w:r>
          </w:p>
        </w:tc>
        <w:tc>
          <w:tcPr>
            <w:tcW w:type="dxa" w:w="10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</w:t>
            </w:r>
          </w:p>
        </w:tc>
        <w:tc>
          <w:tcPr>
            <w:tcW w:type="dxa" w:w="35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Valoración CIA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Base de datos clientes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(4.67)</w:t>
            </w:r>
          </w:p>
        </w:tc>
      </w:tr>
      <w:tr>
        <w:tc>
          <w:tcPr>
            <w:tcW w:type="dxa" w:w="28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ERP / Sistema gestión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(4.67)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Servidores producción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(4.33)</w:t>
            </w:r>
          </w:p>
        </w:tc>
      </w:tr>
      <w:tr>
        <w:tc>
          <w:tcPr>
            <w:tcW w:type="dxa" w:w="28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Firewall / IDS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(4.00)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Correo corporativo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Moderado (3.33)</w:t>
            </w:r>
          </w:p>
        </w:tc>
      </w:tr>
      <w:tr>
        <w:tc>
          <w:tcPr>
            <w:tcW w:type="dxa" w:w="28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Administradores TI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 (4.33)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Reputación digital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Significativo (3.33)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VII. Identificación de amenazas, vulnerabilidades y controles existentes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Esta fase incorpora los tres registros exigidos textualmente por la consigna en el punto 2 ("Registro de amenazas, vulnerabilidades y controles existentes"). En la versión inicial de la Tarea 8, los controles solo se documentaban en la fase de tratamiento; en esta versión final se agrega el catálogo de controles existentes como registro propio de la fase de identificación, coherente con el aplicativo corregido.</w:t>
      </w:r>
    </w:p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7.1 Catálogo de amenazas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1600"/>
        <w:gridCol w:w="3450"/>
      </w:tblGrid>
      <w:tr>
        <w:trPr>
          <w:tblHeader/>
        </w:trPr>
        <w:tc>
          <w:tcPr>
            <w:tcW w:type="dxa" w:w="11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2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Amenaza</w:t>
            </w:r>
          </w:p>
        </w:tc>
        <w:tc>
          <w:tcPr>
            <w:tcW w:type="dxa" w:w="16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Origen</w:t>
            </w:r>
          </w:p>
        </w:tc>
        <w:tc>
          <w:tcPr>
            <w:tcW w:type="dxa" w:w="34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Activos expuestos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AME-01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Ransomware / Malware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Externa</w:t>
            </w:r>
          </w:p>
        </w:tc>
        <w:tc>
          <w:tcPr>
            <w:tcW w:type="dxa" w:w="3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ACT-001, ACT-002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AME-02</w:t>
            </w:r>
          </w:p>
        </w:tc>
        <w:tc>
          <w:tcPr>
            <w:tcW w:type="dxa" w:w="3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Acceso no autorizado externo</w:t>
            </w:r>
          </w:p>
        </w:tc>
        <w:tc>
          <w:tcPr>
            <w:tcW w:type="dxa" w:w="16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Externa</w:t>
            </w:r>
          </w:p>
        </w:tc>
        <w:tc>
          <w:tcPr>
            <w:tcW w:type="dxa" w:w="34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ACT-001, ACT-004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AME-03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Error humano / Insider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Interna</w:t>
            </w:r>
          </w:p>
        </w:tc>
        <w:tc>
          <w:tcPr>
            <w:tcW w:type="dxa" w:w="3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ACT-001, ACT-006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AME-04</w:t>
            </w:r>
          </w:p>
        </w:tc>
        <w:tc>
          <w:tcPr>
            <w:tcW w:type="dxa" w:w="3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Falla de servicio (DDoS)</w:t>
            </w:r>
          </w:p>
        </w:tc>
        <w:tc>
          <w:tcPr>
            <w:tcW w:type="dxa" w:w="16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Externa</w:t>
            </w:r>
          </w:p>
        </w:tc>
        <w:tc>
          <w:tcPr>
            <w:tcW w:type="dxa" w:w="34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ACT-003, ACT-004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AME-05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Brecha de proveedor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Tercero</w:t>
            </w:r>
          </w:p>
        </w:tc>
        <w:tc>
          <w:tcPr>
            <w:tcW w:type="dxa" w:w="3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ACT-005, ACT-002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AME-06</w:t>
            </w:r>
          </w:p>
        </w:tc>
        <w:tc>
          <w:tcPr>
            <w:tcW w:type="dxa" w:w="3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Phishing dirigido</w:t>
            </w:r>
          </w:p>
        </w:tc>
        <w:tc>
          <w:tcPr>
            <w:tcW w:type="dxa" w:w="16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Externa</w:t>
            </w:r>
          </w:p>
        </w:tc>
        <w:tc>
          <w:tcPr>
            <w:tcW w:type="dxa" w:w="34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ACT-006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AME-07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Vulnerabilidad de software</w:t>
            </w:r>
          </w:p>
        </w:tc>
        <w:tc>
          <w:tcPr>
            <w:tcW w:type="dxa" w:w="1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Externa</w:t>
            </w:r>
          </w:p>
        </w:tc>
        <w:tc>
          <w:tcPr>
            <w:tcW w:type="dxa" w:w="3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ACT-002, ACT-003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7.2 Catálogo de vulnerabilidades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700"/>
        <w:gridCol w:w="1550"/>
        <w:gridCol w:w="3000"/>
      </w:tblGrid>
      <w:tr>
        <w:trPr>
          <w:tblHeader/>
        </w:trPr>
        <w:tc>
          <w:tcPr>
            <w:tcW w:type="dxa" w:w="11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7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Vulnerabilidad</w:t>
            </w:r>
          </w:p>
        </w:tc>
        <w:tc>
          <w:tcPr>
            <w:tcW w:type="dxa" w:w="15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0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Activos afectados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VUL-01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Ausencia de MFA en sistemas críticos</w:t>
            </w:r>
          </w:p>
        </w:tc>
        <w:tc>
          <w:tcPr>
            <w:tcW w:type="dxa" w:w="1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Tecnológica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ACT-001, ACT-002, ACT-006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VUL-02</w:t>
            </w:r>
          </w:p>
        </w:tc>
        <w:tc>
          <w:tcPr>
            <w:tcW w:type="dxa" w:w="37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Parches de seguridad desactualizados</w:t>
            </w:r>
          </w:p>
        </w:tc>
        <w:tc>
          <w:tcPr>
            <w:tcW w:type="dxa" w:w="15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Tecnológica</w:t>
            </w:r>
          </w:p>
        </w:tc>
        <w:tc>
          <w:tcPr>
            <w:tcW w:type="dxa" w:w="3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ACT-002, ACT-003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VUL-03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Falta de segmentación de red</w:t>
            </w:r>
          </w:p>
        </w:tc>
        <w:tc>
          <w:tcPr>
            <w:tcW w:type="dxa" w:w="1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Tecnológica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ACT-004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VUL-04</w:t>
            </w:r>
          </w:p>
        </w:tc>
        <w:tc>
          <w:tcPr>
            <w:tcW w:type="dxa" w:w="37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Capacitación insuficiente en ciberseguridad</w:t>
            </w:r>
          </w:p>
        </w:tc>
        <w:tc>
          <w:tcPr>
            <w:tcW w:type="dxa" w:w="15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Organizacional</w:t>
            </w:r>
          </w:p>
        </w:tc>
        <w:tc>
          <w:tcPr>
            <w:tcW w:type="dxa" w:w="3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ACT-006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VUL-05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Ausencia de política de contraseñas robusta</w:t>
            </w:r>
          </w:p>
        </w:tc>
        <w:tc>
          <w:tcPr>
            <w:tcW w:type="dxa" w:w="1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Organizacional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ACT-001, ACT-002, ACT-006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VUL-06</w:t>
            </w:r>
          </w:p>
        </w:tc>
        <w:tc>
          <w:tcPr>
            <w:tcW w:type="dxa" w:w="37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Backups sin cifrar fuera del perímetro</w:t>
            </w:r>
          </w:p>
        </w:tc>
        <w:tc>
          <w:tcPr>
            <w:tcW w:type="dxa" w:w="15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De procesos</w:t>
            </w:r>
          </w:p>
        </w:tc>
        <w:tc>
          <w:tcPr>
            <w:tcW w:type="dxa" w:w="3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ACT-001, ACT-003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VUL-07</w:t>
            </w:r>
          </w:p>
        </w:tc>
        <w:tc>
          <w:tcPr>
            <w:tcW w:type="dxa" w:w="3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Sin monitoreo de logs en tiempo real</w:t>
            </w:r>
          </w:p>
        </w:tc>
        <w:tc>
          <w:tcPr>
            <w:tcW w:type="dxa" w:w="1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Tecnológica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ACT-003, ACT-004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7.3 Catálogo de controles existentes (registro de identificación — corrección aplicada)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Controles que ya operan en la organización al momento de la identificación, previos y distintos al plan formal de tratamiento. Se documentan aquí para que la fase de identificación quede completa por sí misma, y para que la fase de tratamiento (Sección IX) pueda partir de ellos en lugar de proponer controles desde cero.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900"/>
        <w:gridCol w:w="1200"/>
        <w:gridCol w:w="1650"/>
        <w:gridCol w:w="1300"/>
        <w:gridCol w:w="1300"/>
      </w:tblGrid>
      <w:tr>
        <w:trPr>
          <w:tblHeader/>
        </w:trPr>
        <w:tc>
          <w:tcPr>
            <w:tcW w:type="dxa" w:w="10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9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 existente</w:t>
            </w:r>
          </w:p>
        </w:tc>
        <w:tc>
          <w:tcPr>
            <w:tcW w:type="dxa" w:w="12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6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Vulns. cubiertas</w:t>
            </w:r>
          </w:p>
        </w:tc>
        <w:tc>
          <w:tcPr>
            <w:tcW w:type="dxa" w:w="13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Eficacia est.</w:t>
            </w:r>
          </w:p>
        </w:tc>
        <w:tc>
          <w:tcPr>
            <w:tcW w:type="dxa" w:w="13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CEX-01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Antivirus / EDR básico en endpoints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Detectivo</w:t>
            </w:r>
          </w:p>
        </w:tc>
        <w:tc>
          <w:tcPr>
            <w:tcW w:type="dxa" w:w="1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VUL-02, VUL-07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20%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Implementado</w:t>
            </w:r>
          </w:p>
        </w:tc>
      </w:tr>
      <w:tr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CEX-02</w:t>
            </w:r>
          </w:p>
        </w:tc>
        <w:tc>
          <w:tcPr>
            <w:tcW w:type="dxa" w:w="2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Respaldo periódico de base de datos</w:t>
            </w:r>
          </w:p>
        </w:tc>
        <w:tc>
          <w:tcPr>
            <w:tcW w:type="dxa" w:w="1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Preventivo</w:t>
            </w:r>
          </w:p>
        </w:tc>
        <w:tc>
          <w:tcPr>
            <w:tcW w:type="dxa" w:w="16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VUL-06</w:t>
            </w:r>
          </w:p>
        </w:tc>
        <w:tc>
          <w:tcPr>
            <w:tcW w:type="dxa" w:w="13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25%</w:t>
            </w:r>
          </w:p>
        </w:tc>
        <w:tc>
          <w:tcPr>
            <w:tcW w:type="dxa" w:w="13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Parcial</w:t>
            </w:r>
          </w:p>
        </w:tc>
      </w:tr>
      <w:tr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CEX-03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Charla anual de concienciación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Preventivo</w:t>
            </w:r>
          </w:p>
        </w:tc>
        <w:tc>
          <w:tcPr>
            <w:tcW w:type="dxa" w:w="1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VUL-04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15%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Implementado</w:t>
            </w:r>
          </w:p>
        </w:tc>
      </w:tr>
      <w:tr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CEX-04</w:t>
            </w:r>
          </w:p>
        </w:tc>
        <w:tc>
          <w:tcPr>
            <w:tcW w:type="dxa" w:w="2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Contraseñas mínimas de 8 caracteres</w:t>
            </w:r>
          </w:p>
        </w:tc>
        <w:tc>
          <w:tcPr>
            <w:tcW w:type="dxa" w:w="1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Preventivo</w:t>
            </w:r>
          </w:p>
        </w:tc>
        <w:tc>
          <w:tcPr>
            <w:tcW w:type="dxa" w:w="16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VUL-05</w:t>
            </w:r>
          </w:p>
        </w:tc>
        <w:tc>
          <w:tcPr>
            <w:tcW w:type="dxa" w:w="13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10%</w:t>
            </w:r>
          </w:p>
        </w:tc>
        <w:tc>
          <w:tcPr>
            <w:tcW w:type="dxa" w:w="13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Implementado</w:t>
            </w:r>
          </w:p>
        </w:tc>
      </w:tr>
    </w:tbl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Integración con el tratamiento: al abrir el tratamiento de un escenario, el aplicativo cruza automáticamente sus vulnerabilidades con este catálogo y sugiere los controles existentes relevantes, permitiendo copiarlos al plan de tratamiento como punto de partida editable (eficacia y tipo iguales al catálogo; ISO y responsable se completan en el contexto del escenario).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VIII. Valoración de riesgos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 = P × I, donde R toma valores entre 1 y 25, P es la probabilidad de ocurrencia (escala 1–5) e I es el impacto sobre el activo (escala 1–5, derivado de la valoración CIA).</w:t>
      </w:r>
    </w:p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Escalas de probabilidad e impacto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6550"/>
      </w:tblGrid>
      <w:tr>
        <w:trPr>
          <w:tblHeader/>
        </w:trPr>
        <w:tc>
          <w:tcPr>
            <w:tcW w:type="dxa" w:w="9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19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Probabilidad</w:t>
            </w:r>
          </w:p>
        </w:tc>
        <w:tc>
          <w:tcPr>
            <w:tcW w:type="dxa" w:w="65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 de asignación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Rara</w:t>
            </w:r>
          </w:p>
        </w:tc>
        <w:tc>
          <w:tcPr>
            <w:tcW w:type="dxa" w:w="6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Altamente improbable; sin precedentes en el sector.</w:t>
            </w:r>
          </w:p>
        </w:tc>
      </w:tr>
      <w:tr>
        <w:tc>
          <w:tcPr>
            <w:tcW w:type="dxa" w:w="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Improbable</w:t>
            </w:r>
          </w:p>
        </w:tc>
        <w:tc>
          <w:tcPr>
            <w:tcW w:type="dxa" w:w="65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Ocurrencia menor a una vez en 5 años.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Posible</w:t>
            </w:r>
          </w:p>
        </w:tc>
        <w:tc>
          <w:tcPr>
            <w:tcW w:type="dxa" w:w="6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Ocurrencia esperada entre 1 y 3 veces en 5 años.</w:t>
            </w:r>
          </w:p>
        </w:tc>
      </w:tr>
      <w:tr>
        <w:tc>
          <w:tcPr>
            <w:tcW w:type="dxa" w:w="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Probable</w:t>
            </w:r>
          </w:p>
        </w:tc>
        <w:tc>
          <w:tcPr>
            <w:tcW w:type="dxa" w:w="65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Antecedentes en el sector u organización; ocurrencia anual.</w:t>
            </w:r>
          </w:p>
        </w:tc>
      </w:tr>
      <w:tr>
        <w:tc>
          <w:tcPr>
            <w:tcW w:type="dxa" w:w="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Casi segura</w:t>
            </w:r>
          </w:p>
        </w:tc>
        <w:tc>
          <w:tcPr>
            <w:tcW w:type="dxa" w:w="65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Se espera que ocurra en la mayoría de circunstancias.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Mapa de calor de riesgos (5×5) — R = P × I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3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Impacto ↓ / Probabilidad →</w:t>
            </w:r>
          </w:p>
        </w:tc>
        <w:tc>
          <w:tcPr>
            <w:tcW w:type="dxa" w:w="14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Rara (1)</w:t>
            </w:r>
          </w:p>
        </w:tc>
        <w:tc>
          <w:tcPr>
            <w:tcW w:type="dxa" w:w="14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Improbable (2)</w:t>
            </w:r>
          </w:p>
        </w:tc>
        <w:tc>
          <w:tcPr>
            <w:tcW w:type="dxa" w:w="14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Posible (3)</w:t>
            </w:r>
          </w:p>
        </w:tc>
        <w:tc>
          <w:tcPr>
            <w:tcW w:type="dxa" w:w="14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Probable (4)</w:t>
            </w:r>
          </w:p>
        </w:tc>
        <w:tc>
          <w:tcPr>
            <w:tcW w:type="dxa" w:w="14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Casi segura (5)</w:t>
            </w:r>
          </w:p>
        </w:tc>
      </w:tr>
      <w:tr>
        <w:tc>
          <w:tcPr>
            <w:tcW w:type="dxa" w:w="2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Muy alto (5)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15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20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23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Alto (4)</w:t>
            </w:r>
          </w:p>
        </w:tc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16</w:t>
            </w:r>
          </w:p>
        </w:tc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2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Moderado (3)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9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3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Bajo (2)</w:t>
            </w:r>
          </w:p>
        </w:tc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2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Muy bajo (1)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Escenarios de riesgo evaluados</w:t>
      </w:r>
    </w:p>
    <w:tbl>
      <w:tblPr>
        <w:tblW w:type="dxa" w:w="8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2500"/>
        <w:gridCol w:w="900"/>
        <w:gridCol w:w="1200"/>
        <w:gridCol w:w="500"/>
        <w:gridCol w:w="500"/>
        <w:gridCol w:w="700"/>
        <w:gridCol w:w="1300"/>
      </w:tblGrid>
      <w:tr>
        <w:trPr>
          <w:tblHeader/>
        </w:trPr>
        <w:tc>
          <w:tcPr>
            <w:tcW w:type="dxa" w:w="7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9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Amenaza</w:t>
            </w:r>
          </w:p>
        </w:tc>
        <w:tc>
          <w:tcPr>
            <w:tcW w:type="dxa" w:w="12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Vulns.</w:t>
            </w:r>
          </w:p>
        </w:tc>
        <w:tc>
          <w:tcPr>
            <w:tcW w:type="dxa" w:w="5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</w:t>
            </w:r>
          </w:p>
        </w:tc>
        <w:tc>
          <w:tcPr>
            <w:tcW w:type="dxa" w:w="5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</w:t>
            </w:r>
          </w:p>
        </w:tc>
        <w:tc>
          <w:tcPr>
            <w:tcW w:type="dxa" w:w="7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R=I×P</w:t>
            </w:r>
          </w:p>
        </w:tc>
        <w:tc>
          <w:tcPr>
            <w:tcW w:type="dxa" w:w="13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tcW w:type="dxa" w:w="7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RIE-01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Ransomware en BD clientes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AME-01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VUL-01,02</w:t>
            </w:r>
          </w:p>
        </w:tc>
        <w:tc>
          <w:tcPr>
            <w:tcW w:type="dxa" w:w="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Crítico</w:t>
            </w:r>
          </w:p>
        </w:tc>
      </w:tr>
      <w:tr>
        <w:tc>
          <w:tcPr>
            <w:tcW w:type="dxa" w:w="7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RIE-02</w:t>
            </w:r>
          </w:p>
        </w:tc>
        <w:tc>
          <w:tcPr>
            <w:tcW w:type="dxa" w:w="25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Acceso no autorizado externo</w:t>
            </w:r>
          </w:p>
        </w:tc>
        <w:tc>
          <w:tcPr>
            <w:tcW w:type="dxa" w:w="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AME-02</w:t>
            </w:r>
          </w:p>
        </w:tc>
        <w:tc>
          <w:tcPr>
            <w:tcW w:type="dxa" w:w="1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VUL-01,05</w:t>
            </w:r>
          </w:p>
        </w:tc>
        <w:tc>
          <w:tcPr>
            <w:tcW w:type="dxa" w:w="5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</w:t>
            </w:r>
          </w:p>
        </w:tc>
        <w:tc>
          <w:tcPr>
            <w:tcW w:type="dxa" w:w="5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15</w:t>
            </w:r>
          </w:p>
        </w:tc>
        <w:tc>
          <w:tcPr>
            <w:tcW w:type="dxa" w:w="13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7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RIE-03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Fuga por insider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AME-03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VUL-04,05</w:t>
            </w:r>
          </w:p>
        </w:tc>
        <w:tc>
          <w:tcPr>
            <w:tcW w:type="dxa" w:w="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7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RIE-04</w:t>
            </w:r>
          </w:p>
        </w:tc>
        <w:tc>
          <w:tcPr>
            <w:tcW w:type="dxa" w:w="25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DDoS a servidores</w:t>
            </w:r>
          </w:p>
        </w:tc>
        <w:tc>
          <w:tcPr>
            <w:tcW w:type="dxa" w:w="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AME-04</w:t>
            </w:r>
          </w:p>
        </w:tc>
        <w:tc>
          <w:tcPr>
            <w:tcW w:type="dxa" w:w="1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VUL-03,07</w:t>
            </w:r>
          </w:p>
        </w:tc>
        <w:tc>
          <w:tcPr>
            <w:tcW w:type="dxa" w:w="5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7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RIE-05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Brecha de proveedor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AME-05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VUL-06</w:t>
            </w:r>
          </w:p>
        </w:tc>
        <w:tc>
          <w:tcPr>
            <w:tcW w:type="dxa" w:w="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Moderado</w:t>
            </w:r>
          </w:p>
        </w:tc>
      </w:tr>
      <w:tr>
        <w:tc>
          <w:tcPr>
            <w:tcW w:type="dxa" w:w="7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RIE-06</w:t>
            </w:r>
          </w:p>
        </w:tc>
        <w:tc>
          <w:tcPr>
            <w:tcW w:type="dxa" w:w="25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Phishing a privilegiados</w:t>
            </w:r>
          </w:p>
        </w:tc>
        <w:tc>
          <w:tcPr>
            <w:tcW w:type="dxa" w:w="9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AME-06</w:t>
            </w:r>
          </w:p>
        </w:tc>
        <w:tc>
          <w:tcPr>
            <w:tcW w:type="dxa" w:w="1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VUL-04</w:t>
            </w:r>
          </w:p>
        </w:tc>
        <w:tc>
          <w:tcPr>
            <w:tcW w:type="dxa" w:w="5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16</w:t>
            </w:r>
          </w:p>
        </w:tc>
        <w:tc>
          <w:tcPr>
            <w:tcW w:type="dxa" w:w="13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Crítico</w:t>
            </w:r>
          </w:p>
        </w:tc>
      </w:tr>
      <w:tr>
        <w:tc>
          <w:tcPr>
            <w:tcW w:type="dxa" w:w="7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RIE-07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Explotación CVE en ERP</w:t>
            </w:r>
          </w:p>
        </w:tc>
        <w:tc>
          <w:tcPr>
            <w:tcW w:type="dxa" w:w="9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AME-07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VUL-02</w:t>
            </w:r>
          </w:p>
        </w:tc>
        <w:tc>
          <w:tcPr>
            <w:tcW w:type="dxa" w:w="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Alto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IX. Evaluación y priorización de riesgos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700"/>
        <w:gridCol w:w="3450"/>
      </w:tblGrid>
      <w:tr>
        <w:trPr>
          <w:tblHeader/>
        </w:trPr>
        <w:tc>
          <w:tcPr>
            <w:tcW w:type="dxa" w:w="14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 (P×I)</w:t>
            </w:r>
          </w:p>
        </w:tc>
        <w:tc>
          <w:tcPr>
            <w:tcW w:type="dxa" w:w="18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27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Plazo de atención</w:t>
            </w:r>
          </w:p>
        </w:tc>
        <w:tc>
          <w:tcPr>
            <w:tcW w:type="dxa" w:w="34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</w:tr>
      <w:tr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15 – 25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 — Crítico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Inmediata (≤ 30 días)</w:t>
            </w:r>
          </w:p>
        </w:tc>
        <w:tc>
          <w:tcPr>
            <w:tcW w:type="dxa" w:w="3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CISO / Dirección ejecutiva</w:t>
            </w:r>
          </w:p>
        </w:tc>
      </w:tr>
      <w:tr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10 – 14</w:t>
            </w:r>
          </w:p>
        </w:tc>
        <w:tc>
          <w:tcPr>
            <w:tcW w:type="dxa" w:w="18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4 — Alto</w:t>
            </w:r>
          </w:p>
        </w:tc>
        <w:tc>
          <w:tcPr>
            <w:tcW w:type="dxa" w:w="27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Corto plazo (31–90 días)</w:t>
            </w:r>
          </w:p>
        </w:tc>
        <w:tc>
          <w:tcPr>
            <w:tcW w:type="dxa" w:w="34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Gerencia TI / CISO</w:t>
            </w:r>
          </w:p>
        </w:tc>
      </w:tr>
      <w:tr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5 – 9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 — Significativo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Mediano plazo (91–180 días)</w:t>
            </w:r>
          </w:p>
        </w:tc>
        <w:tc>
          <w:tcPr>
            <w:tcW w:type="dxa" w:w="3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Responsable de área</w:t>
            </w:r>
          </w:p>
        </w:tc>
      </w:tr>
      <w:tr>
        <w:tc>
          <w:tcPr>
            <w:tcW w:type="dxa" w:w="14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 – 4</w:t>
            </w:r>
          </w:p>
        </w:tc>
        <w:tc>
          <w:tcPr>
            <w:tcW w:type="dxa" w:w="18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 — Moderado</w:t>
            </w:r>
          </w:p>
        </w:tc>
        <w:tc>
          <w:tcPr>
            <w:tcW w:type="dxa" w:w="27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Largo plazo (&gt; 180 días)</w:t>
            </w:r>
          </w:p>
        </w:tc>
        <w:tc>
          <w:tcPr>
            <w:tcW w:type="dxa" w:w="34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Responsable de área</w:t>
            </w:r>
          </w:p>
        </w:tc>
      </w:tr>
      <w:tr>
        <w:tc>
          <w:tcPr>
            <w:tcW w:type="dxa" w:w="14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 – 2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 — Bajo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Ciclo ordinario de revisión</w:t>
            </w:r>
          </w:p>
        </w:tc>
        <w:tc>
          <w:tcPr>
            <w:tcW w:type="dxa" w:w="3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Custodio técnico</w:t>
            </w:r>
          </w:p>
        </w:tc>
      </w:tr>
    </w:tbl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Prioridad 1 — Crítico (R ≥ 15): RIE-01 (Ransomware, R=20), RIE-06 (Phishing a privilegiados, R=16). Atención inmediata ≤ 30 días.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Prioridad 2 — Alto (R = 10–14): RIE-02 (R=15), RIE-03 (R=12), RIE-04 (R=12), RIE-07 (R=12). Atención en 31–90 días.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Prioridad 3 — Moderado (R = 5–9): RIE-05 (R=6). Atención en 91–180 días.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X. Tratamiento del riesgo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Cuatro estrategias de tratamiento: Mitigar (controles técnicos y organizativos que reducen probabilidad o impacto — prioritaria para riesgos Críticos y Altos), Transferir (seguro cibernético, SLA con proveedor, externalización), Aceptar (documentar formalmente la convivencia con el riesgo cuando el costo de mitigar supera el impacto esperado, para niveles Moderado o Bajo) y Evitar (eliminar la actividad, proceso o tecnología que genera el riesgo).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Los controles propuestos toman como referencia explícita el catálogo de ISO/IEC 27002:2022 (tal como exige la consigna), organizados según el Anexo A de ISO/IEC 27001:2022. El plan de tratamiento parte, cuando existen, de los controles ya catalogados en la Sección 7.3: el aplicativo los sugiere automáticamente por coincidencia de vulnerabilidad y permite copiarlos al escenario como punto de partida editable.</w:t>
      </w:r>
    </w:p>
    <w:tbl>
      <w:tblPr>
        <w:tblW w:type="dxa" w:w="8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800"/>
        <w:gridCol w:w="1450"/>
        <w:gridCol w:w="2600"/>
        <w:gridCol w:w="1250"/>
        <w:gridCol w:w="1000"/>
      </w:tblGrid>
      <w:tr>
        <w:trPr>
          <w:tblHeader/>
        </w:trPr>
        <w:tc>
          <w:tcPr>
            <w:tcW w:type="dxa" w:w="7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4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Estrategia</w:t>
            </w:r>
          </w:p>
        </w:tc>
        <w:tc>
          <w:tcPr>
            <w:tcW w:type="dxa" w:w="26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Controles / medidas</w:t>
            </w:r>
          </w:p>
        </w:tc>
        <w:tc>
          <w:tcPr>
            <w:tcW w:type="dxa" w:w="12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0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</w:tr>
      <w:tr>
        <w:tc>
          <w:tcPr>
            <w:tcW w:type="dxa" w:w="7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RIE-01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Ransomware BD</w:t>
            </w:r>
          </w:p>
        </w:tc>
        <w:tc>
          <w:tcPr>
            <w:tcW w:type="dxa" w:w="1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Mitigar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MFA, cifrado AES-256, backups offsite, EDR</w:t>
            </w:r>
          </w:p>
        </w:tc>
        <w:tc>
          <w:tcPr>
            <w:tcW w:type="dxa" w:w="1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CISO / TI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≤30 días</w:t>
            </w:r>
          </w:p>
        </w:tc>
      </w:tr>
      <w:tr>
        <w:tc>
          <w:tcPr>
            <w:tcW w:type="dxa" w:w="7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RIE-06</w:t>
            </w:r>
          </w:p>
        </w:tc>
        <w:tc>
          <w:tcPr>
            <w:tcW w:type="dxa" w:w="18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Phishing privilegiados</w:t>
            </w:r>
          </w:p>
        </w:tc>
        <w:tc>
          <w:tcPr>
            <w:tcW w:type="dxa" w:w="14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Mitigar</w:t>
            </w:r>
          </w:p>
        </w:tc>
        <w:tc>
          <w:tcPr>
            <w:tcW w:type="dxa" w:w="26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Concienciación, simulaciones, MFA obligatorio</w:t>
            </w:r>
          </w:p>
        </w:tc>
        <w:tc>
          <w:tcPr>
            <w:tcW w:type="dxa" w:w="12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CISO / RRHH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≤30 días</w:t>
            </w:r>
          </w:p>
        </w:tc>
      </w:tr>
      <w:tr>
        <w:tc>
          <w:tcPr>
            <w:tcW w:type="dxa" w:w="7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RIE-02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Acceso no autorizado</w:t>
            </w:r>
          </w:p>
        </w:tc>
        <w:tc>
          <w:tcPr>
            <w:tcW w:type="dxa" w:w="1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Mitigar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Revisión ACLs, segmentación, SIEM</w:t>
            </w:r>
          </w:p>
        </w:tc>
        <w:tc>
          <w:tcPr>
            <w:tcW w:type="dxa" w:w="1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Gerencia TI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31–90 días</w:t>
            </w:r>
          </w:p>
        </w:tc>
      </w:tr>
      <w:tr>
        <w:tc>
          <w:tcPr>
            <w:tcW w:type="dxa" w:w="7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RIE-03</w:t>
            </w:r>
          </w:p>
        </w:tc>
        <w:tc>
          <w:tcPr>
            <w:tcW w:type="dxa" w:w="18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Fuga por insider</w:t>
            </w:r>
          </w:p>
        </w:tc>
        <w:tc>
          <w:tcPr>
            <w:tcW w:type="dxa" w:w="14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Mitigar+Transferir</w:t>
            </w:r>
          </w:p>
        </w:tc>
        <w:tc>
          <w:tcPr>
            <w:tcW w:type="dxa" w:w="26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DLP, segregación funciones, seguro</w:t>
            </w:r>
          </w:p>
        </w:tc>
        <w:tc>
          <w:tcPr>
            <w:tcW w:type="dxa" w:w="12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Legal + TI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31–90 días</w:t>
            </w:r>
          </w:p>
        </w:tc>
      </w:tr>
      <w:tr>
        <w:tc>
          <w:tcPr>
            <w:tcW w:type="dxa" w:w="7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RIE-04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DDoS</w:t>
            </w:r>
          </w:p>
        </w:tc>
        <w:tc>
          <w:tcPr>
            <w:tcW w:type="dxa" w:w="1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Transferir+Mitigar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Anti-DDoS/CDN, contrato resiliencia ISP</w:t>
            </w:r>
          </w:p>
        </w:tc>
        <w:tc>
          <w:tcPr>
            <w:tcW w:type="dxa" w:w="1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Gerencia TI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31–90 días</w:t>
            </w:r>
          </w:p>
        </w:tc>
      </w:tr>
      <w:tr>
        <w:tc>
          <w:tcPr>
            <w:tcW w:type="dxa" w:w="7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RIE-07</w:t>
            </w:r>
          </w:p>
        </w:tc>
        <w:tc>
          <w:tcPr>
            <w:tcW w:type="dxa" w:w="18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Explotación CVE</w:t>
            </w:r>
          </w:p>
        </w:tc>
        <w:tc>
          <w:tcPr>
            <w:tcW w:type="dxa" w:w="14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Mitigar</w:t>
            </w:r>
          </w:p>
        </w:tc>
        <w:tc>
          <w:tcPr>
            <w:tcW w:type="dxa" w:w="26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Gestión de parches, escaneo mensual</w:t>
            </w:r>
          </w:p>
        </w:tc>
        <w:tc>
          <w:tcPr>
            <w:tcW w:type="dxa" w:w="12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Custodio TI</w:t>
            </w:r>
          </w:p>
        </w:tc>
        <w:tc>
          <w:tcPr>
            <w:tcW w:type="dxa" w:w="1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91–180 días</w:t>
            </w:r>
          </w:p>
        </w:tc>
      </w:tr>
      <w:tr>
        <w:tc>
          <w:tcPr>
            <w:tcW w:type="dxa" w:w="7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RIE-05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Brecha proveedor</w:t>
            </w:r>
          </w:p>
        </w:tc>
        <w:tc>
          <w:tcPr>
            <w:tcW w:type="dxa" w:w="14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Aceptar+Mitigar</w:t>
            </w:r>
          </w:p>
        </w:tc>
        <w:tc>
          <w:tcPr>
            <w:tcW w:type="dxa" w:w="26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Cláusulas contractuales, auditoría anual</w:t>
            </w:r>
          </w:p>
        </w:tc>
        <w:tc>
          <w:tcPr>
            <w:tcW w:type="dxa" w:w="12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Dirección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91–180 días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XI. Cálculo de riesgo residual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Fase nueva, documentada explícitamente en esta versión final para reflejar el modelo ya implementado en js/calc.js. El riesgo residual se calcula sobre los controles cargados en cada escenario mediante una combinación multiplicativa de eficacias — no aditiva — porque los controles actúan sobre el riesgo remanente, no sobre el riesgo original completo: sumar eficacias directamente puede superar el 100% de reducción con apenas tres controles independientes, lo cual carece de sentido físico.</w:t>
      </w:r>
    </w:p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Fórmula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Factor de reducción por eje: factor = ∏(1 − eficacia_i), con un tope de reducción acumulada del 95% (factor mínimo = 0,05).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P_residual = P × factor_preventivos  (los controles preventivos reducen la probabilidad)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I_residual = I × factor_detectivos  (los controles detectivos reducen el impacto, al acortar tiempo de detección/respuesta)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R_residual = máx(P_residual × I_residual, 1)  (piso de 1: el riesgo residual nunca se reporta como cero)</w:t>
      </w:r>
    </w:p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Ejemplo aplicado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2100"/>
        <w:gridCol w:w="1350"/>
        <w:gridCol w:w="3050"/>
        <w:gridCol w:w="1050"/>
        <w:gridCol w:w="1050"/>
      </w:tblGrid>
      <w:tr>
        <w:trPr>
          <w:tblHeader/>
        </w:trPr>
        <w:tc>
          <w:tcPr>
            <w:tcW w:type="dxa" w:w="7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3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 inherente</w:t>
            </w:r>
          </w:p>
        </w:tc>
        <w:tc>
          <w:tcPr>
            <w:tcW w:type="dxa" w:w="30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Controles aplicados</w:t>
            </w:r>
          </w:p>
        </w:tc>
        <w:tc>
          <w:tcPr>
            <w:tcW w:type="dxa" w:w="10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 residual</w:t>
            </w:r>
          </w:p>
        </w:tc>
        <w:tc>
          <w:tcPr>
            <w:tcW w:type="dxa" w:w="10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Nivel residual</w:t>
            </w:r>
          </w:p>
        </w:tc>
      </w:tr>
      <w:tr>
        <w:tc>
          <w:tcPr>
            <w:tcW w:type="dxa" w:w="7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RIE-01</w:t>
            </w:r>
          </w:p>
        </w:tc>
        <w:tc>
          <w:tcPr>
            <w:tcW w:type="dxa" w:w="2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Ransomware BD clientes</w:t>
            </w:r>
          </w:p>
        </w:tc>
        <w:tc>
          <w:tcPr>
            <w:tcW w:type="dxa" w:w="13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20 (Crítico)</w:t>
            </w:r>
          </w:p>
        </w:tc>
        <w:tc>
          <w:tcPr>
            <w:tcW w:type="dxa" w:w="3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MFA 60% (Prev.), EDR 20% (Det.), cifrado backups 30% (Prev.)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6.40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Moderado</w:t>
            </w:r>
          </w:p>
        </w:tc>
      </w:tr>
      <w:tr>
        <w:tc>
          <w:tcPr>
            <w:tcW w:type="dxa" w:w="7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RIE-06</w:t>
            </w:r>
          </w:p>
        </w:tc>
        <w:tc>
          <w:tcPr>
            <w:tcW w:type="dxa" w:w="2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Phishing a privilegiados</w:t>
            </w:r>
          </w:p>
        </w:tc>
        <w:tc>
          <w:tcPr>
            <w:tcW w:type="dxa" w:w="13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16 (Crítico)</w:t>
            </w:r>
          </w:p>
        </w:tc>
        <w:tc>
          <w:tcPr>
            <w:tcW w:type="dxa" w:w="30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MFA obligatorio (Prev.) — sin control detectivo cargado</w:t>
            </w:r>
          </w:p>
        </w:tc>
        <w:tc>
          <w:tcPr>
            <w:tcW w:type="dxa" w:w="10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9.60</w:t>
            </w:r>
          </w:p>
        </w:tc>
        <w:tc>
          <w:tcPr>
            <w:tcW w:type="dxa" w:w="10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Significativo</w:t>
            </w:r>
          </w:p>
        </w:tc>
      </w:tr>
    </w:tbl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Alerta de asimetría de tratamiento: en RIE-06 el impacto residual permanece alto porque el plan de tratamiento no incluye ningún control detectivo — el aplicativo señala esta condición automáticamente cuando un escenario de nivel Crítico o Alto carece de controles de ese tipo, dirigiendo la atención del equipo hacia una brecha de diseño que el valor numérico por sí solo no evidenciaría con la misma claridad.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XII. Comunicación y consulta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Fase nueva, documentada como sección propia para separarla explícitamente del monitoreo (Fase XIV). Comprende dos instrumentos: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Bitácora de comunicación: registro de observaciones y recomendaciones con fecha, tipo, riesgo relacionado, emisor, receptor y estado de seguimiento.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Reportes por audiencia: tres vistas generadas a partir del mismo estado — Reporte ejecutivo (Dirección: riesgos críticos activos y exposición acumulada inherente/residual), Reporte por responsable de área (riesgos, nivel y controles pendientes por escenario) y Reporte de auditoría y cumplimiento (inventario de activos, escenarios con estrategia y riesgo residual, y registro completo de comunicaciones).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Nota de transparencia (ver también Sección XIII): estas vistas segmentan la información por audiencia dentro del mismo aplicativo, pero no implementan control de acceso con autenticación — cualquier persona con acceso al navegador puede ver los tres reportes. Esta limitación se declara explícitamente y no debe interpretarse como una segregación de permisos real.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XIII. Dilema ético y responsabilidad profesional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Sección exigida por el RC4 de la consigna (responsabilidades éticas y profesionales del ingeniero) y referenciada directamente desde la interfaz del aplicativo.</w:t>
      </w:r>
    </w:p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13.1 Transparencia sobre el alcance del control de acceso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Como se indica en la Sección XII, los "reportes por audiencia" no son un sistema de permisos: son vistas filtradas del mismo almacenamiento local. Presentar esta funcionalidad sin declarar su límite induciría a un directivo o auditor a asumir garantías de confidencialidad que el sistema no ofrece. La responsabilidad profesional exige declarar esta limitación de forma explícita, tanto en la documentación como en la propia interfaz — lo cual se implementó como buena práctica de este proyecto.</w:t>
      </w:r>
    </w:p>
    <w:p>
      <w:pPr>
        <w:pStyle w:val="Heading2"/>
        <w:spacing w:after="120" w:before="240"/>
      </w:pPr>
      <w:r>
        <w:rPr>
          <w:b/>
          <w:bCs/>
          <w:color w:val="2b4c8c"/>
          <w:sz w:val="24"/>
          <w:szCs w:val="24"/>
        </w:rPr>
        <w:t xml:space="preserve">13.2 Alcance de uso frente a datos regulados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ACT-001 (Base de datos de clientes) está clasificado como información regulada por la LOPDP. MERCI almacena su información en localStorage, sin cifrado y sin control de acceso, por lo que no debe usarse con datos reales de esa naturaleza sin incorporar antes autenticación, cifrado en reposo y una base de datos con control de acceso. Declarar este límite de alcance —y no solo las capacidades— es parte de la responsabilidad profesional del equipo desarrollador frente a cualquier organización que evalúe adoptar la herramienta.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XIV. Plan de mejora y monitoreo continuo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2050"/>
        <w:gridCol w:w="2000"/>
      </w:tblGrid>
      <w:tr>
        <w:trPr>
          <w:tblHeader/>
        </w:trPr>
        <w:tc>
          <w:tcPr>
            <w:tcW w:type="dxa" w:w="11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2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(KPI)</w:t>
            </w:r>
          </w:p>
        </w:tc>
        <w:tc>
          <w:tcPr>
            <w:tcW w:type="dxa" w:w="205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  <w:tc>
          <w:tcPr>
            <w:tcW w:type="dxa" w:w="2000"/>
            <w:shd w:fill="1a27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KPI-01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Tiempo medio de detección (MTTD)</w:t>
            </w:r>
          </w:p>
        </w:tc>
        <w:tc>
          <w:tcPr>
            <w:tcW w:type="dxa" w:w="2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≤ 4 horas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Mensual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KPI-02</w:t>
            </w:r>
          </w:p>
        </w:tc>
        <w:tc>
          <w:tcPr>
            <w:tcW w:type="dxa" w:w="4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Tiempo medio de respuesta (MTTR)</w:t>
            </w:r>
          </w:p>
        </w:tc>
        <w:tc>
          <w:tcPr>
            <w:tcW w:type="dxa" w:w="20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≤ 8 horas</w:t>
            </w:r>
          </w:p>
        </w:tc>
        <w:tc>
          <w:tcPr>
            <w:tcW w:type="dxa" w:w="2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Mensual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KPI-03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% activos críticos con MFA activo</w:t>
            </w:r>
          </w:p>
        </w:tc>
        <w:tc>
          <w:tcPr>
            <w:tcW w:type="dxa" w:w="2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100%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Trimestral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KPI-04</w:t>
            </w:r>
          </w:p>
        </w:tc>
        <w:tc>
          <w:tcPr>
            <w:tcW w:type="dxa" w:w="4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% parches aplicados en ≤30 días</w:t>
            </w:r>
          </w:p>
        </w:tc>
        <w:tc>
          <w:tcPr>
            <w:tcW w:type="dxa" w:w="20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≥ 95%</w:t>
            </w:r>
          </w:p>
        </w:tc>
        <w:tc>
          <w:tcPr>
            <w:tcW w:type="dxa" w:w="2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Mensual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KPI-05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N.º de incidentes de seguridad</w:t>
            </w:r>
          </w:p>
        </w:tc>
        <w:tc>
          <w:tcPr>
            <w:tcW w:type="dxa" w:w="2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Tendencia decreciente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Mensual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KPI-06</w:t>
            </w:r>
          </w:p>
        </w:tc>
        <w:tc>
          <w:tcPr>
            <w:tcW w:type="dxa" w:w="4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% personal capacitado en ciberseguridad</w:t>
            </w:r>
          </w:p>
        </w:tc>
        <w:tc>
          <w:tcPr>
            <w:tcW w:type="dxa" w:w="20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≥ 90%</w:t>
            </w:r>
          </w:p>
        </w:tc>
        <w:tc>
          <w:tcPr>
            <w:tcW w:type="dxa" w:w="2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Semestral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KPI-07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Tasa de clic en phishing simulado</w:t>
            </w:r>
          </w:p>
        </w:tc>
        <w:tc>
          <w:tcPr>
            <w:tcW w:type="dxa" w:w="2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≤ 5%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Trimestral</w:t>
            </w:r>
          </w:p>
        </w:tc>
      </w:tr>
      <w:tr>
        <w:tc>
          <w:tcPr>
            <w:tcW w:type="dxa" w:w="11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KPI-08</w:t>
            </w:r>
          </w:p>
        </w:tc>
        <w:tc>
          <w:tcPr>
            <w:tcW w:type="dxa" w:w="42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Cumplimiento de controles ISO/IEC 27001</w:t>
            </w:r>
          </w:p>
        </w:tc>
        <w:tc>
          <w:tcPr>
            <w:tcW w:type="dxa" w:w="205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≥ 80%</w:t>
            </w:r>
          </w:p>
        </w:tc>
        <w:tc>
          <w:tcPr>
            <w:tcW w:type="dxa" w:w="2000"/>
            <w:shd w:fill="F0F3F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2744"/>
                <w:sz w:val="18"/>
                <w:szCs w:val="18"/>
              </w:rPr>
              <w:t xml:space="preserve">Anual</w:t>
            </w:r>
          </w:p>
        </w:tc>
      </w:tr>
    </w:tbl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Ciclo de revisión: riesgos Críticos, revisión mensual de indicadores y revisión completa del escenario cada 6 meses; riesgos Altos, revisión trimestral y anual; riesgos Significativos/Moderados, revisión semestral y anual. Revisiones extraordinarias ante incidentes, cambios tecnológicos relevantes o cambios normativos.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XV. Conclusiones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Con las tres secciones incorporadas en esta versión final (controles existentes en identificación, riesgo residual y comunicación como fases propias, y dilema ético), MERCI cubre de forma explícita y verificable los seis puntos mínimos exigidos por la consigna, cerrando la brecha detectada en la versión anterior de la metodología escrita respecto del aplicativo ya corregido.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El modelo de riesgo residual multiplicativo, con piso de 1 y tope de reducción del 95%, es la elección técnica correcta frente a una suma simple de eficacias, y la detección de asimetría de tratamiento aporta valor real al dirigir la atención hacia escenarios con controles preventivos pero sin controles detectivos.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La integración con la Tarea 5 sigue siendo eficiente: el inventario de activos preexistente evita duplicar el esfuerzo de identificación y ancla la valoración CIA en criterios ya validados por los responsables de área.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La metodología reconoce sus propios límites: el modelo de persistencia (localStorage) y de reportes por audiencia no constituye un control de acceso real, y esta limitación se declara explícitamente como ejercicio de responsabilidad profesional, no se oculta ni se minimiza.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XVI. Recomendaciones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Realizar una prueba piloto de MERCI en un entorno controlado antes de cualquier uso más allá del ámbito académico.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Conformar un equipo multidisciplinario (TI, legal, dirección) para la aplicación de la metodología, dado que la evaluación de riesgo requiere perspectivas diversas.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Mantener los catálogos de amenazas, vulnerabilidades, controles existentes y escenarios de riesgo actualizados según la periodicidad definida en el plan de monitoreo.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No usar el aplicativo para datos personales reales sin antes incorporar autenticación, cifrado en reposo y backend con control de acceso y auditoría inmutable.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Completar una Evaluación de Impacto (DPIA/EIPD) conforme a la Guía SPDP-SPD-2025-0003-R antes de levantar información real de una organización, dado que dos escenarios (RIE-01, RIE-06) involucran datos personales.</w:t>
      </w:r>
    </w:p>
    <w:p>
      <w:pPr>
        <w:pStyle w:val="ListParagraph"/>
        <w:numPr>
          <w:ilvl w:val="0"/>
          <w:numId w:val="1"/>
        </w:numPr>
        <w:spacing w:after="90" w:line="290"/>
      </w:pPr>
      <w:r>
        <w:rPr>
          <w:b w:val="false"/>
          <w:bCs w:val="false"/>
          <w:sz w:val="21"/>
          <w:szCs w:val="21"/>
        </w:rPr>
        <w:t xml:space="preserve">Explorar la incorporación de una plataforma GRC o backend propio para automatizar el registro, cálculo y seguimiento de los escenarios de riesgo, si el proyecto evoluciona más allá del entorno académico.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XVII. Bibliografía</w:t>
      </w:r>
    </w:p>
    <w:p>
      <w:pPr>
        <w:spacing w:after="160" w:line="300"/>
        <w:jc w:val="left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Superintendencia de Protección de Datos Personales del Ecuador. (2025). Guía de Gestión de Riesgos y Evaluación de Impacto del Tratamiento de Datos Personales (Resolución N.° SPDP-SPD-2025-0003-R). SPDP.</w:t>
      </w:r>
    </w:p>
    <w:p>
      <w:pPr>
        <w:spacing w:after="160" w:line="300"/>
        <w:jc w:val="left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Núñez, C., Martinez, A., &amp; Choca, J. (2025). Criterio Específico ABET: Tarea 5 — Procedimiento de Gestión de Activos Digitales. Facultad de Ingeniería y Ciencias Aplicadas, Ingeniería en Software — Seguridad Informática.</w:t>
      </w:r>
    </w:p>
    <w:p>
      <w:pPr>
        <w:spacing w:after="160" w:line="300"/>
        <w:jc w:val="left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International Organization for Standardization. (2022). ISO/IEC 27005:2022 — Information security, cybersecurity and privacy protection — Guidance on managing information security risks. ISO.</w:t>
      </w:r>
    </w:p>
    <w:p>
      <w:pPr>
        <w:spacing w:after="160" w:line="300"/>
        <w:jc w:val="left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International Organization for Standardization. (2022). ISO/IEC 27001:2022 — Information security, cybersecurity and privacy protection — Information security management systems — Requirements. ISO.</w:t>
      </w:r>
    </w:p>
    <w:p>
      <w:pPr>
        <w:spacing w:after="160" w:line="300"/>
        <w:jc w:val="left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International Organization for Standardization. (2022). ISO/IEC 27002:2022 — Information security, cybersecurity and privacy protection — Information security controls. ISO.</w:t>
      </w:r>
    </w:p>
    <w:p>
      <w:pPr>
        <w:spacing w:after="160" w:line="300"/>
        <w:jc w:val="left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National Institute of Standards and Technology. (2012). NIST Special Publication 800-30 Rev. 1 — Guide for Conducting Risk Assessments. U.S. Department of Commerce.</w:t>
      </w:r>
    </w:p>
    <w:p>
      <w:pPr>
        <w:spacing w:after="160" w:line="300"/>
        <w:jc w:val="left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Ministerio de Hacienda y Administraciones Públicas de España. (2012). MAGERIT v3 — Metodología de Análisis y Gestión de Riesgos de los Sistemas de Información.</w:t>
      </w:r>
    </w:p>
    <w:p>
      <w:pPr>
        <w:spacing w:after="160" w:line="300"/>
        <w:jc w:val="left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Hernández, S. (2025). Conexión entre ISO 27005 e ISO 27001: Impulsa tu gestión de riesgos en seguridad de la información. GlobalSuite Solutions.</w:t>
      </w:r>
    </w:p>
    <w:p>
      <w:pPr>
        <w:spacing w:after="160" w:line="300"/>
        <w:jc w:val="left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Van Dijk, V. (2026). NIST Risk Assessment Guide (SP 800-30): Process, Steps &amp; Template. Security Scientist.</w:t>
      </w:r>
    </w:p>
    <w:p>
      <w:pPr>
        <w:pStyle w:val="Heading1"/>
        <w:spacing w:after="160" w:before="320"/>
      </w:pPr>
      <w:r>
        <w:rPr>
          <w:b/>
          <w:bCs/>
          <w:color w:val="1a2744"/>
          <w:sz w:val="27"/>
          <w:szCs w:val="27"/>
        </w:rPr>
        <w:t xml:space="preserve">Anexos</w:t>
      </w:r>
    </w:p>
    <w:p>
      <w:pPr>
        <w:spacing w:after="160" w:line="300"/>
        <w:jc w:val="both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Se mantienen vigentes como anexos de esta metodología: Instrumentos 1 a 4 de la Tarea 5 (Matriz de Clasificación de Activos, Hoja de Valoración Ponderada, Esquema de Priorización y Respuesta, Registro de Revisiones); y de la Tarea 8, el Anexo A (Glosario de Términos), Anexo B (Plantilla de Registro de Activos), Anexo C (Plantilla de Registro de Escenarios de Riesgo) y Anexo D (Esquema de Integración Tarea 5 → Tarea 8), este último ahora extendido para incluir el registro de controles existentes, el riesgo residual y la comunicación como fases propias.</w:t>
      </w:r>
    </w:p>
    <w:sectPr>
      <w:footerReference w:type="default" r:id="rId7"/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MERCI — Seguridad Informática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2026-07-06T17:30:32.806Z</dcterms:created>
  <dcterms:modified xsi:type="dcterms:W3CDTF">2026-07-06T17:30:32.806Z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