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200"/>
        <w:jc w:val="center"/>
      </w:pPr>
      <w:r>
        <w:rPr>
          <w:b/>
          <w:bCs/>
          <w:color w:val="1a2744"/>
          <w:sz w:val="22"/>
          <w:szCs w:val="22"/>
        </w:rPr>
        <w:t xml:space="preserve">FACULTAD DE INGENIERÍA Y CIENCIAS APLICADAS</w:t>
      </w:r>
    </w:p>
    <w:p>
      <w:pPr>
        <w:spacing w:after="500"/>
        <w:jc w:val="center"/>
      </w:pPr>
      <w:r>
        <w:rPr>
          <w:color w:val="555555"/>
          <w:sz w:val="20"/>
          <w:szCs w:val="20"/>
        </w:rPr>
        <w:t xml:space="preserve">Ingeniería en Software · Seguridad Informática</w:t>
      </w:r>
    </w:p>
    <w:p>
      <w:pPr>
        <w:spacing w:after="120"/>
        <w:jc w:val="center"/>
      </w:pPr>
      <w:r>
        <w:rPr>
          <w:b/>
          <w:bCs/>
          <w:color w:val="2b4c8c"/>
          <w:sz w:val="20"/>
          <w:szCs w:val="20"/>
        </w:rPr>
        <w:t xml:space="preserve">CRITERIO ESPECÍFICO ABET — Metodología (Versión Final Consolidada)</w:t>
      </w:r>
    </w:p>
    <w:p>
      <w:pPr>
        <w:spacing w:after="200"/>
        <w:jc w:val="center"/>
      </w:pPr>
      <w:r>
        <w:rPr>
          <w:b/>
          <w:bCs/>
          <w:color w:val="1a2744"/>
          <w:sz w:val="40"/>
          <w:szCs w:val="40"/>
        </w:rPr>
        <w:t xml:space="preserve">MERCI</w:t>
      </w:r>
    </w:p>
    <w:p>
      <w:pPr>
        <w:spacing w:after="900"/>
        <w:jc w:val="center"/>
      </w:pPr>
      <w:r>
        <w:rPr>
          <w:i/>
          <w:iCs/>
          <w:color w:val="555555"/>
          <w:sz w:val="22"/>
          <w:szCs w:val="22"/>
        </w:rPr>
        <w:t xml:space="preserve">Metodología de Evaluación de Riesgo Cibernético Integrada — integra y actualiza la Tarea 5 (Gestión de Activos) y la Tarea 8 (MERCI), y las alinea con el aplicativo corregido</w:t>
      </w:r>
    </w:p>
    <w:p>
      <w:pPr>
        <w:spacing w:after="60"/>
        <w:jc w:val="center"/>
      </w:pPr>
      <w:r>
        <w:rPr>
          <w:b/>
          <w:bCs/>
          <w:color w:val="1a2744"/>
          <w:sz w:val="21"/>
          <w:szCs w:val="21"/>
        </w:rPr>
        <w:t xml:space="preserve">Alejandro Martinez · Camilo Núñez · Juan Choca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Proyecto Integrador · ITIZ3301</w:t>
      </w:r>
    </w:p>
    <w:p>
      <w:pPr>
        <w:spacing w:after="60"/>
        <w:jc w:val="center"/>
      </w:pPr>
      <w:r>
        <w:rPr>
          <w:color w:val="555555"/>
          <w:sz w:val="19"/>
          <w:szCs w:val="19"/>
        </w:rPr>
        <w:t xml:space="preserve">Quito – Ecuador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I. Resumen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Este documento es la versión final y coherente de la metodología MERCI (Metodología de Evaluación de Riesgo Cibernético Integrada), que consolida en un solo cuerpo el Procedimiento de Gestión de Activos (Tarea 5) y la Metodología MERCI (Tarea 8), e incorpora tres ajustes necesarios para que la metodología escrita quede alineada con el aplicativo web finalmente entregado y con el texto literal de la consigna del Proyecto Integrador: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Se agrega un registro explícito de controles existentes dentro de la fase de identificación de riesgos (antes solo se documentaban en la fase de tratamiento), tal como exige la consigna: "Registro de amenazas, vulnerabilidades y controles existentes".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Se documenta como fase propia el cálculo de riesgo residual con el modelo multiplicativo que ya estaba implementado en el aplicativo (js/calc.js), pero que no tenía una sección dedicada en la Tarea 8.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Se documenta como fase propia la comunicación y consulta (bitácora + reportes por audiencia), y se añade una sección de dilema ético y responsabilidad profesional (RC4) que el propio aplicativo referencia en su interfaz.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metodología conserva su base normativa: Guía SPDP-SPD-2025-0003-R (Ecuador), ISO/IEC 27001:2022, ISO/IEC 27002:2022, ISO/IEC 27005:2022, NIST SP 800-30 Rev.1 y MAGERIT v3, y su integración con la taxonomía de siete categorías de activos desarrollada en la Tarea 5.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II. Objetivos de la metodología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1. Objetivo general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Proveer a los equipos de ciberseguridad una metodología propia, cuantitativa y de aplicación inmediata para identificar, valorar, tratar y monitorear el riesgo cibernético en cualquier tipo de organización, integrando la Guía SPDP-SPD-2025-0003-R, los estándares ISO/IEC 27001, ISO/IEC 27002, ISO/IEC 27005 y NIST SP 800-30, y el Procedimiento de Gestión de Activos desarrollado en la Tarea 5.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2. Objetivos específicos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Delimitar el alcance de la evaluación de riesgo para asegurar cobertura completa de activos, procesos y entornos organizacionales relevantes.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Integrar la taxonomía de activos de siete categorías de la Tarea 5 como base de identificación de activos sujetos a evaluación.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Aplicar una valoración CIA (Confidencialidad, Integridad, Disponibilidad) cuantitativa sobre cada activo identificado.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Identificar y catalogar amenazas, vulnerabilidades y controles existentes, distinguiendo estos últimos de los controles que se propongan formalmente en la fase de tratamiento.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Calcular el nivel de riesgo inherente de cada escenario mediante R = P × I y representarlo en una matriz de calor 5×5.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Priorizar los riesgos y definir estrategias de tratamiento diferenciadas (mitigar, transferir, aceptar, evitar), tomando como referencia los controles de ISO/IEC 27002:2022.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Calcular el riesgo residual posterior a la implementación de controles mediante un modelo multiplicativo que evite errores de sobreestimación de la reducción de riesgo.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Mantener un registro de comunicación y consulta con las partes interesadas y generar reportes diferenciados por audiencia.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Reconocer y declarar explícitamente los dilemas éticos y de responsabilidad profesional que surgen de automatizar la gestión de riesgo (RC4).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Establecer un plan de monitoreo continuo con KPIs que permitan evaluar la eficacia de los controles implementados.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III. Alcance y público objetivo</w:t>
      </w:r>
    </w:p>
    <w:p>
      <w:pPr>
        <w:pStyle w:val="Heading3"/>
        <w:spacing w:after="90" w:before="180"/>
      </w:pPr>
      <w:r>
        <w:rPr>
          <w:b/>
          <w:bCs/>
          <w:color w:val="1a2744"/>
          <w:sz w:val="22"/>
          <w:szCs w:val="22"/>
        </w:rPr>
        <w:t xml:space="preserve">Alcance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MERCI aplica a la totalidad de los activos digitales y procesos de negocio que almacenan, procesan, transmiten o soportan información de valor para la organización, en cualquier modalidad de gestión (on-premise, nube o híbrida) y para cualquier tipo de organización (PYME, hospital, universidad, entidad pública, empresa financiera, entre otras). Los marcos normativos aplicables incluyen la LOPDP del Ecuador, la Resolución SPDP-SPD-2025-0003-R, ISO/IEC 27001, ISO/IEC 27002, ISO/IEC 27005, NIST SP 800-30 y MAGERIT, además de GDPR cuando aplique.</w:t>
      </w:r>
    </w:p>
    <w:p>
      <w:pPr>
        <w:pStyle w:val="Heading3"/>
        <w:spacing w:after="90" w:before="180"/>
      </w:pPr>
      <w:r>
        <w:rPr>
          <w:b/>
          <w:bCs/>
          <w:color w:val="1a2744"/>
          <w:sz w:val="22"/>
          <w:szCs w:val="22"/>
        </w:rPr>
        <w:t xml:space="preserve">Público objetivo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CISO, analistas de ciberseguridad, auditores internos y externos, gestores de riesgo tecnológico, responsables de cumplimiento normativo (Compliance Officers) y alta dirección que requiera visibilidad sobre el perfil de riesgo del patrimonio digital de la organización.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IV. Marco de referencia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50"/>
      </w:tblGrid>
      <w:tr>
        <w:trPr>
          <w:tblHeader/>
        </w:trPr>
        <w:tc>
          <w:tcPr>
            <w:tcW w:type="dxa" w:w="3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Marco / norma</w:t>
            </w:r>
          </w:p>
        </w:tc>
        <w:tc>
          <w:tcPr>
            <w:tcW w:type="dxa" w:w="63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 dentro de MERCI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Guía SPDP-SPD-2025-0003-R (Ecuador, 2025)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Marco principal de gestión de riesgos y evaluación de impacto (DPIA/EIPD) sobre datos personales; enriquece la Fase de valoración de riesgo y la Sección de dilema ético.</w:t>
            </w:r>
          </w:p>
        </w:tc>
      </w:tr>
      <w:tr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ISO/IEC 27005:2022</w:t>
            </w:r>
          </w:p>
        </w:tc>
        <w:tc>
          <w:tcPr>
            <w:tcW w:type="dxa" w:w="6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Define el ciclo de gestión del riesgo (contexto, identificación, estimación, evaluación, tratamiento, aceptación, comunicación, revisión) que estructura las fases de MERCI.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ISO/IEC 27001:2022 (Anexo A)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Marco de controles aplicables en el tratamiento del riesgo, cuyo listado se deriva directamente del catálogo de controles de ISO/IEC 27002:2022.</w:t>
            </w:r>
          </w:p>
        </w:tc>
      </w:tr>
      <w:tr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ISO/IEC 27002:2022</w:t>
            </w:r>
          </w:p>
        </w:tc>
        <w:tc>
          <w:tcPr>
            <w:tcW w:type="dxa" w:w="6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Catálogo de controles de referencia explícito para la Fase de Tratamiento del Riesgo, tal como lo exige textualmente la consigna del proyecto.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NIST SP 800-30 Rev. 1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Referencia complementaria para la parametrización de las escalas de probabilidad e impacto.</w:t>
            </w:r>
          </w:p>
        </w:tc>
      </w:tr>
      <w:tr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MAGERIT v3</w:t>
            </w:r>
          </w:p>
        </w:tc>
        <w:tc>
          <w:tcPr>
            <w:tcW w:type="dxa" w:w="6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Complementa la taxonomía de amenazas y vulnerabilidades en contextos hispanohablantes.</w:t>
            </w:r>
          </w:p>
        </w:tc>
      </w:tr>
      <w:tr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Tarea 5 — Procedimiento de Gestión de Activos</w:t>
            </w:r>
          </w:p>
        </w:tc>
        <w:tc>
          <w:tcPr>
            <w:tcW w:type="dxa" w:w="6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Insumo directo de identificación, clasificación y valoración de activos digitales (Fase V de esta metodología).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V. Identificación y clasificación de activos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La identificación de activos se apoya directamente en el Procedimiento de Gestión de Activos de la Tarea 5, cuya taxonomía de siete categorías (información, software, hardware, red y comunicaciones, servicios, activos humanos y activos intangibles) constituye el inventario base. Los Instrumentos 1 (Matriz de Clasificación) y 2 (Hoja de Valoración Ponderada) de la Tarea 5 se mantienen vigentes como anexos de esta metodología; MERCI no los duplica, los utiliza como insumo validado.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El nivel de criticidad de cada activo (escala 1–5, Valor ponderado = IO×0,40 + CC×0,35 + VE×0,25) se usa como factor de ponderación en la estimación del impacto de cada escenario de riesgo (Fase VIII).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Inventario de activos críticos seleccionados para la evaluación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600"/>
        <w:gridCol w:w="1900"/>
        <w:gridCol w:w="2400"/>
        <w:gridCol w:w="1350"/>
      </w:tblGrid>
      <w:tr>
        <w:trPr>
          <w:tblHeader/>
        </w:trPr>
        <w:tc>
          <w:tcPr>
            <w:tcW w:type="dxa" w:w="1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6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Nombre del activo</w:t>
            </w:r>
          </w:p>
        </w:tc>
        <w:tc>
          <w:tcPr>
            <w:tcW w:type="dxa" w:w="1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Sensibilidad</w:t>
            </w:r>
          </w:p>
        </w:tc>
        <w:tc>
          <w:tcPr>
            <w:tcW w:type="dxa" w:w="13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 (Tarea 5)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Base de datos de clientes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Información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Datos personales LOPDP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 — Crítico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ACT-002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ERP / Sistema de gestión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Software</w:t>
            </w:r>
          </w:p>
        </w:tc>
        <w:tc>
          <w:tcPr>
            <w:tcW w:type="dxa" w:w="2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Criticidad operacional</w:t>
            </w:r>
          </w:p>
        </w:tc>
        <w:tc>
          <w:tcPr>
            <w:tcW w:type="dxa" w:w="1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ACT-003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Servidores de producción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Hardware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Infraestructura crítica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ACT-004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Firewall / IDS perimetral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Red y comunicaciones</w:t>
            </w:r>
          </w:p>
        </w:tc>
        <w:tc>
          <w:tcPr>
            <w:tcW w:type="dxa" w:w="2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Perímetro de seguridad</w:t>
            </w:r>
          </w:p>
        </w:tc>
        <w:tc>
          <w:tcPr>
            <w:tcW w:type="dxa" w:w="1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ACT-005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Servicio de correo corporativo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Servicios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Media — Productividad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 — Significativo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ACT-006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Administradores de sistemas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Humanos</w:t>
            </w:r>
          </w:p>
        </w:tc>
        <w:tc>
          <w:tcPr>
            <w:tcW w:type="dxa" w:w="2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Acceso privilegiado</w:t>
            </w:r>
          </w:p>
        </w:tc>
        <w:tc>
          <w:tcPr>
            <w:tcW w:type="dxa" w:w="1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ACT-007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Reputación e imagen digital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Intangibles</w:t>
            </w:r>
          </w:p>
        </w:tc>
        <w:tc>
          <w:tcPr>
            <w:tcW w:type="dxa" w:w="2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— Posicionamiento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</w:tr>
    </w:tbl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VI. Valoración CIA de activos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Sobre cada activo del inventario se aplica una valoración de Confidencialidad (C), Integridad (I) y Disponibilidad (D) en escala 1–5, conforme a la Guía SPDP-SPD-2025-0003-R y a ISO/IEC 27005. Valoración CIA = C×0,40 + I×0,35 + D×0,25.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1000"/>
        <w:gridCol w:w="1000"/>
        <w:gridCol w:w="3550"/>
      </w:tblGrid>
      <w:tr>
        <w:trPr>
          <w:tblHeader/>
        </w:trPr>
        <w:tc>
          <w:tcPr>
            <w:tcW w:type="dxa" w:w="28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Activo</w:t>
            </w:r>
          </w:p>
        </w:tc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</w:t>
            </w:r>
          </w:p>
        </w:tc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</w:t>
            </w:r>
          </w:p>
        </w:tc>
        <w:tc>
          <w:tcPr>
            <w:tcW w:type="dxa" w:w="35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Valoración CIA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Base de datos clientes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(4.67)</w:t>
            </w:r>
          </w:p>
        </w:tc>
      </w:tr>
      <w:tr>
        <w:tc>
          <w:tcPr>
            <w:tcW w:type="dxa" w:w="2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ERP / Sistema gestión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3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(4.67)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Servidores producción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(4.33)</w:t>
            </w:r>
          </w:p>
        </w:tc>
      </w:tr>
      <w:tr>
        <w:tc>
          <w:tcPr>
            <w:tcW w:type="dxa" w:w="2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Firewall / IDS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3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(4.00)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Correo corporativo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Moderado (3.33)</w:t>
            </w:r>
          </w:p>
        </w:tc>
      </w:tr>
      <w:tr>
        <w:tc>
          <w:tcPr>
            <w:tcW w:type="dxa" w:w="2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Administradores TI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3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 (4.33)</w:t>
            </w:r>
          </w:p>
        </w:tc>
      </w:tr>
      <w:tr>
        <w:tc>
          <w:tcPr>
            <w:tcW w:type="dxa" w:w="2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Reputación digital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3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Significativo (3.33)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VII. Identificación de amenazas, vulnerabilidades y controles existentes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Esta fase incorpora los tres registros exigidos textualmente por la consigna en el punto 2 ("Registro de amenazas, vulnerabilidades y controles existentes"). En la versión inicial de la Tarea 8, los controles solo se documentaban en la fase de tratamiento; en esta versión final se agrega el catálogo de controles existentes como registro propio de la fase de identificación, coherente con el aplicativo corregido.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7.1 Catálogo de amenazas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200"/>
        <w:gridCol w:w="1600"/>
        <w:gridCol w:w="3450"/>
      </w:tblGrid>
      <w:tr>
        <w:trPr>
          <w:tblHeader/>
        </w:trPr>
        <w:tc>
          <w:tcPr>
            <w:tcW w:type="dxa" w:w="1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2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Amenaza</w:t>
            </w:r>
          </w:p>
        </w:tc>
        <w:tc>
          <w:tcPr>
            <w:tcW w:type="dxa" w:w="16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Origen</w:t>
            </w:r>
          </w:p>
        </w:tc>
        <w:tc>
          <w:tcPr>
            <w:tcW w:type="dxa" w:w="34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Activos expuestos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AME-01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Ransomware / Malware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ACT-002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AME-02</w:t>
            </w:r>
          </w:p>
        </w:tc>
        <w:tc>
          <w:tcPr>
            <w:tcW w:type="dxa" w:w="3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Acceso no autorizado externo</w:t>
            </w:r>
          </w:p>
        </w:tc>
        <w:tc>
          <w:tcPr>
            <w:tcW w:type="dxa" w:w="1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ACT-004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AME-03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Error humano / Insider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Interna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ACT-006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AME-04</w:t>
            </w:r>
          </w:p>
        </w:tc>
        <w:tc>
          <w:tcPr>
            <w:tcW w:type="dxa" w:w="3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Falla de servicio (DDoS)</w:t>
            </w:r>
          </w:p>
        </w:tc>
        <w:tc>
          <w:tcPr>
            <w:tcW w:type="dxa" w:w="1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ACT-003, ACT-004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AME-05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Brecha de proveedor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Tercero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ACT-005, ACT-002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AME-06</w:t>
            </w:r>
          </w:p>
        </w:tc>
        <w:tc>
          <w:tcPr>
            <w:tcW w:type="dxa" w:w="3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Phishing dirigido</w:t>
            </w:r>
          </w:p>
        </w:tc>
        <w:tc>
          <w:tcPr>
            <w:tcW w:type="dxa" w:w="1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ACT-006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AME-07</w:t>
            </w:r>
          </w:p>
        </w:tc>
        <w:tc>
          <w:tcPr>
            <w:tcW w:type="dxa" w:w="3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Vulnerabilidad de software</w:t>
            </w:r>
          </w:p>
        </w:tc>
        <w:tc>
          <w:tcPr>
            <w:tcW w:type="dxa" w:w="1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Externa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ACT-002, ACT-003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7.2 Catálogo de vulnerabilidades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3700"/>
        <w:gridCol w:w="1550"/>
        <w:gridCol w:w="3000"/>
      </w:tblGrid>
      <w:tr>
        <w:trPr>
          <w:tblHeader/>
        </w:trPr>
        <w:tc>
          <w:tcPr>
            <w:tcW w:type="dxa" w:w="1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37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Vulnerabilidad</w:t>
            </w:r>
          </w:p>
        </w:tc>
        <w:tc>
          <w:tcPr>
            <w:tcW w:type="dxa" w:w="15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Activos afectados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VUL-01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Ausencia de MFA en sistemas críticos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Tecnológica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ACT-002, ACT-006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VUL-02</w:t>
            </w:r>
          </w:p>
        </w:tc>
        <w:tc>
          <w:tcPr>
            <w:tcW w:type="dxa" w:w="3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Parches de seguridad desactualizados</w:t>
            </w:r>
          </w:p>
        </w:tc>
        <w:tc>
          <w:tcPr>
            <w:tcW w:type="dxa" w:w="1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Tecnológica</w:t>
            </w:r>
          </w:p>
        </w:tc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ACT-002, ACT-003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VUL-03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Falta de segmentación de red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Tecnológica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ACT-004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VUL-04</w:t>
            </w:r>
          </w:p>
        </w:tc>
        <w:tc>
          <w:tcPr>
            <w:tcW w:type="dxa" w:w="3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Capacitación insuficiente en ciberseguridad</w:t>
            </w:r>
          </w:p>
        </w:tc>
        <w:tc>
          <w:tcPr>
            <w:tcW w:type="dxa" w:w="1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Organizacional</w:t>
            </w:r>
          </w:p>
        </w:tc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ACT-006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VUL-05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Ausencia de política de contraseñas robusta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Organizacional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ACT-002, ACT-006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VUL-06</w:t>
            </w:r>
          </w:p>
        </w:tc>
        <w:tc>
          <w:tcPr>
            <w:tcW w:type="dxa" w:w="3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Backups sin cifrar fuera del perímetro</w:t>
            </w:r>
          </w:p>
        </w:tc>
        <w:tc>
          <w:tcPr>
            <w:tcW w:type="dxa" w:w="1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De procesos</w:t>
            </w:r>
          </w:p>
        </w:tc>
        <w:tc>
          <w:tcPr>
            <w:tcW w:type="dxa" w:w="3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ACT-001, ACT-003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VUL-07</w:t>
            </w:r>
          </w:p>
        </w:tc>
        <w:tc>
          <w:tcPr>
            <w:tcW w:type="dxa" w:w="3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Sin monitoreo de logs en tiempo real</w:t>
            </w:r>
          </w:p>
        </w:tc>
        <w:tc>
          <w:tcPr>
            <w:tcW w:type="dxa" w:w="1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Tecnológica</w:t>
            </w:r>
          </w:p>
        </w:tc>
        <w:tc>
          <w:tcPr>
            <w:tcW w:type="dxa" w:w="3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ACT-003, ACT-004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7.3 Catálogo de controles existentes (registro de identificación — corrección aplicada)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Controles que ya operan en la organización al momento de la identificación, previos y distintos al plan formal de tratamiento. Se documentan aquí para que la fase de identificación quede completa por sí misma, y para que la fase de tratamiento (Sección IX) pueda partir de ellos en lugar de proponer controles desde cero.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900"/>
        <w:gridCol w:w="1200"/>
        <w:gridCol w:w="1650"/>
        <w:gridCol w:w="1300"/>
        <w:gridCol w:w="1300"/>
      </w:tblGrid>
      <w:tr>
        <w:trPr>
          <w:tblHeader/>
        </w:trPr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 existente</w:t>
            </w:r>
          </w:p>
        </w:tc>
        <w:tc>
          <w:tcPr>
            <w:tcW w:type="dxa" w:w="12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6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Vulns. cubiertas</w:t>
            </w:r>
          </w:p>
        </w:tc>
        <w:tc>
          <w:tcPr>
            <w:tcW w:type="dxa" w:w="13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Eficacia est.</w:t>
            </w:r>
          </w:p>
        </w:tc>
        <w:tc>
          <w:tcPr>
            <w:tcW w:type="dxa" w:w="13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Estado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CEX-01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Antivirus / EDR básico en endpoints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Detectivo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VUL-02, VUL-07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20%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CEX-02</w:t>
            </w:r>
          </w:p>
        </w:tc>
        <w:tc>
          <w:tcPr>
            <w:tcW w:type="dxa" w:w="2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Respaldo periódico de base de datos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Preventivo</w:t>
            </w:r>
          </w:p>
        </w:tc>
        <w:tc>
          <w:tcPr>
            <w:tcW w:type="dxa" w:w="16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VUL-06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25%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Parcial</w:t>
            </w:r>
          </w:p>
        </w:tc>
      </w:tr>
      <w:tr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CEX-03</w:t>
            </w:r>
          </w:p>
        </w:tc>
        <w:tc>
          <w:tcPr>
            <w:tcW w:type="dxa" w:w="2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Charla anual de concienciación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Preventivo</w:t>
            </w:r>
          </w:p>
        </w:tc>
        <w:tc>
          <w:tcPr>
            <w:tcW w:type="dxa" w:w="16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VUL-04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15%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Implementado</w:t>
            </w:r>
          </w:p>
        </w:tc>
      </w:tr>
      <w:tr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CEX-04</w:t>
            </w:r>
          </w:p>
        </w:tc>
        <w:tc>
          <w:tcPr>
            <w:tcW w:type="dxa" w:w="2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Contraseñas mínimas de 8 caracteres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Preventivo</w:t>
            </w:r>
          </w:p>
        </w:tc>
        <w:tc>
          <w:tcPr>
            <w:tcW w:type="dxa" w:w="16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VUL-05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10%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Implementado</w:t>
            </w:r>
          </w:p>
        </w:tc>
      </w:tr>
    </w:tbl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Integración con el tratamiento: al abrir el tratamiento de un escenario, el aplicativo cruza automáticamente sus vulnerabilidades con este catálogo y sugiere los controles existentes relevantes, permitiendo copiarlos al plan de tratamiento como punto de partida editable (eficacia y tipo iguales al catálogo; ISO y responsable se completan en el contexto del escenario).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VIII. Valoración de riesgos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R = P × I, donde R toma valores entre 1 y 25, P es la probabilidad de ocurrencia (escala 1–5) e I es el impacto sobre el activo (escala 1–5, derivado de la valoración CIA).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Escalas de probabilidad e impacto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900"/>
        <w:gridCol w:w="6550"/>
      </w:tblGrid>
      <w:tr>
        <w:trPr>
          <w:tblHeader/>
        </w:trPr>
        <w:tc>
          <w:tcPr>
            <w:tcW w:type="dxa" w:w="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  <w:tc>
          <w:tcPr>
            <w:tcW w:type="dxa" w:w="1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Probabilidad</w:t>
            </w:r>
          </w:p>
        </w:tc>
        <w:tc>
          <w:tcPr>
            <w:tcW w:type="dxa" w:w="65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Criterio de asignación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Rara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Altamente improbable; sin precedentes en el sector.</w:t>
            </w:r>
          </w:p>
        </w:tc>
      </w:tr>
      <w:tr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Improbable</w:t>
            </w:r>
          </w:p>
        </w:tc>
        <w:tc>
          <w:tcPr>
            <w:tcW w:type="dxa" w:w="6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Ocurrencia menor a una vez en 5 años.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Posible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Ocurrencia esperada entre 1 y 3 veces en 5 años.</w:t>
            </w:r>
          </w:p>
        </w:tc>
      </w:tr>
      <w:tr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Probable</w:t>
            </w:r>
          </w:p>
        </w:tc>
        <w:tc>
          <w:tcPr>
            <w:tcW w:type="dxa" w:w="65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Antecedentes en el sector u organización; ocurrencia anual.</w:t>
            </w:r>
          </w:p>
        </w:tc>
      </w:tr>
      <w:tr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Casi segura</w:t>
            </w:r>
          </w:p>
        </w:tc>
        <w:tc>
          <w:tcPr>
            <w:tcW w:type="dxa" w:w="65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 espera que ocurra en la mayoría de circunstancias.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Mapa de calor de riesgos (5×5) — R = P × I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50"/>
        <w:gridCol w:w="1400"/>
        <w:gridCol w:w="1400"/>
        <w:gridCol w:w="1400"/>
        <w:gridCol w:w="1400"/>
        <w:gridCol w:w="1400"/>
      </w:tblGrid>
      <w:tr>
        <w:trPr>
          <w:tblHeader/>
        </w:trPr>
        <w:tc>
          <w:tcPr>
            <w:tcW w:type="dxa" w:w="23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Impacto ↓ / Probabilidad →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Rara (1)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Improbable (2)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Posible (3)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Probable (4)</w:t>
            </w:r>
          </w:p>
        </w:tc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Casi segura (5)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Muy alto (5)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25</w:t>
            </w:r>
          </w:p>
        </w:tc>
      </w:tr>
      <w:tr>
        <w:tc>
          <w:tcPr>
            <w:tcW w:type="dxa" w:w="2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 (4)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16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Moderado (3)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9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</w:t>
            </w:r>
          </w:p>
        </w:tc>
      </w:tr>
      <w:tr>
        <w:tc>
          <w:tcPr>
            <w:tcW w:type="dxa" w:w="2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Bajo (2)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6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8</w:t>
            </w:r>
          </w:p>
        </w:tc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</w:t>
            </w:r>
          </w:p>
        </w:tc>
      </w:tr>
      <w:tr>
        <w:tc>
          <w:tcPr>
            <w:tcW w:type="dxa" w:w="2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Muy bajo (1)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</w:tr>
    </w:tbl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Escenarios de riesgo evaluados</w:t>
      </w:r>
    </w:p>
    <w:tbl>
      <w:tblPr>
        <w:tblW w:type="dxa" w:w="8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500"/>
        <w:gridCol w:w="900"/>
        <w:gridCol w:w="1200"/>
        <w:gridCol w:w="500"/>
        <w:gridCol w:w="500"/>
        <w:gridCol w:w="700"/>
        <w:gridCol w:w="1300"/>
      </w:tblGrid>
      <w:tr>
        <w:trPr>
          <w:tblHeader/>
        </w:trPr>
        <w:tc>
          <w:tcPr>
            <w:tcW w:type="dxa" w:w="7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5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9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Amenaza</w:t>
            </w:r>
          </w:p>
        </w:tc>
        <w:tc>
          <w:tcPr>
            <w:tcW w:type="dxa" w:w="12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Vulns.</w:t>
            </w:r>
          </w:p>
        </w:tc>
        <w:tc>
          <w:tcPr>
            <w:tcW w:type="dxa" w:w="5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5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</w:t>
            </w:r>
          </w:p>
        </w:tc>
        <w:tc>
          <w:tcPr>
            <w:tcW w:type="dxa" w:w="7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R=I×P</w:t>
            </w:r>
          </w:p>
        </w:tc>
        <w:tc>
          <w:tcPr>
            <w:tcW w:type="dxa" w:w="13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RIE-01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Ransomware en BD clientes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AME-01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VUL-01,02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RIE-02</w:t>
            </w:r>
          </w:p>
        </w:tc>
        <w:tc>
          <w:tcPr>
            <w:tcW w:type="dxa" w:w="2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Acceso no autorizado externo</w:t>
            </w:r>
          </w:p>
        </w:tc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AME-02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VUL-01,05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RIE-03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Fuga por insider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AME-03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VUL-04,05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RIE-04</w:t>
            </w:r>
          </w:p>
        </w:tc>
        <w:tc>
          <w:tcPr>
            <w:tcW w:type="dxa" w:w="2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DDoS a servidores</w:t>
            </w:r>
          </w:p>
        </w:tc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AME-04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VUL-03,07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RIE-05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Brecha de proveedor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AME-05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VUL-06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6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RIE-06</w:t>
            </w:r>
          </w:p>
        </w:tc>
        <w:tc>
          <w:tcPr>
            <w:tcW w:type="dxa" w:w="2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Phishing a privilegiados</w:t>
            </w:r>
          </w:p>
        </w:tc>
        <w:tc>
          <w:tcPr>
            <w:tcW w:type="dxa" w:w="9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AME-06</w:t>
            </w:r>
          </w:p>
        </w:tc>
        <w:tc>
          <w:tcPr>
            <w:tcW w:type="dxa" w:w="1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VUL-04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16</w:t>
            </w:r>
          </w:p>
        </w:tc>
        <w:tc>
          <w:tcPr>
            <w:tcW w:type="dxa" w:w="13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Crítico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RIE-07</w:t>
            </w:r>
          </w:p>
        </w:tc>
        <w:tc>
          <w:tcPr>
            <w:tcW w:type="dxa" w:w="2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Explotación CVE en ERP</w:t>
            </w:r>
          </w:p>
        </w:tc>
        <w:tc>
          <w:tcPr>
            <w:tcW w:type="dxa" w:w="9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AME-07</w:t>
            </w:r>
          </w:p>
        </w:tc>
        <w:tc>
          <w:tcPr>
            <w:tcW w:type="dxa" w:w="1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VUL-02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</w:t>
            </w:r>
          </w:p>
        </w:tc>
        <w:tc>
          <w:tcPr>
            <w:tcW w:type="dxa" w:w="5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</w:t>
            </w:r>
          </w:p>
        </w:tc>
        <w:tc>
          <w:tcPr>
            <w:tcW w:type="dxa" w:w="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12</w:t>
            </w:r>
          </w:p>
        </w:tc>
        <w:tc>
          <w:tcPr>
            <w:tcW w:type="dxa" w:w="13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Alto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IX. Evaluación y priorización de riesgos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700"/>
        <w:gridCol w:w="3450"/>
      </w:tblGrid>
      <w:tr>
        <w:trPr>
          <w:tblHeader/>
        </w:trPr>
        <w:tc>
          <w:tcPr>
            <w:tcW w:type="dxa" w:w="14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 (P×I)</w:t>
            </w:r>
          </w:p>
        </w:tc>
        <w:tc>
          <w:tcPr>
            <w:tcW w:type="dxa" w:w="18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7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 de atención</w:t>
            </w:r>
          </w:p>
        </w:tc>
        <w:tc>
          <w:tcPr>
            <w:tcW w:type="dxa" w:w="34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15 – 25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 — Crítico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Inmediata (≤ 30 días)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CISO / Dirección ejecutiva</w:t>
            </w:r>
          </w:p>
        </w:tc>
      </w:tr>
      <w:tr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 – 14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4 — Alto</w:t>
            </w:r>
          </w:p>
        </w:tc>
        <w:tc>
          <w:tcPr>
            <w:tcW w:type="dxa" w:w="2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Corto plazo (31–90 días)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Gerencia TI / CISO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5 – 9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 — Significativo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Mediano plazo (91–180 días)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Responsable de área</w:t>
            </w:r>
          </w:p>
        </w:tc>
      </w:tr>
      <w:tr>
        <w:tc>
          <w:tcPr>
            <w:tcW w:type="dxa" w:w="14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 – 4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 — Moderado</w:t>
            </w:r>
          </w:p>
        </w:tc>
        <w:tc>
          <w:tcPr>
            <w:tcW w:type="dxa" w:w="27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Largo plazo (&gt; 180 días)</w:t>
            </w:r>
          </w:p>
        </w:tc>
        <w:tc>
          <w:tcPr>
            <w:tcW w:type="dxa" w:w="3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Responsable de área</w:t>
            </w:r>
          </w:p>
        </w:tc>
      </w:tr>
      <w:tr>
        <w:tc>
          <w:tcPr>
            <w:tcW w:type="dxa" w:w="14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 – 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 — Bajo</w:t>
            </w:r>
          </w:p>
        </w:tc>
        <w:tc>
          <w:tcPr>
            <w:tcW w:type="dxa" w:w="27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Ciclo ordinario de revisión</w:t>
            </w:r>
          </w:p>
        </w:tc>
        <w:tc>
          <w:tcPr>
            <w:tcW w:type="dxa" w:w="3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Custodio técnico</w:t>
            </w:r>
          </w:p>
        </w:tc>
      </w:tr>
    </w:tbl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Prioridad 1 — Crítico (R ≥ 15): RIE-01 (Ransomware, R=20), RIE-06 (Phishing a privilegiados, R=16). Atención inmediata ≤ 30 días.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Prioridad 2 — Alto (R = 10–14): RIE-02 (R=15), RIE-03 (R=12), RIE-04 (R=12), RIE-07 (R=12). Atención en 31–90 días.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Prioridad 3 — Moderado (R = 5–9): RIE-05 (R=6). Atención en 91–180 días.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X. Tratamiento del riesgo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Cuatro estrategias de tratamiento: Mitigar (controles técnicos y organizativos que reducen probabilidad o impacto — prioritaria para riesgos Críticos y Altos), Transferir (seguro cibernético, SLA con proveedor, externalización), Aceptar (documentar formalmente la convivencia con el riesgo cuando el costo de mitigar supera el impacto esperado, para niveles Moderado o Bajo) y Evitar (eliminar la actividad, proceso o tecnología que genera el riesgo).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Los controles propuestos toman como referencia explícita el catálogo de ISO/IEC 27002:2022 (tal como exige la consigna), organizados según el Anexo A de ISO/IEC 27001:2022. El plan de tratamiento parte, cuando existen, de los controles ya catalogados en la Sección 7.3: el aplicativo los sugiere automáticamente por coincidencia de vulnerabilidad y permite copiarlos al escenario como punto de partida editable.</w:t>
      </w:r>
    </w:p>
    <w:tbl>
      <w:tblPr>
        <w:tblW w:type="dxa" w:w="88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1800"/>
        <w:gridCol w:w="1450"/>
        <w:gridCol w:w="2600"/>
        <w:gridCol w:w="1250"/>
        <w:gridCol w:w="1000"/>
      </w:tblGrid>
      <w:tr>
        <w:trPr>
          <w:tblHeader/>
        </w:trPr>
        <w:tc>
          <w:tcPr>
            <w:tcW w:type="dxa" w:w="7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8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4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Estrategia</w:t>
            </w:r>
          </w:p>
        </w:tc>
        <w:tc>
          <w:tcPr>
            <w:tcW w:type="dxa" w:w="26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Controles / medidas</w:t>
            </w:r>
          </w:p>
        </w:tc>
        <w:tc>
          <w:tcPr>
            <w:tcW w:type="dxa" w:w="12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Responsable</w:t>
            </w:r>
          </w:p>
        </w:tc>
        <w:tc>
          <w:tcPr>
            <w:tcW w:type="dxa" w:w="1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Plazo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RIE-01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Ransomware BD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MFA, cifrado AES-256, backups offsite, EDR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CISO / TI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≤30 días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RIE-06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Phishing privilegiados</w:t>
            </w:r>
          </w:p>
        </w:tc>
        <w:tc>
          <w:tcPr>
            <w:tcW w:type="dxa" w:w="1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Concienciación, simulaciones, MFA obligatorio</w:t>
            </w:r>
          </w:p>
        </w:tc>
        <w:tc>
          <w:tcPr>
            <w:tcW w:type="dxa" w:w="12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CISO / RRHH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≤30 días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RIE-02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Acceso no autorizado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Revisión ACLs, segmentación, SIEM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Gerencia TI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31–90 días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RIE-03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Fuga por insider</w:t>
            </w:r>
          </w:p>
        </w:tc>
        <w:tc>
          <w:tcPr>
            <w:tcW w:type="dxa" w:w="1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Mitigar+Transferir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DLP, segregación funciones, seguro</w:t>
            </w:r>
          </w:p>
        </w:tc>
        <w:tc>
          <w:tcPr>
            <w:tcW w:type="dxa" w:w="12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Legal + TI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31–90 días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RIE-04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DDoS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Transferir+Mitigar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Anti-DDoS/CDN, contrato resiliencia ISP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Gerencia TI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31–90 días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RIE-07</w:t>
            </w:r>
          </w:p>
        </w:tc>
        <w:tc>
          <w:tcPr>
            <w:tcW w:type="dxa" w:w="18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Explotación CVE</w:t>
            </w:r>
          </w:p>
        </w:tc>
        <w:tc>
          <w:tcPr>
            <w:tcW w:type="dxa" w:w="14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Mitigar</w:t>
            </w:r>
          </w:p>
        </w:tc>
        <w:tc>
          <w:tcPr>
            <w:tcW w:type="dxa" w:w="26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Gestión de parches, escaneo mensual</w:t>
            </w:r>
          </w:p>
        </w:tc>
        <w:tc>
          <w:tcPr>
            <w:tcW w:type="dxa" w:w="12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Custodio TI</w:t>
            </w:r>
          </w:p>
        </w:tc>
        <w:tc>
          <w:tcPr>
            <w:tcW w:type="dxa" w:w="1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91–180 días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RIE-05</w:t>
            </w:r>
          </w:p>
        </w:tc>
        <w:tc>
          <w:tcPr>
            <w:tcW w:type="dxa" w:w="18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Brecha proveedor</w:t>
            </w:r>
          </w:p>
        </w:tc>
        <w:tc>
          <w:tcPr>
            <w:tcW w:type="dxa" w:w="14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Aceptar+Mitigar</w:t>
            </w:r>
          </w:p>
        </w:tc>
        <w:tc>
          <w:tcPr>
            <w:tcW w:type="dxa" w:w="26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Cláusulas contractuales, auditoría anual</w:t>
            </w:r>
          </w:p>
        </w:tc>
        <w:tc>
          <w:tcPr>
            <w:tcW w:type="dxa" w:w="12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Dirección</w:t>
            </w:r>
          </w:p>
        </w:tc>
        <w:tc>
          <w:tcPr>
            <w:tcW w:type="dxa" w:w="1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91–180 días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XI. Cálculo de riesgo residual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nueva, documentada explícitamente en esta versión final para reflejar el modelo ya implementado en js/calc.js. El riesgo residual se calcula sobre los controles cargados en cada escenario mediante una combinación multiplicativa de eficacias — no aditiva — porque los controles actúan sobre el riesgo remanente, no sobre el riesgo original completo: sumar eficacias directamente puede superar el 100% de reducción con apenas tres controles independientes, lo cual carece de sentido físico.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Fórmula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Factor de reducción por eje: factor = ∏(1 − eficacia_i), con un tope de reducción acumulada del 95% (factor mínimo = 0,05).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P_residual = P × factor_preventivos  (los controles preventivos reducen la probabilidad)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I_residual = I × factor_detectivos  (los controles detectivos reducen el impacto, al acortar tiempo de detección/respuesta)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R_residual = máx(P_residual × I_residual, 1)  (piso de 1: el riesgo residual nunca se reporta como cero)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Ejemplo aplicado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100"/>
        <w:gridCol w:w="1350"/>
        <w:gridCol w:w="3050"/>
        <w:gridCol w:w="1050"/>
        <w:gridCol w:w="1050"/>
      </w:tblGrid>
      <w:tr>
        <w:trPr>
          <w:tblHeader/>
        </w:trPr>
        <w:tc>
          <w:tcPr>
            <w:tcW w:type="dxa" w:w="7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2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Escenario</w:t>
            </w:r>
          </w:p>
        </w:tc>
        <w:tc>
          <w:tcPr>
            <w:tcW w:type="dxa" w:w="13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 inherente</w:t>
            </w:r>
          </w:p>
        </w:tc>
        <w:tc>
          <w:tcPr>
            <w:tcW w:type="dxa" w:w="30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Controles aplicados</w:t>
            </w:r>
          </w:p>
        </w:tc>
        <w:tc>
          <w:tcPr>
            <w:tcW w:type="dxa" w:w="10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 residual</w:t>
            </w:r>
          </w:p>
        </w:tc>
        <w:tc>
          <w:tcPr>
            <w:tcW w:type="dxa" w:w="10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Nivel residual</w:t>
            </w:r>
          </w:p>
        </w:tc>
      </w:tr>
      <w:tr>
        <w:tc>
          <w:tcPr>
            <w:tcW w:type="dxa" w:w="7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RIE-01</w:t>
            </w:r>
          </w:p>
        </w:tc>
        <w:tc>
          <w:tcPr>
            <w:tcW w:type="dxa" w:w="2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Ransomware BD clientes</w:t>
            </w:r>
          </w:p>
        </w:tc>
        <w:tc>
          <w:tcPr>
            <w:tcW w:type="dxa" w:w="13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20 (Crítico)</w:t>
            </w:r>
          </w:p>
        </w:tc>
        <w:tc>
          <w:tcPr>
            <w:tcW w:type="dxa" w:w="3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MFA 60% (Prev.), EDR 20% (Det.), cifrado backups 30% (Prev.)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6.40</w:t>
            </w:r>
          </w:p>
        </w:tc>
        <w:tc>
          <w:tcPr>
            <w:tcW w:type="dxa" w:w="1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Moderado</w:t>
            </w:r>
          </w:p>
        </w:tc>
      </w:tr>
      <w:tr>
        <w:tc>
          <w:tcPr>
            <w:tcW w:type="dxa" w:w="7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RIE-06</w:t>
            </w:r>
          </w:p>
        </w:tc>
        <w:tc>
          <w:tcPr>
            <w:tcW w:type="dxa" w:w="2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Phishing a privilegiados</w:t>
            </w:r>
          </w:p>
        </w:tc>
        <w:tc>
          <w:tcPr>
            <w:tcW w:type="dxa" w:w="13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16 (Crítico)</w:t>
            </w:r>
          </w:p>
        </w:tc>
        <w:tc>
          <w:tcPr>
            <w:tcW w:type="dxa" w:w="3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MFA obligatorio (Prev.) — sin control detectivo cargado</w:t>
            </w:r>
          </w:p>
        </w:tc>
        <w:tc>
          <w:tcPr>
            <w:tcW w:type="dxa" w:w="1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9.60</w:t>
            </w:r>
          </w:p>
        </w:tc>
        <w:tc>
          <w:tcPr>
            <w:tcW w:type="dxa" w:w="1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Significativo</w:t>
            </w:r>
          </w:p>
        </w:tc>
      </w:tr>
    </w:tbl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Alerta de asimetría de tratamiento: en RIE-06 el impacto residual permanece alto porque el plan de tratamiento no incluye ningún control detectivo — el aplicativo señala esta condición automáticamente cuando un escenario de nivel Crítico o Alto carece de controles de ese tipo, dirigiendo la atención del equipo hacia una brecha de diseño que el valor numérico por sí solo no evidenciaría con la misma claridad.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XII. Comunicación y consulta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Fase nueva, documentada como sección propia para separarla explícitamente del monitoreo (Fase XIV). Comprende dos instrumentos: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Bitácora de comunicación: registro de observaciones y recomendaciones con fecha, tipo, riesgo relacionado, emisor, receptor y estado de seguimiento.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Reportes por audiencia: tres vistas generadas a partir del mismo estado — Reporte ejecutivo (Dirección: riesgos críticos activos y exposición acumulada inherente/residual), Reporte por responsable de área (riesgos, nivel y controles pendientes por escenario) y Reporte de auditoría y cumplimiento (inventario de activos, escenarios con estrategia y riesgo residual, y registro completo de comunicaciones).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Nota de transparencia (ver también Sección XIII): estas vistas segmentan la información por audiencia dentro del mismo aplicativo, pero no implementan control de acceso con autenticación — cualquier persona con acceso al navegador puede ver los tres reportes. Esta limitación se declara explícitamente y no debe interpretarse como una segregación de permisos real.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XIII. Dilema ético y responsabilidad profesional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Sección exigida por el RC4 de la consigna (responsabilidades éticas y profesionales del ingeniero) y referenciada directamente desde la interfaz del aplicativo.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13.1 Transparencia sobre el alcance del control de acceso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Como se indica en la Sección XII, los "reportes por audiencia" no son un sistema de permisos: son vistas filtradas del mismo almacenamiento local. Presentar esta funcionalidad sin declarar su límite induciría a un directivo o auditor a asumir garantías de confidencialidad que el sistema no ofrece. La responsabilidad profesional exige declarar esta limitación de forma explícita, tanto en la documentación como en la propia interfaz — lo cual se implementó como buena práctica de este proyecto.</w:t>
      </w:r>
    </w:p>
    <w:p>
      <w:pPr>
        <w:pStyle w:val="Heading2"/>
        <w:spacing w:after="120" w:before="240"/>
      </w:pPr>
      <w:r>
        <w:rPr>
          <w:b/>
          <w:bCs/>
          <w:color w:val="2b4c8c"/>
          <w:sz w:val="24"/>
          <w:szCs w:val="24"/>
        </w:rPr>
        <w:t xml:space="preserve">13.2 Alcance de uso frente a datos regulados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ACT-001 (Base de datos de clientes) está clasificado como información regulada por la LOPDP. MERCI almacena su información en localStorage, sin cifrado y sin control de acceso, por lo que no debe usarse con datos reales de esa naturaleza sin incorporar antes autenticación, cifrado en reposo y una base de datos con control de acceso. Declarar este límite de alcance —y no solo las capacidades— es parte de la responsabilidad profesional del equipo desarrollador frente a cualquier organización que evalúe adoptar la herramienta.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XIV. Plan de mejora y monitoreo continuo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4200"/>
        <w:gridCol w:w="2050"/>
        <w:gridCol w:w="2000"/>
      </w:tblGrid>
      <w:tr>
        <w:trPr>
          <w:tblHeader/>
        </w:trPr>
        <w:tc>
          <w:tcPr>
            <w:tcW w:type="dxa" w:w="11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2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Indicador (KPI)</w:t>
            </w:r>
          </w:p>
        </w:tc>
        <w:tc>
          <w:tcPr>
            <w:tcW w:type="dxa" w:w="205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000"/>
            <w:shd w:fill="1a2744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Frecuencia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KPI-01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Tiempo medio de detección (MTTD)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 4 horas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KPI-02</w:t>
            </w:r>
          </w:p>
        </w:tc>
        <w:tc>
          <w:tcPr>
            <w:tcW w:type="dxa" w:w="4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Tiempo medio de respuesta (MTTR)</w:t>
            </w:r>
          </w:p>
        </w:tc>
        <w:tc>
          <w:tcPr>
            <w:tcW w:type="dxa" w:w="2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 8 horas</w:t>
            </w:r>
          </w:p>
        </w:tc>
        <w:tc>
          <w:tcPr>
            <w:tcW w:type="dxa" w:w="2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KPI-03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% activos críticos con MFA activo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100%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Trimestral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KPI-04</w:t>
            </w:r>
          </w:p>
        </w:tc>
        <w:tc>
          <w:tcPr>
            <w:tcW w:type="dxa" w:w="4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% parches aplicados en ≤30 días</w:t>
            </w:r>
          </w:p>
        </w:tc>
        <w:tc>
          <w:tcPr>
            <w:tcW w:type="dxa" w:w="2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≥ 95%</w:t>
            </w:r>
          </w:p>
        </w:tc>
        <w:tc>
          <w:tcPr>
            <w:tcW w:type="dxa" w:w="2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KPI-05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N.º de incidentes de seguridad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Tendencia decreciente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KPI-06</w:t>
            </w:r>
          </w:p>
        </w:tc>
        <w:tc>
          <w:tcPr>
            <w:tcW w:type="dxa" w:w="4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% personal capacitado en ciberseguridad</w:t>
            </w:r>
          </w:p>
        </w:tc>
        <w:tc>
          <w:tcPr>
            <w:tcW w:type="dxa" w:w="2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≥ 90%</w:t>
            </w:r>
          </w:p>
        </w:tc>
        <w:tc>
          <w:tcPr>
            <w:tcW w:type="dxa" w:w="2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Semestral</w:t>
            </w:r>
          </w:p>
        </w:tc>
      </w:tr>
      <w:tr>
        <w:tc>
          <w:tcPr>
            <w:tcW w:type="dxa" w:w="11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KPI-07</w:t>
            </w:r>
          </w:p>
        </w:tc>
        <w:tc>
          <w:tcPr>
            <w:tcW w:type="dxa" w:w="42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Tasa de clic en phishing simulado</w:t>
            </w:r>
          </w:p>
        </w:tc>
        <w:tc>
          <w:tcPr>
            <w:tcW w:type="dxa" w:w="205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≤ 5%</w:t>
            </w:r>
          </w:p>
        </w:tc>
        <w:tc>
          <w:tcPr>
            <w:tcW w:type="dxa" w:w="200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Trimestral</w:t>
            </w:r>
          </w:p>
        </w:tc>
      </w:tr>
      <w:tr>
        <w:tc>
          <w:tcPr>
            <w:tcW w:type="dxa" w:w="11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KPI-08</w:t>
            </w:r>
          </w:p>
        </w:tc>
        <w:tc>
          <w:tcPr>
            <w:tcW w:type="dxa" w:w="42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Cumplimiento de controles ISO/IEC 27001</w:t>
            </w:r>
          </w:p>
        </w:tc>
        <w:tc>
          <w:tcPr>
            <w:tcW w:type="dxa" w:w="205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≥ 80%</w:t>
            </w:r>
          </w:p>
        </w:tc>
        <w:tc>
          <w:tcPr>
            <w:tcW w:type="dxa" w:w="2000"/>
            <w:shd w:fill="F0F3F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1a2744"/>
                <w:sz w:val="18"/>
                <w:szCs w:val="18"/>
              </w:rPr>
              <w:t xml:space="preserve">Anual</w:t>
            </w:r>
          </w:p>
        </w:tc>
      </w:tr>
    </w:tbl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Ciclo de revisión: riesgos Críticos, revisión mensual de indicadores y revisión completa del escenario cada 6 meses; riesgos Altos, revisión trimestral y anual; riesgos Significativos/Moderados, revisión semestral y anual. Revisiones extraordinarias ante incidentes, cambios tecnológicos relevantes o cambios normativos.</w:t>
      </w:r>
    </w:p>
    <w:p>
      <w:r>
        <w:br w:type="page"/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XV. Conclusiones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Con las tres secciones incorporadas en esta versión final (controles existentes en identificación, riesgo residual y comunicación como fases propias, y dilema ético), MERCI cubre de forma explícita y verificable los seis puntos mínimos exigidos por la consigna, cerrando la brecha detectada en la versión anterior de la metodología escrita respecto del aplicativo ya corregido.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El modelo de riesgo residual multiplicativo, con piso de 1 y tope de reducción del 95%, es la elección técnica correcta frente a una suma simple de eficacias, y la detección de asimetría de tratamiento aporta valor real al dirigir la atención hacia escenarios con controles preventivos pero sin controles detectivos.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La integración con la Tarea 5 sigue siendo eficiente: el inventario de activos preexistente evita duplicar el esfuerzo de identificación y ancla la valoración CIA en criterios ya validados por los responsables de área.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La metodología reconoce sus propios límites: el modelo de persistencia (localStorage) y de reportes por audiencia no constituye un control de acceso real, y esta limitación se declara explícitamente como ejercicio de responsabilidad profesional, no se oculta ni se minimiza.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XVI. Recomendaciones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Realizar una prueba piloto de MERCI en un entorno controlado antes de cualquier uso más allá del ámbito académico.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Conformar un equipo multidisciplinario (TI, legal, dirección) para la aplicación de la metodología, dado que la evaluación de riesgo requiere perspectivas diversas.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Mantener los catálogos de amenazas, vulnerabilidades, controles existentes y escenarios de riesgo actualizados según la periodicidad definida en el plan de monitoreo.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No usar el aplicativo para datos personales reales sin antes incorporar autenticación, cifrado en reposo y backend con control de acceso y auditoría inmutable.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Completar una Evaluación de Impacto (DPIA/EIPD) conforme a la Guía SPDP-SPD-2025-0003-R antes de levantar información real de una organización, dado que dos escenarios (RIE-01, RIE-06) involucran datos personales.</w:t>
      </w:r>
    </w:p>
    <w:p>
      <w:pPr>
        <w:pStyle w:val="ListParagraph"/>
        <w:numPr>
          <w:ilvl w:val="0"/>
          <w:numId w:val="1"/>
        </w:numPr>
        <w:spacing w:after="90" w:line="290"/>
      </w:pPr>
      <w:r>
        <w:rPr>
          <w:b w:val="false"/>
          <w:bCs w:val="false"/>
          <w:sz w:val="21"/>
          <w:szCs w:val="21"/>
        </w:rPr>
        <w:t xml:space="preserve">Explorar la incorporación de una plataforma GRC o backend propio para automatizar el registro, cálculo y seguimiento de los escenarios de riesgo, si el proyecto evoluciona más allá del entorno académico.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XVII. Bibliografía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Superintendencia de Protección de Datos Personales del Ecuador. (2025). Guía de Gestión de Riesgos y Evaluación de Impacto del Tratamiento de Datos Personales (Resolución N.° SPDP-SPD-2025-0003-R). SPDP.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Núñez, C., Martinez, A., &amp; Choca, J. (2025). Criterio Específico ABET: Tarea 5 — Procedimiento de Gestión de Activos Digitales. Facultad de Ingeniería y Ciencias Aplicadas, Ingeniería en Software — Seguridad Informática.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International Organization for Standardization. (2022). ISO/IEC 27005:2022 — Information security, cybersecurity and privacy protection — Guidance on managing information security risks. ISO.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International Organization for Standardization. (2022). ISO/IEC 27001:2022 — Information security, cybersecurity and privacy protection — Information security management systems — Requirements. ISO.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International Organization for Standardization. (2022). ISO/IEC 27002:2022 — Information security, cybersecurity and privacy protection — Information security controls. ISO.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National Institute of Standards and Technology. (2012). NIST Special Publication 800-30 Rev. 1 — Guide for Conducting Risk Assessments. U.S. Department of Commerce.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Ministerio de Hacienda y Administraciones Públicas de España. (2012). MAGERIT v3 — Metodología de Análisis y Gestión de Riesgos de los Sistemas de Información.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Hernández, S. (2025). Conexión entre ISO 27005 e ISO 27001: Impulsa tu gestión de riesgos en seguridad de la información. GlobalSuite Solutions.</w:t>
      </w:r>
    </w:p>
    <w:p>
      <w:pPr>
        <w:spacing w:after="160" w:line="300"/>
        <w:jc w:val="left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Van Dijk, V. (2026). NIST Risk Assessment Guide (SP 800-30): Process, Steps &amp; Template. Security Scientist.</w:t>
      </w:r>
    </w:p>
    <w:p>
      <w:pPr>
        <w:pStyle w:val="Heading1"/>
      </w:pPr>
      <w:r>
        <w:t>XVIII. Manual de usuario del aplicativo web MERCI</w:t>
      </w:r>
    </w:p>
    <w:p>
      <w:r>
        <w:t>Esta sección documenta, paso a paso, el uso del aplicativo web que implementa la metodología descrita en las secciones anteriores. El aplicativo está publicado en línea y no requiere instalación, servidor propio ni registro de usuario:</w:t>
      </w:r>
    </w:p>
    <w:p>
      <w:pPr>
        <w:pStyle w:val="ListParagraph"/>
        <w:numPr>
          <w:ilvl w:val="0"/>
          <w:numId w:val="1"/>
        </w:numPr>
      </w:pPr>
      <w:r>
        <w:t>URL de acceso: https://seguridadinformatica-merci.vercel.app/</w:t>
      </w:r>
    </w:p>
    <w:p>
      <w:pPr>
        <w:pStyle w:val="ListParagraph"/>
        <w:numPr>
          <w:ilvl w:val="0"/>
          <w:numId w:val="1"/>
        </w:numPr>
      </w:pPr>
      <w:r>
        <w:t>Funciona en cualquier navegador moderno (Chrome, Edge, Firefox); no requiere backend ni base de datos externa.</w:t>
      </w:r>
    </w:p>
    <w:p>
      <w:pPr>
        <w:pStyle w:val="ListParagraph"/>
        <w:numPr>
          <w:ilvl w:val="0"/>
          <w:numId w:val="1"/>
        </w:numPr>
      </w:pPr>
      <w:r>
        <w:t>Todos los datos se guardan en el almacenamiento local (localStorage) del navegador, con las limitaciones ya declaradas en la Sección XIII (dilema ético y responsabilidad profesional): no hay sincronización entre usuarios ni control de acceso real.</w:t>
      </w:r>
    </w:p>
    <w:p>
      <w:pPr>
        <w:pStyle w:val="ListParagraph"/>
        <w:numPr>
          <w:ilvl w:val="0"/>
          <w:numId w:val="1"/>
        </w:numPr>
      </w:pPr>
      <w:r>
        <w:t>Al abrir la aplicación por primera vez, esta se siembra automáticamente con los datos de ejemplo de esta metodología (7 activos, 7 amenazas, 7 vulnerabilidades, 7 escenarios de riesgo, 4 controles existentes), de modo que la demo y el informe escrito sean coherentes entre sí.</w:t>
      </w:r>
    </w:p>
    <w:p>
      <w:pPr>
        <w:pStyle w:val="Heading2"/>
      </w:pPr>
      <w:r>
        <w:t>18.1 Estructura general de la interfaz</w:t>
      </w:r>
    </w:p>
    <w:p>
      <w:r>
        <w:t>La aplicación se organiza en un menú lateral con ocho módulos, numerados de 00 a 07, que siguen el mismo orden que las fases de esta metodología. La barra superior muestra siempre el nombre del módulo activo.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35"/>
        <w:gridCol w:w="3235"/>
        <w:gridCol w:w="3235"/>
      </w:tblGrid>
      <w:tr>
        <w:tc>
          <w:tcPr>
            <w:tcW w:type="dxa" w:w="3235"/>
          </w:tcPr>
          <w:p>
            <w:r/>
            <w:r>
              <w:rPr>
                <w:b/>
              </w:rPr>
              <w:t>Módulo (interfaz)</w:t>
            </w:r>
          </w:p>
        </w:tc>
        <w:tc>
          <w:tcPr>
            <w:tcW w:type="dxa" w:w="3235"/>
          </w:tcPr>
          <w:p>
            <w:r/>
            <w:r>
              <w:rPr>
                <w:b/>
              </w:rPr>
              <w:t>Fase de MERCI</w:t>
            </w:r>
          </w:p>
        </w:tc>
        <w:tc>
          <w:tcPr>
            <w:tcW w:type="dxa" w:w="3235"/>
          </w:tcPr>
          <w:p>
            <w:r/>
            <w:r>
              <w:rPr>
                <w:b/>
              </w:rPr>
              <w:t>Qué permite hacer</w:t>
            </w:r>
          </w:p>
        </w:tc>
      </w:tr>
      <w:tr>
        <w:tc>
          <w:tcPr>
            <w:tcW w:type="dxa" w:w="3235"/>
          </w:tcPr>
          <w:p>
            <w:r/>
            <w:r>
              <w:t>00 Panel general</w:t>
            </w:r>
          </w:p>
        </w:tc>
        <w:tc>
          <w:tcPr>
            <w:tcW w:type="dxa" w:w="3235"/>
          </w:tcPr>
          <w:p>
            <w:r/>
            <w:r>
              <w:t>—</w:t>
            </w:r>
          </w:p>
        </w:tc>
        <w:tc>
          <w:tcPr>
            <w:tcW w:type="dxa" w:w="3235"/>
          </w:tcPr>
          <w:p>
            <w:r/>
            <w:r>
              <w:t>Vista consolidada: KPIs globales, matrices de calor (inherente/residual), comparativo inherente vs. residual por escenario, y controles de datos (exportar, restaurar, borrar).</w:t>
            </w:r>
          </w:p>
        </w:tc>
      </w:tr>
      <w:tr>
        <w:tc>
          <w:tcPr>
            <w:tcW w:type="dxa" w:w="3235"/>
          </w:tcPr>
          <w:p>
            <w:r/>
            <w:r>
              <w:t>01 Activos</w:t>
            </w:r>
          </w:p>
        </w:tc>
        <w:tc>
          <w:tcPr>
            <w:tcW w:type="dxa" w:w="3235"/>
          </w:tcPr>
          <w:p>
            <w:r/>
            <w:r>
              <w:t>V–VI. Identificación y valoración CIA</w:t>
            </w:r>
          </w:p>
        </w:tc>
        <w:tc>
          <w:tcPr>
            <w:tcW w:type="dxa" w:w="3235"/>
          </w:tcPr>
          <w:p>
            <w:r/>
            <w:r>
              <w:t>Registrar, editar y eliminar activos; cálculo automático de la valoración CIA.</w:t>
            </w:r>
          </w:p>
        </w:tc>
      </w:tr>
      <w:tr>
        <w:tc>
          <w:tcPr>
            <w:tcW w:type="dxa" w:w="3235"/>
          </w:tcPr>
          <w:p>
            <w:r/>
            <w:r>
              <w:t>02 Amenazas y vulnerabilidades</w:t>
            </w:r>
          </w:p>
        </w:tc>
        <w:tc>
          <w:tcPr>
            <w:tcW w:type="dxa" w:w="3235"/>
          </w:tcPr>
          <w:p>
            <w:r/>
            <w:r>
              <w:t>VII. Identificación de amenazas, vulnerabilidades y controles existentes</w:t>
            </w:r>
          </w:p>
        </w:tc>
        <w:tc>
          <w:tcPr>
            <w:tcW w:type="dxa" w:w="3235"/>
          </w:tcPr>
          <w:p>
            <w:r/>
            <w:r>
              <w:t>Tres catálogos en una sola vista: amenazas, vulnerabilidades y controles existentes.</w:t>
            </w:r>
          </w:p>
        </w:tc>
      </w:tr>
      <w:tr>
        <w:tc>
          <w:tcPr>
            <w:tcW w:type="dxa" w:w="3235"/>
          </w:tcPr>
          <w:p>
            <w:r/>
            <w:r>
              <w:t>03 Riesgos</w:t>
            </w:r>
          </w:p>
        </w:tc>
        <w:tc>
          <w:tcPr>
            <w:tcW w:type="dxa" w:w="3235"/>
          </w:tcPr>
          <w:p>
            <w:r/>
            <w:r>
              <w:t>VIII. Valoración de riesgos</w:t>
            </w:r>
          </w:p>
        </w:tc>
        <w:tc>
          <w:tcPr>
            <w:tcW w:type="dxa" w:w="3235"/>
          </w:tcPr>
          <w:p>
            <w:r/>
            <w:r>
              <w:t>Registrar escenarios de riesgo; cálculo automático de R = I × P y su nivel en la matriz 5×5.</w:t>
            </w:r>
          </w:p>
        </w:tc>
      </w:tr>
      <w:tr>
        <w:tc>
          <w:tcPr>
            <w:tcW w:type="dxa" w:w="3235"/>
          </w:tcPr>
          <w:p>
            <w:r/>
            <w:r>
              <w:t>04 Tratamiento</w:t>
            </w:r>
          </w:p>
        </w:tc>
        <w:tc>
          <w:tcPr>
            <w:tcW w:type="dxa" w:w="3235"/>
          </w:tcPr>
          <w:p>
            <w:r/>
            <w:r>
              <w:t>X. Tratamiento del riesgo</w:t>
            </w:r>
          </w:p>
        </w:tc>
        <w:tc>
          <w:tcPr>
            <w:tcW w:type="dxa" w:w="3235"/>
          </w:tcPr>
          <w:p>
            <w:r/>
            <w:r>
              <w:t>Definir estrategia(s), incorporar controles existentes sugeridos o registrar controles nuevos con eficacia y cláusula ISO/IEC 27002:2022.</w:t>
            </w:r>
          </w:p>
        </w:tc>
      </w:tr>
      <w:tr>
        <w:tc>
          <w:tcPr>
            <w:tcW w:type="dxa" w:w="3235"/>
          </w:tcPr>
          <w:p>
            <w:r/>
            <w:r>
              <w:t>05 Riesgo residual</w:t>
            </w:r>
          </w:p>
        </w:tc>
        <w:tc>
          <w:tcPr>
            <w:tcW w:type="dxa" w:w="3235"/>
          </w:tcPr>
          <w:p>
            <w:r/>
            <w:r>
              <w:t>XI. Cálculo de riesgo residual</w:t>
            </w:r>
          </w:p>
        </w:tc>
        <w:tc>
          <w:tcPr>
            <w:tcW w:type="dxa" w:w="3235"/>
          </w:tcPr>
          <w:p>
            <w:r/>
            <w:r>
              <w:t>Cálculo automático de P residual, I residual y R residual; alerta de asimetría de tratamiento.</w:t>
            </w:r>
          </w:p>
        </w:tc>
      </w:tr>
      <w:tr>
        <w:tc>
          <w:tcPr>
            <w:tcW w:type="dxa" w:w="3235"/>
          </w:tcPr>
          <w:p>
            <w:r/>
            <w:r>
              <w:t>06 Comunicación y consulta</w:t>
            </w:r>
          </w:p>
        </w:tc>
        <w:tc>
          <w:tcPr>
            <w:tcW w:type="dxa" w:w="3235"/>
          </w:tcPr>
          <w:p>
            <w:r/>
            <w:r>
              <w:t>XII. Comunicación y consulta</w:t>
            </w:r>
          </w:p>
        </w:tc>
        <w:tc>
          <w:tcPr>
            <w:tcW w:type="dxa" w:w="3235"/>
          </w:tcPr>
          <w:p>
            <w:r/>
            <w:r>
              <w:t>Bitácora de comunicación y generación de tres reportes por audiencia, exportables a PDF.</w:t>
            </w:r>
          </w:p>
        </w:tc>
      </w:tr>
      <w:tr>
        <w:tc>
          <w:tcPr>
            <w:tcW w:type="dxa" w:w="3235"/>
          </w:tcPr>
          <w:p>
            <w:r/>
            <w:r>
              <w:t>07 Monitoreo</w:t>
            </w:r>
          </w:p>
        </w:tc>
        <w:tc>
          <w:tcPr>
            <w:tcW w:type="dxa" w:w="3235"/>
          </w:tcPr>
          <w:p>
            <w:r/>
            <w:r>
              <w:t>XIV. Plan de mejora y monitoreo continuo</w:t>
            </w:r>
          </w:p>
        </w:tc>
        <w:tc>
          <w:tcPr>
            <w:tcW w:type="dxa" w:w="3235"/>
          </w:tcPr>
          <w:p>
            <w:r/>
            <w:r>
              <w:t>Gauges de KPI y actualización manual del valor alcanzado.</w:t>
            </w:r>
          </w:p>
        </w:tc>
      </w:tr>
    </w:tbl>
    <w:p>
      <w:pPr>
        <w:pStyle w:val="Heading2"/>
      </w:pPr>
      <w:r>
        <w:t>18.2 Panel general (00)</w:t>
      </w:r>
    </w:p>
    <w:p>
      <w:r>
        <w:t>Es la pantalla de entrada. Muestra cuatro indicadores (riesgos en nivel Crítico, escenarios de riesgo activos, activos bajo evaluación y % de reducción de riesgo post-tratamiento), las matrices de calor 5×5 de riesgo inherente y residual, y un comparativo de barras inherente/residual por cada escenario. Al pie del panel están los controles de datos:</w:t>
      </w:r>
    </w:p>
    <w:p>
      <w:pPr>
        <w:pStyle w:val="ListParagraph"/>
        <w:numPr>
          <w:ilvl w:val="0"/>
          <w:numId w:val="1"/>
        </w:numPr>
      </w:pPr>
      <w:r>
        <w:t>"Exportar datos (JSON)": descarga un respaldo del estado actual de la aplicación.</w:t>
      </w:r>
    </w:p>
    <w:p>
      <w:pPr>
        <w:pStyle w:val="ListParagraph"/>
        <w:numPr>
          <w:ilvl w:val="0"/>
          <w:numId w:val="1"/>
        </w:numPr>
      </w:pPr>
      <w:r>
        <w:t>"Restaurar datos de ejemplo": vuelve a los datos semilla de esta metodología (útil antes de una demostración).</w:t>
      </w:r>
    </w:p>
    <w:p>
      <w:pPr>
        <w:pStyle w:val="ListParagraph"/>
        <w:numPr>
          <w:ilvl w:val="0"/>
          <w:numId w:val="1"/>
        </w:numPr>
      </w:pPr>
      <w:r>
        <w:t>"Borrar todos los datos": elimina toda la información cargada en el navegador. Ambas acciones son irreversibles sobre los datos guardados localmente; se recomienda exportar un respaldo antes de usarlas.</w:t>
      </w:r>
    </w:p>
    <w:p>
      <w:pPr>
        <w:pStyle w:val="Heading2"/>
      </w:pPr>
      <w:r>
        <w:t>18.3 Registro de activos (01)</w:t>
      </w:r>
    </w:p>
    <w:p>
      <w:pPr>
        <w:pStyle w:val="ListParagraph"/>
        <w:numPr>
          <w:ilvl w:val="0"/>
          <w:numId w:val="1"/>
        </w:numPr>
      </w:pPr>
      <w:r>
        <w:t>Clic en "+ Nuevo activo".</w:t>
      </w:r>
    </w:p>
    <w:p>
      <w:pPr>
        <w:pStyle w:val="ListParagraph"/>
        <w:numPr>
          <w:ilvl w:val="0"/>
          <w:numId w:val="1"/>
        </w:numPr>
      </w:pPr>
      <w:r>
        <w:t>Completar nombre, categoría (una de las siete categorías de la Tarea 5) y los valores de Confidencialidad (C), Integridad (I) y Disponibilidad (D) en escala 1–5.</w:t>
      </w:r>
    </w:p>
    <w:p>
      <w:pPr>
        <w:pStyle w:val="ListParagraph"/>
        <w:numPr>
          <w:ilvl w:val="0"/>
          <w:numId w:val="1"/>
        </w:numPr>
      </w:pPr>
      <w:r>
        <w:t>Al guardar, el aplicativo calcula automáticamente la valoración CIA ponderada (C×0,40 + I×0,35 + D×0,25) y la muestra en la tabla de inventario.</w:t>
      </w:r>
    </w:p>
    <w:p>
      <w:pPr>
        <w:pStyle w:val="ListParagraph"/>
        <w:numPr>
          <w:ilvl w:val="0"/>
          <w:numId w:val="1"/>
        </w:numPr>
      </w:pPr>
      <w:r>
        <w:t>Para modificar un activo existente, usar el botón "Editar" de su fila; para eliminarlo, usar "Eliminar". Si el activo está referenciado en amenazas, vulnerabilidades o escenarios de riesgo, el aplicativo advierte antes de confirmar que esas referencias quedarán huérfanas.</w:t>
      </w:r>
    </w:p>
    <w:p>
      <w:pPr>
        <w:pStyle w:val="Heading2"/>
      </w:pPr>
      <w:r>
        <w:t>18.4 Amenazas, vulnerabilidades y controles existentes (02)</w:t>
      </w:r>
    </w:p>
    <w:p>
      <w:r>
        <w:t>Este módulo agrupa los tres registros exigidos en la fase de identificación (Sección VII) en catálogos independientes, cada uno con su propio botón de alta:</w:t>
      </w:r>
    </w:p>
    <w:p>
      <w:pPr>
        <w:pStyle w:val="ListParagraph"/>
        <w:numPr>
          <w:ilvl w:val="0"/>
          <w:numId w:val="1"/>
        </w:numPr>
      </w:pPr>
      <w:r>
        <w:t>"+ Nueva amenaza": nombre, origen (interna/externa/tercero) y activos expuestos.</w:t>
      </w:r>
    </w:p>
    <w:p>
      <w:pPr>
        <w:pStyle w:val="ListParagraph"/>
        <w:numPr>
          <w:ilvl w:val="0"/>
          <w:numId w:val="1"/>
        </w:numPr>
      </w:pPr>
      <w:r>
        <w:t>"+ Nueva vulnerabilidad": nombre, tipo (tecnológica/organizacional/de procesos) y activos afectados.</w:t>
      </w:r>
    </w:p>
    <w:p>
      <w:pPr>
        <w:pStyle w:val="ListParagraph"/>
        <w:numPr>
          <w:ilvl w:val="0"/>
          <w:numId w:val="1"/>
        </w:numPr>
      </w:pPr>
      <w:r>
        <w:t>"+ Nuevo control existente": nombre del control, tipo (Preventivo/Detectivo), vulnerabilidad(es) que cubre, eficacia estimada (%) y estado (Implementado/Parcial/Planificado). Este catálogo no está atado a un escenario específico: registra lo que ya opera en la organización, independientemente del tratamiento formal de cada riesgo.</w:t>
      </w:r>
    </w:p>
    <w:p>
      <w:pPr>
        <w:pStyle w:val="ListParagraph"/>
        <w:numPr>
          <w:ilvl w:val="0"/>
          <w:numId w:val="1"/>
        </w:numPr>
      </w:pPr>
      <w:r>
        <w:t>Cada fila permite "Editar" o "Eliminar" con las mismas advertencias de referencias huérfanas que en el módulo de Activos.</w:t>
      </w:r>
    </w:p>
    <w:p>
      <w:pPr>
        <w:pStyle w:val="Heading2"/>
      </w:pPr>
      <w:r>
        <w:t>18.5 Escenarios de riesgo (03)</w:t>
      </w:r>
    </w:p>
    <w:p>
      <w:pPr>
        <w:pStyle w:val="ListParagraph"/>
        <w:numPr>
          <w:ilvl w:val="0"/>
          <w:numId w:val="1"/>
        </w:numPr>
      </w:pPr>
      <w:r>
        <w:t>Clic en "+ Nuevo escenario".</w:t>
      </w:r>
    </w:p>
    <w:p>
      <w:pPr>
        <w:pStyle w:val="ListParagraph"/>
        <w:numPr>
          <w:ilvl w:val="0"/>
          <w:numId w:val="1"/>
        </w:numPr>
      </w:pPr>
      <w:r>
        <w:t>Completar nombre del escenario, activo primario, amenaza (del catálogo del módulo 02) y las vulnerabilidades explotadas (selección múltiple).</w:t>
      </w:r>
    </w:p>
    <w:p>
      <w:pPr>
        <w:pStyle w:val="ListParagraph"/>
        <w:numPr>
          <w:ilvl w:val="0"/>
          <w:numId w:val="1"/>
        </w:numPr>
      </w:pPr>
      <w:r>
        <w:t>Asignar Impacto (I) y Probabilidad (P) en escala 1–5; el formulario muestra las anclas de cada escala (por ejemplo, P=3 "Posible": ocurrencia esperada entre 1 y 3 veces en 5 años) como referencia para la calificación.</w:t>
      </w:r>
    </w:p>
    <w:p>
      <w:pPr>
        <w:pStyle w:val="ListParagraph"/>
        <w:numPr>
          <w:ilvl w:val="0"/>
          <w:numId w:val="1"/>
        </w:numPr>
      </w:pPr>
      <w:r>
        <w:t>Al guardar, el aplicativo calcula automáticamente R = I × P, su nivel (Bajo a Crítico) y ubica el escenario en la matriz de calor 5×5.</w:t>
      </w:r>
    </w:p>
    <w:p>
      <w:pPr>
        <w:pStyle w:val="Heading2"/>
      </w:pPr>
      <w:r>
        <w:t>18.6 Tratamiento del riesgo (04)</w:t>
      </w:r>
    </w:p>
    <w:p>
      <w:pPr>
        <w:pStyle w:val="ListParagraph"/>
        <w:numPr>
          <w:ilvl w:val="0"/>
          <w:numId w:val="1"/>
        </w:numPr>
      </w:pPr>
      <w:r>
        <w:t>Desde el módulo Riesgos o Tratamiento, clic en "Editar tratamiento" de un escenario.</w:t>
      </w:r>
    </w:p>
    <w:p>
      <w:pPr>
        <w:pStyle w:val="ListParagraph"/>
        <w:numPr>
          <w:ilvl w:val="0"/>
          <w:numId w:val="1"/>
        </w:numPr>
      </w:pPr>
      <w:r>
        <w:t>Marcar la(s) estrategia(s) aplicable(s) (Mitigar, Transferir, Aceptar, Evitar) mediante casillas.</w:t>
      </w:r>
    </w:p>
    <w:p>
      <w:pPr>
        <w:pStyle w:val="ListParagraph"/>
        <w:numPr>
          <w:ilvl w:val="0"/>
          <w:numId w:val="1"/>
        </w:numPr>
      </w:pPr>
      <w:r>
        <w:t>Si existen controles del catálogo de identificación (módulo 02) que cubren alguna vulnerabilidad del escenario y aún no están incorporados a su tratamiento, el aplicativo los sugiere automáticamente y basta un clic en "+ Usar" para copiarlos al plan (conservan nombre, tipo y eficacia; la cláusula ISO y el responsable quedan en blanco para completarlos en el contexto del escenario).</w:t>
      </w:r>
    </w:p>
    <w:p>
      <w:pPr>
        <w:pStyle w:val="ListParagraph"/>
        <w:numPr>
          <w:ilvl w:val="0"/>
          <w:numId w:val="1"/>
        </w:numPr>
      </w:pPr>
      <w:r>
        <w:t>También se puede registrar un control nuevo directamente: nombre, tipo (Preventivo/Detectivo), eficacia (%), cláusula de ISO/IEC 27002:2022 y responsable.</w:t>
      </w:r>
    </w:p>
    <w:p>
      <w:pPr>
        <w:pStyle w:val="ListParagraph"/>
        <w:numPr>
          <w:ilvl w:val="0"/>
          <w:numId w:val="1"/>
        </w:numPr>
      </w:pPr>
      <w:r>
        <w:t>"Guardar tratamiento" confirma los cambios y actualiza el escenario.</w:t>
      </w:r>
    </w:p>
    <w:p>
      <w:pPr>
        <w:pStyle w:val="Heading2"/>
      </w:pPr>
      <w:r>
        <w:t>18.7 Riesgo residual (05)</w:t>
      </w:r>
    </w:p>
    <w:p>
      <w:r>
        <w:t>Vista de solo lectura que recalcula automáticamente, para cada escenario con controles cargados en el módulo de Tratamiento: la probabilidad residual (P_res, reducida por los controles preventivos), el impacto residual (I_res, reducido por los controles detectivos) y el riesgo residual (R_res = P_res × I_res), junto con su nivel resultante. Cuando un escenario tiene únicamente controles preventivos y ningún control detectivo, el aplicativo muestra automáticamente una alerta de "asimetría de tratamiento" señalando que el impacto residual no se está reduciendo.</w:t>
      </w:r>
    </w:p>
    <w:p>
      <w:pPr>
        <w:pStyle w:val="Heading2"/>
      </w:pPr>
      <w:r>
        <w:t>18.8 Comunicación y consulta (06)</w:t>
      </w:r>
    </w:p>
    <w:p>
      <w:r>
        <w:t>Este módulo tiene dos partes:</w:t>
      </w:r>
    </w:p>
    <w:p>
      <w:pPr>
        <w:pStyle w:val="ListParagraph"/>
        <w:numPr>
          <w:ilvl w:val="0"/>
          <w:numId w:val="1"/>
        </w:numPr>
      </w:pPr>
      <w:r>
        <w:t>Bitácora: "+ Nuevo registro" permite documentar fecha, tipo de comunicación, riesgo relacionado (opcional), emisor, receptor, estado de seguimiento y detalle.</w:t>
      </w:r>
    </w:p>
    <w:p>
      <w:pPr>
        <w:pStyle w:val="ListParagraph"/>
        <w:numPr>
          <w:ilvl w:val="0"/>
          <w:numId w:val="1"/>
        </w:numPr>
      </w:pPr>
      <w:r>
        <w:t>Reportes por audiencia: un clic en cualquiera de los tres botones (Dirección, Responsable de área, Auditoría y cumplimiento) genera el reporte correspondiente en pantalla; el botón "Imprimir / Exportar PDF" abre el diálogo de impresión del navegador para guardarlo o imprimirlo. El propio módulo recuerda la nota de transparencia: estas vistas filtran información por audiencia dentro de la misma aplicación, pero no implementan control de acceso con autenticación (ver Sección XIII).</w:t>
      </w:r>
    </w:p>
    <w:p>
      <w:pPr>
        <w:pStyle w:val="Heading2"/>
      </w:pPr>
      <w:r>
        <w:t>18.9 Monitoreo (07)</w:t>
      </w:r>
    </w:p>
    <w:p>
      <w:r>
        <w:t>Presenta un medidor (gauge) por cada KPI definido en la Sección XIV, con su meta, frecuencia de revisión y valor actual. El valor actual se actualiza escribiendo el nuevo dato en el campo numérico junto al indicador; el color del medidor cambia según qué tan cerca o lejos está el valor de su meta.</w:t>
      </w:r>
    </w:p>
    <w:p>
      <w:pPr>
        <w:pStyle w:val="Heading2"/>
      </w:pPr>
      <w:r>
        <w:t>18.10 Recomendaciones de uso</w:t>
      </w:r>
    </w:p>
    <w:p>
      <w:pPr>
        <w:pStyle w:val="ListParagraph"/>
        <w:numPr>
          <w:ilvl w:val="0"/>
          <w:numId w:val="1"/>
        </w:numPr>
      </w:pPr>
      <w:r>
        <w:t>Usar "Restaurar datos de ejemplo" antes de una demostración para volver al estado inicial coherente con esta metodología.</w:t>
      </w:r>
    </w:p>
    <w:p>
      <w:pPr>
        <w:pStyle w:val="ListParagraph"/>
        <w:numPr>
          <w:ilvl w:val="0"/>
          <w:numId w:val="1"/>
        </w:numPr>
      </w:pPr>
      <w:r>
        <w:t>Exportar los datos (JSON) periódicamente como respaldo, dado que la aplicación no tiene backend ni base de datos externa.</w:t>
      </w:r>
    </w:p>
    <w:p>
      <w:pPr>
        <w:pStyle w:val="ListParagraph"/>
        <w:numPr>
          <w:ilvl w:val="0"/>
          <w:numId w:val="1"/>
        </w:numPr>
      </w:pPr>
      <w:r>
        <w:t>No introducir datos personales reales de una organización en el aplicativo sin antes revisar la Sección XIII (dilema ético y responsabilidad profesional) y las recomendaciones de la Sección XVI.</w:t>
      </w:r>
    </w:p>
    <w:p>
      <w:pPr>
        <w:pStyle w:val="Heading1"/>
        <w:spacing w:after="160" w:before="320"/>
      </w:pPr>
      <w:r>
        <w:rPr>
          <w:b/>
          <w:bCs/>
          <w:color w:val="1a2744"/>
          <w:sz w:val="27"/>
          <w:szCs w:val="27"/>
        </w:rPr>
        <w:t xml:space="preserve">Anexos</w:t>
      </w:r>
    </w:p>
    <w:p>
      <w:pPr>
        <w:spacing w:after="160" w:line="300"/>
        <w:jc w:val="both"/>
      </w:pPr>
      <w:r>
        <w:rPr>
          <w:b w:val="false"/>
          <w:bCs w:val="false"/>
          <w:i w:val="false"/>
          <w:iCs w:val="false"/>
          <w:sz w:val="21"/>
          <w:szCs w:val="21"/>
        </w:rPr>
        <w:t xml:space="preserve">Se mantienen vigentes como anexos de esta metodología: Instrumentos 1 a 4 de la Tarea 5 (Matriz de Clasificación de Activos, Hoja de Valoración Ponderada, Esquema de Priorización y Respuesta, Registro de Revisiones); y de la Tarea 8, el Anexo A (Glosario de Términos), Anexo B (Plantilla de Registro de Activos), Anexo C (Plantilla de Registro de Escenarios de Riesgo) y Anexo D (Esquema de Integración Tarea 5 → Tarea 8), este último ahora extendido para incluir el registro de controles existentes, el riesgo residual y la comunicación como fases propias.</w:t>
      </w:r>
    </w:p>
    <w:sectPr>
      <w:footerReference w:type="default" r:id="rId7"/>
      <w:pgSz w:w="11906" w:h="16838" w:orient="portrait"/>
      <w:pgMar w:top="1080" w:right="1100" w:bottom="108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MERCI — Seguridad Informática ·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2026-07-06T17:30:32.806Z</dcterms:created>
  <dcterms:modified xsi:type="dcterms:W3CDTF">2026-07-06T17:30:32.806Z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