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开发设计文档</w:t>
      </w:r>
    </w:p>
    <w:p>
      <w:pPr>
        <w:spacing w:after="720"/>
        <w:jc w:val="center"/>
      </w:pPr>
      <w:r>
        <w:rPr>
          <w:rFonts w:ascii="Calibri" w:hAnsi="Calibri" w:eastAsia="Microsoft YaHei"/>
          <w:b w:val="0"/>
          <w:i w:val="0"/>
          <w:color w:val="666666"/>
          <w:sz w:val="28"/>
        </w:rPr>
        <w:t>目标架构、领域模型、量化模型、数据、接口、安全与测试设计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文档编号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MRP-SDD-002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V2.0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正式设计基线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适用系统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MoneyRobert Pro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2026-06-22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b/>
          <w:i w:val="0"/>
          <w:color w:val="7A5A00"/>
          <w:sz w:val="20"/>
        </w:rPr>
        <w:t>内部设计与开发使用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编制目的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给出系统从当前模块化单体演进为可信交易分析平台的详细设计，明确组件职责、关键算法、数据结构、接口、部署、测试和迁移方案。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目标读者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架构师、后端/前端/数据/量化研发、测试、运维、安全与技术负责人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状态口径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【现状】已在代码中实现；【修复】已实现但必须整改；【规划】目标版本新增能力。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优先级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P0 阻断实盘；P1 核心能力；P2 增强能力；P3 体验优化。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设计目标与约束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现状架构评估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目标逻辑架构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领域与模块设计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数据架构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量化预测设计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组合与风险设计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回测与执行设计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Agent与LLM设计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接口与事件设计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前端设计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安全设计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可观测性与运维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测试策略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迁移与发布方案</w:t>
      </w:r>
    </w:p>
    <w:p>
      <w:r>
        <w:br w:type="page"/>
      </w:r>
    </w:p>
    <w:p>
      <w:pPr>
        <w:pStyle w:val="Heading1"/>
      </w:pPr>
      <w:r>
        <w:t>1 设计目标与约束</w:t>
      </w:r>
    </w:p>
    <w:p>
      <w:r>
        <w:rPr>
          <w:rFonts w:ascii="Calibri" w:hAnsi="Calibri" w:eastAsia="Microsoft YaHei"/>
          <w:b w:val="0"/>
          <w:i w:val="0"/>
          <w:color w:val="1F1F1F"/>
          <w:sz w:val="22"/>
        </w:rPr>
        <w:t>系统采用模块化单体作为近期部署形态，以领域边界和事件契约实现逻辑解耦。只有在吞吐、团队边界或独立扩缩容产生明确需求时再拆分服务。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核心账本与风控必须确定性、可测试、可重放。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所有研究输入满足 point-in-time 语义。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预测输出为概率分布，不输出未经校准的确定性价格结论。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实盘执行与 LLM 隔离，任何模型不可直接调用交易所下单。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以 PostgreSQL 为事实源，Redis 只承担缓存、锁和短期队列。</w:t>
      </w:r>
    </w:p>
    <w:p>
      <w:pPr>
        <w:pStyle w:val="Heading1"/>
      </w:pPr>
      <w:r>
        <w:t>2 现状架构评估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方面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现状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设计决策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后端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Rust/Axum 模块化单体，路由模块较多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保留单体，拆出 application/domain/infrastructure 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分析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ai_analysis.rs 聚合HTTP、指标、Prompt和评分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拆为分析用例、特征服务、Agent编排、评分策略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行情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20交易对串行REST轮询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WebSocket优先、REST补偿、并发限速与质量状态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回测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已有撮合、账户、风险、绩效模块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先修账本，再统一回测/模拟/实盘语义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前端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Vue页面功能完整但大型页面集中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按领域拆页面容器、组件、查询与状态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任务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进程内异步任务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持久化Job、租约、重试、幂等与恢复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7E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P0 技术债：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撮合引擎的平仓现金处理和超量反手逻辑必须在任何模型评估、Agent晋级或实盘扩权之前修复。</w:t>
            </w:r>
          </w:p>
        </w:tc>
      </w:tr>
    </w:tbl>
    <w:p>
      <w:pPr>
        <w:spacing w:after="0"/>
      </w:pPr>
    </w:p>
    <w:p>
      <w:pPr>
        <w:pStyle w:val="Heading1"/>
      </w:pPr>
      <w:r>
        <w:t>3 目标逻辑架构</w:t>
      </w:r>
    </w:p>
    <w:p>
      <w:r>
        <w:rPr>
          <w:rFonts w:ascii="Calibri" w:hAnsi="Calibri" w:eastAsia="Microsoft YaHei"/>
          <w:b w:val="0"/>
          <w:i w:val="0"/>
          <w:color w:val="1F1F1F"/>
          <w:sz w:val="22"/>
        </w:rPr>
        <w:t>推荐数据流：Market Data → Normalization → Feature Store → Model/Signal → Portfolio/Risk → Execution → Ledger/Attribution。控制流与数据流分离，所有阶段使用 correlation_id 和版本信息连接。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层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核心组件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接入层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REST/WebSocket API、认证、限流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输入校验、身份、协议转换，不实现业务算法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应用层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Use Case、Job Orchestrator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事务边界、流程编排、权限与幂等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领域层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Market、Signal、Portfolio、Risk、Execution、Ledger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纯业务规则与状态机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研究层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Feature、Model、Calibration、Backtest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特征计算、预测、验证和模型治理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基础设施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PostgreSQL、Redis、OKX、LLM、消息/任务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外部适配、持久化、缓存和可靠交付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体验层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Vue Query/Store、决策卡、交易台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任务流程、证据展示和风险交互</w:t>
            </w:r>
          </w:p>
        </w:tc>
      </w:tr>
    </w:tbl>
    <w:p>
      <w:pPr>
        <w:spacing w:after="0"/>
      </w:pPr>
    </w:p>
    <w:p>
      <w:pPr>
        <w:pStyle w:val="Heading1"/>
      </w:pPr>
      <w:r>
        <w:t>4 领域与模块设计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限界上下文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聚合/实体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职责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Market Data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Instrument、Tick、Bar、OrderBook、Trade、Funding、OpenInterest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数据标准化和质量状态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Research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FeatureSet、DatasetSnapshot、Experiment、ModelVersion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可重复研究与防泄漏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Decision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Forecast、AgentOpinion、DecisionEvidence、TradeCandidate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概率观点和证据聚合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Portfolio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Portfolio、Position、Exposure、RiskBudget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组合目标与风险分配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Execution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OrderIntent、Order、Fill、VenueState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订单状态机与交易所同步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Ledger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CashEntry、PositionLot、Fee、FundingPayment、EquitySnapshot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双重校验的资金事实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Governance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Approval、LimitVersion、ModelCard、AuditEvent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审批、版本和审计</w:t>
            </w:r>
          </w:p>
        </w:tc>
      </w:tr>
    </w:tbl>
    <w:p>
      <w:pPr>
        <w:spacing w:after="0"/>
      </w:pPr>
    </w:p>
    <w:p>
      <w:pPr>
        <w:pStyle w:val="Heading1"/>
      </w:pPr>
      <w:r>
        <w:t>5 数据架构</w:t>
      </w:r>
    </w:p>
    <w:p>
      <w:pPr>
        <w:pStyle w:val="Heading2"/>
      </w:pPr>
      <w:r>
        <w:t>5.1 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层级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示例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不可变性与版本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Raw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交易所响应、WebSocket事件、新闻原文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追加写；保存source_ts/receive_ts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Normalized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统一Tick、Bar、Funding、OI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schema_version与质量标记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Feature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动量、波动、订单流、宏观状态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feature_set_version与as_of_time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Prediction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概率、分位数、模型不确定度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model/calibration/version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Execution/Ledger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订单、成交、费用、仓位、权益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不可覆盖；用冲正记录修正</w:t>
            </w:r>
          </w:p>
        </w:tc>
      </w:tr>
    </w:tbl>
    <w:p>
      <w:pPr>
        <w:spacing w:after="0"/>
      </w:pPr>
    </w:p>
    <w:p>
      <w:pPr>
        <w:pStyle w:val="Heading2"/>
      </w:pPr>
      <w:r>
        <w:t>5.2 数据质量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Completeness：周期内缺口率和连续缺口。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Timeliness：source_ts 到 receive_ts 延迟及最后更新时间。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Validity：价格、数量、时间、精度和枚举合法性。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Consistency：跨源价格偏差、OHLC约束和成交量单调规则。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Uniqueness：交易所事件ID或复合唯一键去重。</w:t>
      </w:r>
    </w:p>
    <w:p>
      <w:pPr>
        <w:pStyle w:val="Heading2"/>
      </w:pPr>
      <w:r>
        <w:t>5.3 核心数据库调整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对象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关键字段/约束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instrument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venue、symbol、type、tick_size、lot_size、status、valid_time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market_event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source_ts、receive_ts、sequence、quality_status、raw_ref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feature_value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feature_set_id、as_of_time、value、source_window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forecast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horizon、p_up/p_down/p_flat、quantiles、model_version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order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client_order_id UNIQUE、venue_order_id、state、version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ledger_entry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account、currency、amount、entry_type、reference_id、immutable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audit_event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actor、action、resource、before/after、correlation_id</w:t>
            </w:r>
          </w:p>
        </w:tc>
      </w:tr>
    </w:tbl>
    <w:p>
      <w:pPr>
        <w:spacing w:after="0"/>
      </w:pPr>
    </w:p>
    <w:p>
      <w:pPr>
        <w:pStyle w:val="Heading1"/>
      </w:pPr>
      <w:r>
        <w:t>6 量化预测设计</w:t>
      </w:r>
    </w:p>
    <w:p>
      <w:r>
        <w:rPr>
          <w:rFonts w:ascii="Calibri" w:hAnsi="Calibri" w:eastAsia="Microsoft YaHei"/>
          <w:b w:val="0"/>
          <w:i w:val="0"/>
          <w:color w:val="1F1F1F"/>
          <w:sz w:val="22"/>
        </w:rPr>
        <w:t>预测目标采用未来对数收益 r(t,h)=ln(P(t+h)/P(t))。模型同时输出方向概率、条件收益分位数和波动率，不直接将上涨概率解释为预期收益。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组件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设计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Label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按交易周期定义h和中性阈值θ；扣除可交易成本后标记方向。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Feature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价格、量价、订单流、衍生品、波动、跨资产、新闻/宏观/链上。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Regime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HMM/Change Point/聚类识别趋势、震荡、高波动和流动性危机。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Baseline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随机、永远看涨、动量、均值回复、逻辑回归。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Model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优先LightGBM/XGBoost；时序深度模型仅在基线后验证。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Calibration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Platt/Isotonic；按周期、品种和regime监控Brier/ECE。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Validation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Walk-forward、purged K-fold、embargo、成本压力测试。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决策函数：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EV = Σ p(state) × conditional_return(state) - fee - slippage - funding - impact。仅 EV、概率置信区间和 CVaR 同时达标时进入组合层。</w:t>
            </w:r>
          </w:p>
        </w:tc>
      </w:tr>
    </w:tbl>
    <w:p>
      <w:pPr>
        <w:spacing w:after="0"/>
      </w:pPr>
    </w:p>
    <w:p>
      <w:pPr>
        <w:pStyle w:val="Heading1"/>
      </w:pPr>
      <w:r>
        <w:t>7 组合与风险设计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层级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信号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最低数据质量、最低净期望、预测新鲜度、模型适用状态。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仓位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risk_budget / stop_distance，并以波动率和流动性缩放。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组合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单资产、相关簇、方向、策略、交易所、币种和总杠杆上限。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尾部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历史/参数CVaR、压力场景、跳空和流动性折价。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行为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连续亏损、频率、异常加仓、模型漂移触发降级。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熔断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阻止新订单、取消挂单、可选减仓；恢复必须审批。</w:t>
            </w:r>
          </w:p>
        </w:tc>
      </w:tr>
    </w:tbl>
    <w:p>
      <w:pPr>
        <w:spacing w:after="0"/>
      </w:pPr>
    </w:p>
    <w:p>
      <w:pPr>
        <w:pStyle w:val="Heading1"/>
      </w:pPr>
      <w:r>
        <w:t>8 回测与执行设计</w:t>
      </w:r>
    </w:p>
    <w:p>
      <w:pPr>
        <w:pStyle w:val="Heading2"/>
      </w:pPr>
      <w:r>
        <w:t>8.1 统一订单状态机</w:t>
      </w:r>
    </w:p>
    <w:p>
      <w:r>
        <w:rPr>
          <w:rFonts w:ascii="Calibri" w:hAnsi="Calibri" w:eastAsia="Microsoft YaHei"/>
          <w:b w:val="0"/>
          <w:i w:val="0"/>
          <w:color w:val="1F1F1F"/>
          <w:sz w:val="22"/>
        </w:rPr>
        <w:t>CREATED → RISK_APPROVED → SUBMITTED → ACKNOWLEDGED → PARTIALLY_FILLED → FILLED；异常分支为 REJECTED、CANCEL_PENDING、CANCELLED、EXPIRED、UNKNOWN。UNKNOWN 必须通过交易所回查，不得盲目重试。</w:t>
      </w:r>
    </w:p>
    <w:p>
      <w:pPr>
        <w:pStyle w:val="Heading2"/>
      </w:pPr>
      <w:r>
        <w:t>8.2 撮合原则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市价单使用下一可交易事件价格并加入方向性滑点。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限价触及不等于必然成交，应支持排队/成交概率模型。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反手拆为平旧仓和开新仓两笔会计动作。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手续费、滑点、资金费率和借贷成本分别入账。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任何事件后执行现金、仓位、权益和PnL恒等式校验。</w:t>
      </w:r>
    </w:p>
    <w:p>
      <w:pPr>
        <w:pStyle w:val="Heading2"/>
      </w:pPr>
      <w:r>
        <w:t>8.3 绩效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以日末权益计算收益，不使用日内峰值代理。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分别报告毛收益、交易成本、资金成本与净收益。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输出Sharpe、Sortino、Calmar、最大回撤、回撤时长、CVaR和换手率。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按策略、Agent、品种、regime和时间归因。</w:t>
      </w:r>
    </w:p>
    <w:p>
      <w:pPr>
        <w:pStyle w:val="Heading1"/>
      </w:pPr>
      <w:r>
        <w:t>9 Agent 与 LLM 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职责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允许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禁止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信息抽取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新闻事件、实体、影响方向、时间范围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执行新闻中的指令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观点生成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基于结构化证据解释支持/反对理由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虚构缺失数据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辩论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暴露冲突、补充反证、标记不可用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用角色数量制造假共识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决策说明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解释确定性评分器结果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覆盖风控和订单方向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自演进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提出候选Prompt/策略版本并离线评估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在线直接替换生产策略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i w:val="0"/>
          <w:color w:val="1F1F1F"/>
          <w:sz w:val="22"/>
        </w:rPr>
        <w:t>所有 LLM 输出先按 JSON Schema 验证，再进入评分器。来源为 hardcoded、fallback 或 unavailable 的观点，其有效权重必须为零。Prompt 版本必须经过离线回放、样本外评估和人工审批。</w:t>
      </w:r>
    </w:p>
    <w:p>
      <w:pPr>
        <w:pStyle w:val="Heading1"/>
      </w:pPr>
      <w:r>
        <w:t>10 接口与事件设计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规范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REST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统一错误码、request_id、分页、幂等键和版本前缀。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WebSocket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认证后订阅；频道级授权；sequence和重连补偿。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内部事件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event_id、type、version、occurred_at、correlation_id、payload。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任务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持久化状态、租约、attempt、next_retry_at、dead_letter。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兼容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新增字段向后兼容；破坏变更发布新API版本。</w:t>
            </w:r>
          </w:p>
        </w:tc>
      </w:tr>
    </w:tbl>
    <w:p>
      <w:pPr>
        <w:spacing w:after="0"/>
      </w:pPr>
    </w:p>
    <w:p>
      <w:pPr>
        <w:pStyle w:val="Heading1"/>
      </w:pPr>
      <w:r>
        <w:t>11 前端设计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页面容器负责路由与用例，展示组件不直接访问API。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统一 Server State 查询缓存，Pinia仅保存认证、偏好和跨页工作流。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决策卡展示周期、概率、期望、成本、风险、证据、反证和失效条件。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实盘、模拟、纸面环境使用持续可见且不可混淆的颜色和文字标识。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高危按钮采用明确结果描述、二次确认和不可逆性说明。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图表支持数据时间、来源、缺口和过期状态。</w:t>
      </w:r>
    </w:p>
    <w:p>
      <w:pPr>
        <w:pStyle w:val="Heading1"/>
      </w:pPr>
      <w:r>
        <w:t>12 安全设计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威胁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控制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越权访问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所有权过滤+服务层授权+RLS+自动化越权测试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密钥泄漏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信封加密、轮换、脱敏、最小交易所权限、禁止提币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订单重放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幂等键、nonce/时间窗、订单状态回查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Prompt注入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外部文本隔离、结构化抽取、工具白名单、输出Schema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供应链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锁定依赖、SCA、镜像签名、SBOM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审计篡改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追加写审计、哈希链/外部归档、时间同步</w:t>
            </w:r>
          </w:p>
        </w:tc>
      </w:tr>
    </w:tbl>
    <w:p>
      <w:pPr>
        <w:spacing w:after="0"/>
      </w:pPr>
    </w:p>
    <w:p>
      <w:pPr>
        <w:pStyle w:val="Heading1"/>
      </w:pPr>
      <w:r>
        <w:t>13 可观测性与运维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技术指标：请求延迟、错误、DB池、任务积压、WebSocket重连。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数据指标：延迟、缺口、异常、跨源偏差、最后有效时间。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模型指标：覆盖率、概率校准、漂移、各regime表现。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交易指标：订单拒绝、未知状态、成交延迟、滑点、手续费、仓位差异。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风险指标：暴露、回撤、CVaR、限额接近度和熔断状态。</w:t>
      </w:r>
    </w:p>
    <w:p>
      <w:pPr>
        <w:pStyle w:val="Heading1"/>
      </w:pPr>
      <w:r>
        <w:t>14 测试策略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测试层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重点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单元测试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指标、仓位、费用、PnL、状态机、权限规则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属性测试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随机订单下资金守恒、仓位不为非法负值、概率和为1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集成测试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数据库事务、OKX适配、任务恢复、用户隔离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回放测试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固定原始事件产生可重复预测与订单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压力测试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行情突发、LLM超时、数据库降级、交易所未知订单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前端E2E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登录、分析、模拟、风险确认、紧停、越权与错误状态</w:t>
            </w:r>
          </w:p>
        </w:tc>
      </w:tr>
    </w:tbl>
    <w:p>
      <w:pPr>
        <w:spacing w:after="0"/>
      </w:pPr>
    </w:p>
    <w:p>
      <w:pPr>
        <w:pStyle w:val="Heading1"/>
      </w:pPr>
      <w:r>
        <w:t>15 迁移与发布方案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冻结当前回测晋级结果，建立问题基线。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修复账本并对历史回测重新计算，旧结果标记为不可比较。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引入统一领域接口，通过适配器兼容现有路由。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建立影子预测，只记录不执行，完成概率校准。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纸面盘→交易所模拟盘→小额实盘逐级发布。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每级设置回滚、降级、熔断和人工审批门槛。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 xml:space="preserve">MoneyRobert Pro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i w:val="0"/>
        <w:color w:val="666666"/>
        <w:sz w:val="18"/>
      </w:rPr>
      <w:t>MoneyRobert Pro ·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