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系统操作手册</w:t>
      </w:r>
    </w:p>
    <w:p>
      <w:pPr>
        <w:spacing w:after="720"/>
        <w:jc w:val="center"/>
      </w:pPr>
      <w:r>
        <w:rPr>
          <w:rFonts w:ascii="Calibri" w:hAnsi="Calibri" w:eastAsia="Microsoft YaHei"/>
          <w:b w:val="0"/>
          <w:i w:val="0"/>
          <w:color w:val="666666"/>
          <w:sz w:val="28"/>
        </w:rPr>
        <w:t>市场分析、Agent 决策、模拟交易、回测、风控与系统管理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文档编号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MRP-UM-002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V2.0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正式设计基线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适用系统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MoneyRobert Pro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2026-06-22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b/>
          <w:i w:val="0"/>
          <w:color w:val="7A5A00"/>
          <w:sz w:val="20"/>
        </w:rPr>
        <w:t>内部设计与开发使用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编制目的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指导用户安全完成系统配置、市场分析、预测阅读、模拟交易、回测、自动化授权、风险控制和故障处理。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目标读者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普通用户、交易员、基金经理、风控人员、系统管理员和运维人员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状态口径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【现状】已在代码中实现；【修复】已实现但必须整改；【规划】目标版本新增能力。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优先级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P0 阻断实盘；P1 核心能力；P2 增强能力；P3 体验优化。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使用前须知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登录与基础设置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市场与行情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AI分析与预测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Agent辩论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策略与回测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纸面/模拟交易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实盘交易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自动交易与晋级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风险与紧急停止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报告与通知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管理员操作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常见问题与故障处理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安全检查清单</w:t>
      </w:r>
    </w:p>
    <w:p>
      <w:r>
        <w:br w:type="page"/>
      </w:r>
    </w:p>
    <w:p>
      <w:pPr>
        <w:pStyle w:val="Heading1"/>
      </w:pPr>
      <w:r>
        <w:t>1 使用前须知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7E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>风险声明：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系统分析不构成收益承诺。当前版本在回测账本和绩效计算完成 P0 整改前，不应依据现有回测结果扩大实盘权限。</w:t>
            </w:r>
          </w:p>
        </w:tc>
      </w:tr>
    </w:tbl>
    <w:p>
      <w:pPr>
        <w:spacing w:after="0"/>
      </w:pPr>
    </w:p>
    <w:p>
      <w:pPr>
        <w:pStyle w:val="Heading2"/>
      </w:pPr>
      <w:r>
        <w:t>1.1 环境识别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3300"/>
        <w:gridCol w:w="236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环境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资金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建议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纸面交易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系统虚拟资金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流程与策略初验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默认使用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OKX模拟盘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交易所模拟资金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验证订单和交易所适配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纸面盘通过后使用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实盘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真实资金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受控执行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仅在全部上线门槛通过后启用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操作前确认页面顶部环境标识、账户和交易对。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不要使用拥有提币权限的交易所 API Key。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先设置最大可接受损失，再讨论收益目标。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置信度不是保证概率；同时查看样本量、历史校准和数据时间。</w:t>
      </w:r>
    </w:p>
    <w:p>
      <w:pPr>
        <w:pStyle w:val="Heading1"/>
      </w:pPr>
      <w:r>
        <w:t>2 登录与基础设置</w:t>
      </w:r>
    </w:p>
    <w:p>
      <w:pPr>
        <w:pStyle w:val="Heading2"/>
      </w:pPr>
      <w:r>
        <w:t>2.1 注册与登录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进入注册页，填写用户名、邮箱和高强度密码。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登录后检查用户名和角色是否正确。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长时间无人操作或设备丢失时退出全部会话。</w:t>
      </w:r>
    </w:p>
    <w:p>
      <w:pPr>
        <w:pStyle w:val="Heading2"/>
      </w:pPr>
      <w:r>
        <w:t>2.2 配置交易所 API Key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在 OKX 创建独立 API Key，仅勾选读取和交易权限，禁止提币。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打开“系统设置 → API Key”，选择 OKX 与模拟盘/实盘类型。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填写 Key、Secret、Passphrase 并保存。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执行连接测试，确认账户、权限和环境一致。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>实盘保护：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首次配置必须先使用模拟盘密钥。若连接结果、账户或环境无法确认，请停止后续操作。</w:t>
            </w:r>
          </w:p>
        </w:tc>
      </w:tr>
    </w:tbl>
    <w:p>
      <w:pPr>
        <w:spacing w:after="0"/>
      </w:pPr>
    </w:p>
    <w:p>
      <w:pPr>
        <w:pStyle w:val="Heading2"/>
      </w:pPr>
      <w:r>
        <w:t>2.3 配置 AI 服务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进入“系统设置 → AI服务商”。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填写供应商、模型、Base URL 和 API Key。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将温度设为低到中等，保证结构化输出稳定。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执行测试调用并检查用量限制。</w:t>
      </w:r>
    </w:p>
    <w:p>
      <w:pPr>
        <w:pStyle w:val="Heading1"/>
      </w:pPr>
      <w:r>
        <w:t>3 市场与行情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打开“市场行情”，选择交易对和K线周期。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检查最新价、买卖价、成交量和数据更新时间。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查看资金费率、持仓量和多空比；确认数据来源是实时 OKX 还是数据库缓存。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若显示过期、缺口或无数据，不进入交易流程。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指标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含义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常见误区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资金费率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永续多空资金交换与拥挤度线索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正费率不等于马上下跌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持仓量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未平仓合约规模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单看增加无法判断方向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多空比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账户或仓位的相对比例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不同口径不能直接比较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RSI/MACD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动量与趋势特征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超买超卖不等于反转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ATR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波动幅度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不是方向预测</w:t>
            </w:r>
          </w:p>
        </w:tc>
      </w:tr>
    </w:tbl>
    <w:p>
      <w:pPr>
        <w:spacing w:after="0"/>
      </w:pPr>
    </w:p>
    <w:p>
      <w:pPr>
        <w:pStyle w:val="Heading1"/>
      </w:pPr>
      <w:r>
        <w:t>4 AI 分析与预测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打开“AI分析”，选择交易对和预测周期。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分别查看技术、资金、情绪和综合分析。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确认输入数据更新时间和缺失项。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阅读建议动作、风险等级、止损/止盈和理由。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在模拟盘验证，不从分析页直接扩大实盘仓位。</w:t>
      </w:r>
    </w:p>
    <w:p>
      <w:pPr>
        <w:pStyle w:val="Heading2"/>
      </w:pPr>
      <w:r>
        <w:t>4.1 正确阅读置信度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当前 Agent 置信度表示系统意见强度，不天然等于真实上涨概率。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优先查看历史相似样本量、校准表现和不同市场状态下的表现。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Agent 高度分歧、数据缺失或市场状态异常时，应选择观望。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任何建议都应扣除手续费、滑点和资金费率后再判断。</w:t>
      </w:r>
    </w:p>
    <w:p>
      <w:pPr>
        <w:pStyle w:val="Heading1"/>
      </w:pPr>
      <w:r>
        <w:t>5 Agent 辩论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进入“AI辩论分析”，选择交易对。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启动辩论，等待技术、资金和新闻部门完成独立意见。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查看各 Agent 的来源、方向、置信度与分析内容。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重点阅读部门冲突和反对证据。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查看基金经理最终动作、交易计划和风控否决原因。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将不可用、硬编码兜底或数据缺失的 Agent 视为无效证据。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判断原则：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Agent 数量多不代表证据更强。若多个 Agent 使用同一数据或同类指标，它们不是独立样本。</w:t>
            </w:r>
          </w:p>
        </w:tc>
      </w:tr>
    </w:tbl>
    <w:p>
      <w:pPr>
        <w:spacing w:after="0"/>
      </w:pPr>
    </w:p>
    <w:p>
      <w:pPr>
        <w:pStyle w:val="Heading1"/>
      </w:pPr>
      <w:r>
        <w:t>6 策略与回测</w:t>
      </w:r>
    </w:p>
    <w:p>
      <w:pPr>
        <w:pStyle w:val="Heading2"/>
      </w:pPr>
      <w:r>
        <w:t>6.1 创建策略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进入“策略管理”，新建策略。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选择交易对、方向、策略类型和参数。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设置止损、止盈、最大仓位、最大杠杆和有效期。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保存后先保持停用状态，进入回测。</w:t>
      </w:r>
    </w:p>
    <w:p>
      <w:pPr>
        <w:pStyle w:val="Heading2"/>
      </w:pPr>
      <w:r>
        <w:t>6.2 运行回测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选择不参与调参的历史区间。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填写初始资金、手续费、滑点和资金费率假设。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启动回测并记录数据版本与策略版本。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查看净收益、最大回撤、样本量、盈亏比、成本和不同市场状态表现。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使用样本外区间复验，不按单次最高收益选择参数。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必须查看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最低解释要求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交易数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样本是否足够，是否集中在少数日期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最大回撤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回撤幅度、持续时间和恢复时间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净收益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已扣手续费、滑点、资金费率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Sharpe/Sortino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计算频率、无风险利率和收益序列口径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分状态表现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趋势、震荡、高波动环境是否一致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7E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>当前限制：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现有撮合账本完成 P0 修复前，回测仅用于流程验证，不作为实盘晋级证据。</w:t>
            </w:r>
          </w:p>
        </w:tc>
      </w:tr>
    </w:tbl>
    <w:p>
      <w:pPr>
        <w:spacing w:after="0"/>
      </w:pPr>
    </w:p>
    <w:p>
      <w:pPr>
        <w:pStyle w:val="Heading1"/>
      </w:pPr>
      <w:r>
        <w:t>7 纸面与模拟交易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进入“纸面交易”或 Agent 仪表盘。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选择交易对、初始虚拟资金和分析周期。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启动模拟并观察首次决策，确认没有立即异常下单。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检查持仓、未实现盈亏、已实现盈亏、费用和权益。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对照交易历史确认每次开仓、加减仓和平仓原因。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达到预设观察期后生成报告，不只看胜率。</w:t>
      </w:r>
    </w:p>
    <w:p>
      <w:pPr>
        <w:pStyle w:val="Heading2"/>
      </w:pPr>
      <w:r>
        <w:t>7.1 模拟通过门槛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足够交易样本和足够长的运行时间。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最大回撤、单日亏损和连续亏损均未突破限制。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净收益为正且不是由单笔交易贡献。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系统重启、断网和行情异常演练通过。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账本与交易所模拟账户核对一致。</w:t>
      </w:r>
    </w:p>
    <w:p>
      <w:pPr>
        <w:pStyle w:val="Heading1"/>
      </w:pPr>
      <w:r>
        <w:t>8 实盘交易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7E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>启用条件：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只有风险负责人确认 P0 整改、模拟验证、权限隔离、订单幂等和紧急停止演练全部通过后，才可使用实盘。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确认当前环境明确显示“实盘”和正确账户。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检查可用余额、现有仓位和总风险暴露。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输入订单方向、类型、数量；限价单填写价格。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设置止损和止盈，查看预估最大损失和全部成本。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复核交易对、方向、杠杆、数量和环境后确认。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下单后等待交易所确认；UNKNOWN 状态不得重复下单。</w:t>
      </w:r>
    </w:p>
    <w:p>
      <w:pPr>
        <w:pStyle w:val="Heading1"/>
      </w:pPr>
      <w:r>
        <w:t>9 自动交易与晋级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00"/>
        <w:gridCol w:w="5460"/>
      </w:tblGrid>
      <w:tr>
        <w:trPr>
          <w:tblHeader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等级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模式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要求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内部纸面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验证基本决策和账本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交易所模拟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验证交易所订单与同步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受控实盘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小额、低杠杆、人工确认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受限自主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长期样本、双重审批、观察期和熔断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在 Agent 仪表盘查看当前等级和未满足条件。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完成模拟交易、风险指标和运行天数要求。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提交晋级申请，等待系统预检和人工审核。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签署风险确认并设置最大可接受亏损。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观察期内使用减半仓位和更低频率。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出现模型漂移、越限或异常时自动降级。</w:t>
      </w:r>
    </w:p>
    <w:p>
      <w:pPr>
        <w:pStyle w:val="Heading1"/>
      </w:pPr>
      <w:r>
        <w:t>10 风险与紧急停止</w:t>
      </w:r>
    </w:p>
    <w:p>
      <w:pPr>
        <w:pStyle w:val="Heading2"/>
      </w:pPr>
      <w:r>
        <w:t>10.1 日常检查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单笔风险、总仓位、总杠杆和相关资产集中度。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日/周回撤、连续亏损和交易频率。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数据新鲜度、模型适用状态和预测覆盖率。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交易所连接、订单未知状态和账户差异。</w:t>
      </w:r>
    </w:p>
    <w:p>
      <w:pPr>
        <w:pStyle w:val="Heading2"/>
      </w:pPr>
      <w:r>
        <w:t>10.2 紧急停止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点击 Agent 仪表盘右上角“紧急停止”。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确认停止新订单，并选择是否取消挂单。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检查现有仓位，按预案决定保持、减仓或全部平仓。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记录触发原因和账户快照。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问题排除后由授权人员审批恢复，不直接重新启动。</w:t>
      </w:r>
    </w:p>
    <w:p>
      <w:pPr>
        <w:pStyle w:val="Heading1"/>
      </w:pPr>
      <w:r>
        <w:t>11 报告与通知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报告至少包含期间、策略版本、模型版本、净收益、回撤、成本、样本量和异常事件。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通知按信息、警告、高风险和紧急四级分类。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紧急通知必须包含账户、交易对、风险类型、当前处置和下一步。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报告只允许所有者或授权角色访问、修改和导出。</w:t>
      </w:r>
    </w:p>
    <w:p>
      <w:pPr>
        <w:pStyle w:val="Heading1"/>
      </w:pPr>
      <w:r>
        <w:t>12 管理员操作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任务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操作要点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用户与角色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最小权限；高权限定期复核；禁用离职/异常账户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数据源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配置采集频率、保留期；检查最后有效时间和缺口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AI供应商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控制模型、配额、超时和密钥；记录调用审计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风险参数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版本化、双人审批；禁止无记录放宽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模型发布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模型卡、样本外报告、影子期、回滚版本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系统健康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数据库、Redis、任务、行情、交易所和磁盘容量</w:t>
            </w:r>
          </w:p>
        </w:tc>
      </w:tr>
    </w:tbl>
    <w:p>
      <w:pPr>
        <w:spacing w:after="0"/>
      </w:pPr>
    </w:p>
    <w:p>
      <w:pPr>
        <w:pStyle w:val="Heading1"/>
      </w:pPr>
      <w:r>
        <w:t>13 常见问题与故障处理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现象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检查与处理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没有行情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检查网络/代理、OKX状态、采集任务、最后数据时间；禁止使用旧缓存交易。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AI分析失败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检查供应商密钥、配额、模型名、代理和响应Schema；不得用伪造意见替代。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订单状态未知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停止重复提交，使用订单ID回查交易所；必要时人工对账。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账户权益不一致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立即停止自动交易，核对成交、费用、资金费率和账本事件。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WebSocket断开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自动重连后检查sequence缺口并REST补偿。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回测异常高收益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检查未来函数、费用、反手、现金记账、样本区间和幸存者偏差。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频繁触发熔断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保持停用，检查策略失效、波动状态、数据异常和风险参数。</w:t>
            </w:r>
          </w:p>
        </w:tc>
      </w:tr>
    </w:tbl>
    <w:p>
      <w:pPr>
        <w:spacing w:after="0"/>
      </w:pPr>
    </w:p>
    <w:p>
      <w:pPr>
        <w:pStyle w:val="Heading1"/>
      </w:pPr>
      <w:r>
        <w:t>14 安全检查清单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API Key 无提币权限，模拟和实盘密钥严格分离。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页面环境、账户、交易对、方向、数量和杠杆均已复核。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数据更新时间和来源正常，无缺口或降级。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最大损失、止损、组合暴露和熔断阈值已经设置。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报告和资源只能被授权用户访问。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紧急停止已演练，联系人和恢复审批人明确。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系统、依赖、数据库和备份状态正常。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 xml:space="preserve">MoneyRobert Pro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i w:val="0"/>
        <w:color w:val="666666"/>
        <w:sz w:val="18"/>
      </w:rPr>
      <w:t>MoneyRobert Pro · 系统操作手册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