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软件需求规格说明书</w:t>
      </w:r>
    </w:p>
    <w:p>
      <w:pPr>
        <w:spacing w:after="720"/>
        <w:jc w:val="center"/>
      </w:pPr>
      <w:r>
        <w:rPr>
          <w:rFonts w:ascii="Calibri" w:hAnsi="Calibri" w:eastAsia="Microsoft YaHei"/>
          <w:b w:val="0"/>
          <w:i w:val="0"/>
          <w:color w:val="666666"/>
          <w:sz w:val="28"/>
        </w:rPr>
        <w:t>面向加密资产分析、模拟交易与风险控制平台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文档编号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MRP-SRS-002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V2.0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正式设计基线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适用系统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MoneyRobert Pro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2026-06-22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b/>
          <w:i w:val="0"/>
          <w:color w:val="7A5A00"/>
          <w:sz w:val="20"/>
        </w:rPr>
        <w:t>内部设计与开发使用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编制目的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定义系统目标、范围、角色、功能、数据、模型、安全、非功能需求和验收标准，作为产品、研发、测试和上线评审共同基线。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目标读者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产品经理、经济/量化研究员、基金经理、架构师、研发、测试、运维与合规人员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状态口径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【现状】已在代码中实现；【修复】已实现但必须整改；【规划】目标版本新增能力。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优先级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P0 阻断实盘；P1 核心能力；P2 增强能力；P3 体验优化。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项目概述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业务目标与成功指标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系统边界与版本范围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用户角色与核心场景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功能需求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量化与经济模型需求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资金与风险管理需求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数据需求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非功能需求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安全与合规需求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验收标准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实施优先级与版本路线</w:t>
      </w:r>
    </w:p>
    <w:p>
      <w:r>
        <w:br w:type="page"/>
      </w:r>
    </w:p>
    <w:p>
      <w:pPr>
        <w:pStyle w:val="Heading1"/>
      </w:pPr>
      <w:r>
        <w:t>1 项目概述</w:t>
      </w:r>
    </w:p>
    <w:p>
      <w:r>
        <w:rPr>
          <w:rFonts w:ascii="Calibri" w:hAnsi="Calibri" w:eastAsia="Microsoft YaHei"/>
          <w:b w:val="0"/>
          <w:i w:val="0"/>
          <w:color w:val="1F1F1F"/>
          <w:sz w:val="22"/>
        </w:rPr>
        <w:t>MoneyRobert Pro 是一个面向加密资产市场的研究、决策、模拟、回测与交易辅助平台。系统通过市场数据、技术指标、衍生品资金数据、新闻事件和多 Agent 分析生成候选交易观点，并由确定性风控与执行模块约束交易行为。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产品定位：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系统输出的是带概率、成本和风险约束的决策支持，不承诺稳定盈利，也不得以 LLM 自信程度替代统计概率。</w:t>
            </w:r>
          </w:p>
        </w:tc>
      </w:tr>
    </w:tbl>
    <w:p>
      <w:pPr>
        <w:spacing w:after="0"/>
      </w:pPr>
    </w:p>
    <w:p>
      <w:pPr>
        <w:pStyle w:val="Heading2"/>
      </w:pPr>
      <w:r>
        <w:t>1.1 建设原则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先保证账本、数据与回测可信，再扩大自动化权限。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预测、组合、风控和执行分层；LLM 只生成候选观点和解释。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每项结论必须可追溯到数据时间、模型版本、规则版本和历史表现。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模拟盘、回测和实盘共用一致的订单、费用、仓位和风险语义。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默认保护用户资金，风险不确定时输出观望。</w:t>
      </w:r>
    </w:p>
    <w:p>
      <w:pPr>
        <w:pStyle w:val="Heading1"/>
      </w:pPr>
      <w:r>
        <w:t>2 业务目标与成功指标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3400"/>
        <w:gridCol w:w="146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目标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度量指标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目标值/门槛</w:t>
            </w:r>
          </w:p>
        </w:tc>
        <w:tc>
          <w:tcPr>
            <w:tcW w:type="dxa" w:w="1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研究可信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预测校准、数据新鲜度、样本外表现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概率校准误差可量化；关键数据有新鲜度状态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P0/P1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交易可信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账户资金守恒、订单幂等、费用完整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自动化测试100%覆盖关键资金路径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风险可控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最大回撤、CVaR、风险预算超限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超限阻断且全量审计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决策透明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证据覆盖率、反对证据、模型卡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每个建议包含数据来源与失效条件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操作高效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从发现机会到模拟执行的步骤数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核心任务5步内完成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</w:pPr>
      <w:r>
        <w:t>3 系统边界与版本范围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状态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范围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【现状】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OKX 行情与交易、K线/资金费率、技术分析、新闻、Agent 辩论、模拟盘、自动交易配置、回测、通知、报告、记忆与演进。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【修复】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回测撮合和现金记账、绩效指标、测试接入、报告数据隔离、数据质量告警、错误吞噬。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【规划】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特征仓库、概率预测、订单簿/逐笔/清算/期权/链上/宏观数据、组合风险、模型治理、可靠任务队列。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不在范围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保证收益、无人工治理的无限制实盘、绕过交易所或地区监管、将生成式文本直接作为订单。</w:t>
            </w:r>
          </w:p>
        </w:tc>
      </w:tr>
    </w:tbl>
    <w:p>
      <w:pPr>
        <w:spacing w:after="0"/>
      </w:pPr>
    </w:p>
    <w:p>
      <w:pPr>
        <w:pStyle w:val="Heading1"/>
      </w:pPr>
      <w:r>
        <w:t>4 用户角色与核心场景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角色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主要任务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关键权限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普通投资者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查看市场、理解建议、模拟交易、管理风险预算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仅访问本人账户与报告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专业交易员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创建策略、回测、纸面/模拟/实盘执行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受风险等级与审批约束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基金经理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组合配置、资金分配、绩效归因、策略停用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组合级风险与执行审批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量化研究员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特征、模型、验证、校准、模型版本管理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不可直接绕过执行风控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风控人员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设置限额、查看暴露、熔断与恢复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独立否决与紧急停止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系统管理员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用户、密钥、数据源、模型供应商、审计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高危操作二次确认</w:t>
            </w:r>
          </w:p>
        </w:tc>
      </w:tr>
    </w:tbl>
    <w:p>
      <w:pPr>
        <w:spacing w:after="0"/>
      </w:pPr>
    </w:p>
    <w:p>
      <w:pPr>
        <w:pStyle w:val="Heading1"/>
      </w:pPr>
      <w:r>
        <w:t>5 功能需求</w:t>
      </w:r>
    </w:p>
    <w:p>
      <w:pPr>
        <w:pStyle w:val="Heading2"/>
      </w:pPr>
      <w:r>
        <w:t>FR-MD 市场数据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00"/>
        <w:gridCol w:w="1260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编号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需求说明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FR-MD-001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采集 ticker、K线、资金费率并记录源时间、接收时间和质量状态。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FR-MD-002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支持持仓量、多空比、订单簿、逐笔成交、清算、基差和跨交易所数据扩展。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FR-MD-003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检测缺口、重复、异常价格、时钟漂移和数据过期；过期数据不得触发实盘。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FR-MD-004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交易对、周期、保留期和采集频率必须配置化。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FR-AN 分析与预测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00"/>
        <w:gridCol w:w="1260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编号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需求说明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FR-AN-001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展示趋势、动量、波动、量价、资金和情绪特征，不把单一指标作为结论。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FR-AN-002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预测输出上涨/下跌/震荡概率、收益分位数、预期波动率和不确定度。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FR-AN-003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每次预测记录特征、模型、训练窗口、预测周期和校准版本。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FR-AN-004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缺少关键数据或模型失配时必须输出观望与原因。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FR-AG 多 Agent 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00"/>
        <w:gridCol w:w="1260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编号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需求说明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FR-AG-001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技术、资金、新闻、宏观、链上等 Agent 形成独立意见，并标记数据来源。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FR-AG-002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硬编码兜底意见不得作为有效共识，仅可标记为不可用。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FR-AG-003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基金经理聚合时使用历史可靠度和概率校准，不直接使用文本自信度。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FR-AG-004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保留支持、反对、冲突、最终否决和决策证据。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FR-BT 回测与模拟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00"/>
        <w:gridCol w:w="1260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编号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需求说明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FR-BT-001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支持市价、限价、部分成交、加减仓、反手、止盈止损、费用、滑点和资金费率。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FR-BT-002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任何成交后满足现金+持仓市值=权益的会计恒等式。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FR-BT-003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采用 walk-forward 和 purged validation，阻止未来数据泄漏。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FR-BT-004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输出净收益、回撤、Sharpe、Sortino、Calmar、CVaR、换手率和基准比较。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FR-EX 交易执行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00"/>
        <w:gridCol w:w="1260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编号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需求说明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FR-EX-001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支持纸面、交易所模拟和实盘三级环境，界面持续显示当前环境。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FR-EX-002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订单具备客户端幂等键、状态机、重试边界和交易所回查。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FR-EX-003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实盘执行前必须通过数据、模型、组合和账户四层风控。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FR-EX-004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紧急停止立即阻止新订单，并给出持仓处置选项。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</w:pPr>
      <w:r>
        <w:t>6 量化与经济模型需求</w:t>
      </w:r>
    </w:p>
    <w:p>
      <w:r>
        <w:rPr>
          <w:rFonts w:ascii="Calibri" w:hAnsi="Calibri" w:eastAsia="Microsoft YaHei"/>
          <w:b w:val="0"/>
          <w:i w:val="0"/>
          <w:color w:val="1F1F1F"/>
          <w:sz w:val="22"/>
        </w:rPr>
        <w:t>系统应采用异质预期与市场状态相结合的框架：不同信息主体形成条件观点，模型根据市场状态、历史可靠度和数据质量聚合观点。经济模型不是装饰性 Agent 名称，而必须映射到可观测变量。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模型域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输入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输出/用途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宏观流动性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实际利率、美元、流动性、稳定币、ETF流量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风险偏好与风险溢价状态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衍生品期限结构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资金费率、基差、持仓量、期权IV/Skew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拥挤度、carry与尾部风险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市场微观结构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spread、深度、订单流、冲击成本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可执行价格和容量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状态切换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趋势、波动、相关性、流动性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趋势/震荡/危机等 regime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概率预测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结构化特征与状态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概率、分位数和不确定度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数学期望门槛：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21"/>
              </w:rPr>
              <w:t>仅当扣除手续费、滑点、资金费率和冲击成本后的条件期望为正，且 CVaR 位于风险预算内，系统才可生成可执行候选信号。</w:t>
            </w:r>
          </w:p>
        </w:tc>
      </w:tr>
    </w:tbl>
    <w:p>
      <w:pPr>
        <w:spacing w:after="0"/>
      </w:pPr>
    </w:p>
    <w:p>
      <w:pPr>
        <w:pStyle w:val="Heading1"/>
      </w:pPr>
      <w:r>
        <w:t>7 资金与风险管理需求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仓位以单笔风险预算、止损距离和波动率计算，不以 Agent 置信度线性放大杠杆。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组合层限制单品种、单策略、单方向、相关资产簇和总杠杆暴露。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支持 Fractional Kelly，但 Kelly 输入必须是样本外校准概率，并设置硬上限。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监控日/周/月回撤、CVaR、连续亏损、流动性和交易频率。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风控参数变更需要版本、操作者、原因和审批记录。</w:t>
      </w:r>
    </w:p>
    <w:p>
      <w:pPr>
        <w:pStyle w:val="Heading1"/>
      </w:pPr>
      <w:r>
        <w:t>8 数据需求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数据层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要求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保留策略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原始层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保存交易所原始响应或可重放事件，禁止覆盖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研究数据长期保留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标准层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统一 symbol、时间、价格精度、币种和来源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按数据等级分区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特征层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point-in-time 正确，包含计算版本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支持回溯重算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预测层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保存输入快照、输出、模型和校准信息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与审计周期一致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交易账本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订单、成交、费用、资金费率、仓位、权益不可抵赖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永久或按法规要求</w:t>
            </w:r>
          </w:p>
        </w:tc>
      </w:tr>
    </w:tbl>
    <w:p>
      <w:pPr>
        <w:spacing w:after="0"/>
      </w:pPr>
    </w:p>
    <w:p>
      <w:pPr>
        <w:pStyle w:val="Heading1"/>
      </w:pPr>
      <w:r>
        <w:t>9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类别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可靠性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关键订单路径可恢复；服务重启不得丢失订单状态；数据库操作幂等。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性能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实时行情P95端到端延迟可观测；核心查询P95小于500ms（不含外部LLM）。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扩展性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采集、特征、模型和执行通过稳定接口解耦，支持新增交易所和模型。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可观测性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指标、日志、追踪和业务审计关联同一 correlation_id。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可维护性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路由层不承载模型算法；核心模块具有单元、属性和集成测试。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可用性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关键页面明确加载、空数据、过期、降级和错误状态。</w:t>
            </w:r>
          </w:p>
        </w:tc>
      </w:tr>
    </w:tbl>
    <w:p>
      <w:pPr>
        <w:spacing w:after="0"/>
      </w:pPr>
    </w:p>
    <w:p>
      <w:pPr>
        <w:pStyle w:val="Heading1"/>
      </w:pPr>
      <w:r>
        <w:t>10 安全与合规需求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所有用户资源必须按 user_id/tenant_id 隔离，敏感表建议启用 PostgreSQL RLS。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API Key 仅加密存储，密钥轮换，日志严禁输出明文。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JWT 区分 access/refresh 类型，支持吊销、设备会话和最小权限。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实盘、风控放宽、密钥变更、紧急停止恢复均需二次确认和审计。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新闻和外部文本均视为不可信输入，防止 Prompt Injection。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产品页面持续声明模型局限、样本量和非投资建议边界。</w:t>
      </w:r>
    </w:p>
    <w:p>
      <w:pPr>
        <w:pStyle w:val="Heading1"/>
      </w:pPr>
      <w:r>
        <w:t>11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验收域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9"/>
              </w:rPr>
              <w:t>必须通过的标准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财务正确性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随机订单序列下资金守恒；反手、部分成交、费用和资金费率测试通过。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回测可信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无未来函数；使用日末权益；所有成本计入；可复现实验结果。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数据可信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缺口、过期和异常可见；过期数据阻断实盘。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模型可信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有样本外基准、校准曲线、模型卡和失效条件。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风险可信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任何订单均不能绕过组合风控；紧急停止演练通过。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安全可信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9"/>
              </w:rPr>
              <w:t>越权测试、密钥保护、审计完整性和依赖扫描通过。</w:t>
            </w:r>
          </w:p>
        </w:tc>
      </w:tr>
    </w:tbl>
    <w:p>
      <w:pPr>
        <w:spacing w:after="0"/>
      </w:pPr>
    </w:p>
    <w:p>
      <w:pPr>
        <w:pStyle w:val="Heading1"/>
      </w:pPr>
      <w:r>
        <w:t>12 实施优先级与版本路线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阶段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目标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18"/>
              </w:rPr>
              <w:t>主要交付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R1 可信底座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阻断错误资金结果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撮合修复、资金守恒测试、绩效修复、数据隔离、全测试接入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R2 数据与研究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形成可复现实验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长期数据、特征仓库、数据质量、walk-forward、基准模型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R3 组合风控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从单信号升级到组合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风险预算、相关性、CVaR、流动性、统一账本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R4 可信体验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让用户理解而非盲信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概率决策卡、证据血缘、模型卡、交易归因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R5 受控自动化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有限权限实盘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影子模式、审批晋级、可靠执行、持续监控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 xml:space="preserve">MoneyRobert Pro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i w:val="0"/>
        <w:color w:val="666666"/>
        <w:sz w:val="18"/>
      </w:rPr>
      <w:t>MoneyRobert Pro · 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