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Self-Organized Rupture: The Pucallpazo and Bottom-Up Institutional Change in the Peruvian Amazon (1978–1981)</w:t>
      </w:r>
    </w:p>
    <w:p w:rsidR="00000000" w:rsidDel="00000000" w:rsidP="00000000" w:rsidRDefault="00000000" w:rsidRPr="00000000" w14:paraId="00000002">
      <w:pPr>
        <w:spacing w:before="224" w:lineRule="auto"/>
        <w:ind w:left="0" w:right="1140" w:firstLine="0"/>
        <w:jc w:val="center"/>
        <w:rPr>
          <w:sz w:val="26.666666666666668"/>
          <w:szCs w:val="26.666666666666668"/>
          <w:vertAlign w:val="superscript"/>
        </w:rPr>
      </w:pPr>
      <w:r w:rsidDel="00000000" w:rsidR="00000000" w:rsidRPr="00000000">
        <w:rPr>
          <w:sz w:val="22"/>
          <w:szCs w:val="22"/>
          <w:rtl w:val="0"/>
        </w:rPr>
        <w:t xml:space="preserve">José Manuel Magallanes Reyes</w:t>
      </w:r>
      <w:r w:rsidDel="00000000" w:rsidR="00000000" w:rsidRPr="00000000">
        <w:rPr>
          <w:sz w:val="26.666666666666668"/>
          <w:szCs w:val="26.666666666666668"/>
          <w:vertAlign w:val="superscript"/>
          <w:rtl w:val="0"/>
        </w:rPr>
        <w:t xml:space="preserve">1</w:t>
      </w:r>
      <w:r w:rsidDel="00000000" w:rsidR="00000000" w:rsidRPr="00000000">
        <w:rPr>
          <w:sz w:val="22"/>
          <w:szCs w:val="22"/>
          <w:rtl w:val="0"/>
        </w:rPr>
        <w:t xml:space="preserve">, Sinesio López Jiménez</w:t>
      </w:r>
      <w:r w:rsidDel="00000000" w:rsidR="00000000" w:rsidRPr="00000000">
        <w:rPr>
          <w:sz w:val="26.666666666666668"/>
          <w:szCs w:val="26.666666666666668"/>
          <w:vertAlign w:val="superscript"/>
          <w:rtl w:val="0"/>
        </w:rPr>
        <w:t xml:space="preserve">2</w:t>
      </w:r>
      <w:r w:rsidDel="00000000" w:rsidR="00000000" w:rsidRPr="00000000">
        <w:rPr>
          <w:sz w:val="22"/>
          <w:szCs w:val="22"/>
          <w:rtl w:val="0"/>
        </w:rPr>
        <w:t xml:space="preserve">, and Gabriela Rengifo Briceño</w:t>
      </w:r>
      <w:r w:rsidDel="00000000" w:rsidR="00000000" w:rsidRPr="00000000">
        <w:rPr>
          <w:sz w:val="26.666666666666668"/>
          <w:szCs w:val="26.666666666666668"/>
          <w:vertAlign w:val="superscript"/>
          <w:rtl w:val="0"/>
        </w:rPr>
        <w:t xml:space="preserve">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114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304" w:lineRule="auto"/>
        <w:ind w:left="0" w:right="1140" w:firstLine="0"/>
        <w:jc w:val="center"/>
        <w:rPr>
          <w:sz w:val="20"/>
          <w:szCs w:val="20"/>
        </w:rPr>
      </w:pPr>
      <w:r w:rsidDel="00000000" w:rsidR="00000000" w:rsidRPr="00000000">
        <w:rPr>
          <w:sz w:val="23.333333333333336"/>
          <w:szCs w:val="23.333333333333336"/>
          <w:vertAlign w:val="superscript"/>
          <w:rtl w:val="0"/>
        </w:rPr>
        <w:t xml:space="preserve">1</w:t>
      </w:r>
      <w:r w:rsidDel="00000000" w:rsidR="00000000" w:rsidRPr="00000000">
        <w:rPr>
          <w:sz w:val="20"/>
          <w:szCs w:val="20"/>
          <w:rtl w:val="0"/>
        </w:rPr>
        <w:t xml:space="preserve">Profesor del Departamento de Ciencias Sociales; Director del Instituto de Analítica Social e Inteligencia Estratégica (PULSO); Investigador del CISEPA, Pontificia Universidad Católica del Perú. </w:t>
      </w:r>
    </w:p>
    <w:p w:rsidR="00000000" w:rsidDel="00000000" w:rsidP="00000000" w:rsidRDefault="00000000" w:rsidRPr="00000000" w14:paraId="00000005">
      <w:pPr>
        <w:spacing w:before="0" w:line="304" w:lineRule="auto"/>
        <w:ind w:left="0" w:right="1140" w:firstLine="0"/>
        <w:jc w:val="center"/>
        <w:rPr>
          <w:sz w:val="20"/>
          <w:szCs w:val="20"/>
        </w:rPr>
      </w:pPr>
      <w:r w:rsidDel="00000000" w:rsidR="00000000" w:rsidRPr="00000000">
        <w:rPr>
          <w:sz w:val="23.333333333333336"/>
          <w:szCs w:val="23.333333333333336"/>
          <w:vertAlign w:val="superscript"/>
          <w:rtl w:val="0"/>
        </w:rPr>
        <w:t xml:space="preserve">2</w:t>
      </w:r>
      <w:r w:rsidDel="00000000" w:rsidR="00000000" w:rsidRPr="00000000">
        <w:rPr>
          <w:sz w:val="20"/>
          <w:szCs w:val="20"/>
          <w:rtl w:val="0"/>
        </w:rPr>
        <w:t xml:space="preserve">Profesor e Investigador del CISEPA, Pontificia Universidad Católica del Perú; Profesor y Director de la Escuela de Sociología, Universidad Nacional Mayor de San Marcos.</w:t>
      </w:r>
    </w:p>
    <w:p w:rsidR="00000000" w:rsidDel="00000000" w:rsidP="00000000" w:rsidRDefault="00000000" w:rsidRPr="00000000" w14:paraId="00000006">
      <w:pPr>
        <w:spacing w:before="0" w:line="235" w:lineRule="auto"/>
        <w:ind w:left="0" w:right="1140" w:firstLine="0"/>
        <w:jc w:val="center"/>
        <w:rPr>
          <w:sz w:val="20"/>
          <w:szCs w:val="20"/>
        </w:rPr>
      </w:pPr>
      <w:r w:rsidDel="00000000" w:rsidR="00000000" w:rsidRPr="00000000">
        <w:rPr>
          <w:sz w:val="23.333333333333336"/>
          <w:szCs w:val="23.333333333333336"/>
          <w:vertAlign w:val="superscript"/>
          <w:rtl w:val="0"/>
        </w:rPr>
        <w:t xml:space="preserve">3</w:t>
      </w:r>
      <w:r w:rsidDel="00000000" w:rsidR="00000000" w:rsidRPr="00000000">
        <w:rPr>
          <w:sz w:val="20"/>
          <w:szCs w:val="20"/>
          <w:rtl w:val="0"/>
        </w:rPr>
        <w:t xml:space="preserve">Profesora del Departamento de Ciencias Sociales e Investigadora de CISEPA, Pontificia Universidad</w:t>
      </w:r>
    </w:p>
    <w:p w:rsidR="00000000" w:rsidDel="00000000" w:rsidP="00000000" w:rsidRDefault="00000000" w:rsidRPr="00000000" w14:paraId="00000007">
      <w:pPr>
        <w:spacing w:before="66" w:lineRule="auto"/>
        <w:ind w:left="0" w:right="1140" w:firstLine="0"/>
        <w:jc w:val="center"/>
        <w:rPr>
          <w:sz w:val="20"/>
          <w:szCs w:val="20"/>
        </w:rPr>
      </w:pPr>
      <w:r w:rsidDel="00000000" w:rsidR="00000000" w:rsidRPr="00000000">
        <w:rPr>
          <w:sz w:val="20"/>
          <w:szCs w:val="20"/>
          <w:rtl w:val="0"/>
        </w:rPr>
        <w:t xml:space="preserve">Católica del Perú.</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114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5"/>
        <w:ind w:right="1140"/>
        <w:jc w:val="center"/>
        <w:rPr/>
      </w:pPr>
      <w:bookmarkStart w:colFirst="0" w:colLast="0" w:name="_ll0lj4971i6h" w:id="0"/>
      <w:bookmarkEnd w:id="0"/>
      <w:r w:rsidDel="00000000" w:rsidR="00000000" w:rsidRPr="00000000">
        <w:rPr>
          <w:rtl w:val="0"/>
        </w:rPr>
        <w:t xml:space="preserve">Abstract</w:t>
      </w:r>
    </w:p>
    <w:p w:rsidR="00000000" w:rsidDel="00000000" w:rsidP="00000000" w:rsidRDefault="00000000" w:rsidRPr="00000000" w14:paraId="0000000B">
      <w:pPr>
        <w:spacing w:before="65" w:line="319" w:lineRule="auto"/>
        <w:ind w:left="0" w:right="1140" w:firstLine="0"/>
        <w:jc w:val="both"/>
        <w:rPr>
          <w:sz w:val="22"/>
          <w:szCs w:val="22"/>
        </w:rPr>
      </w:pPr>
      <w:r w:rsidDel="00000000" w:rsidR="00000000" w:rsidRPr="00000000">
        <w:rPr>
          <w:sz w:val="22"/>
          <w:szCs w:val="22"/>
          <w:rtl w:val="0"/>
        </w:rPr>
        <w:t xml:space="preserve">This article examines the Pucallpazo (1978), a mass mobilization in the Amazonian city of Pucallpa that </w:t>
      </w:r>
      <w:r w:rsidDel="00000000" w:rsidR="00000000" w:rsidRPr="00000000">
        <w:rPr>
          <w:rtl w:val="0"/>
        </w:rPr>
        <w:t xml:space="preserve">brought</w:t>
      </w:r>
      <w:r w:rsidDel="00000000" w:rsidR="00000000" w:rsidRPr="00000000">
        <w:rPr>
          <w:sz w:val="22"/>
          <w:szCs w:val="22"/>
          <w:rtl w:val="0"/>
        </w:rPr>
        <w:t xml:space="preserve"> up in the next two years the creation of the Department of Ucayali and a reorganization of Peru’s territorial state. Integrating Hogan’s </w:t>
      </w:r>
      <w:hyperlink r:id="rId7">
        <w:r w:rsidDel="00000000" w:rsidR="00000000" w:rsidRPr="00000000">
          <w:rPr>
            <w:rtl w:val="0"/>
          </w:rPr>
          <w:t xml:space="preserve">(2006)</w:t>
        </w:r>
      </w:hyperlink>
      <w:r w:rsidDel="00000000" w:rsidR="00000000" w:rsidRPr="00000000">
        <w:rPr>
          <w:sz w:val="22"/>
          <w:szCs w:val="22"/>
          <w:rtl w:val="0"/>
        </w:rPr>
        <w:t xml:space="preserve">  framework with insights from </w:t>
      </w:r>
      <w:hyperlink r:id="rId8">
        <w:r w:rsidDel="00000000" w:rsidR="00000000" w:rsidRPr="00000000">
          <w:rPr>
            <w:rtl w:val="0"/>
          </w:rPr>
          <w:t xml:space="preserve">Mahoney &amp; Thelen (2010)</w:t>
        </w:r>
      </w:hyperlink>
      <w:r w:rsidDel="00000000" w:rsidR="00000000" w:rsidRPr="00000000">
        <w:rPr>
          <w:rtl w:val="0"/>
        </w:rPr>
        <w:t xml:space="preserve"> </w:t>
      </w:r>
      <w:r w:rsidDel="00000000" w:rsidR="00000000" w:rsidRPr="00000000">
        <w:rPr>
          <w:sz w:val="22"/>
          <w:szCs w:val="22"/>
          <w:rtl w:val="0"/>
        </w:rPr>
        <w:t xml:space="preserve">and adaptive complex-systems theory </w:t>
      </w:r>
      <w:hyperlink r:id="rId9">
        <w:r w:rsidDel="00000000" w:rsidR="00000000" w:rsidRPr="00000000">
          <w:rPr>
            <w:rtl w:val="0"/>
          </w:rPr>
          <w:t xml:space="preserve">(Miller &amp; Page, 2007)</w:t>
        </w:r>
      </w:hyperlink>
      <w:r w:rsidDel="00000000" w:rsidR="00000000" w:rsidRPr="00000000">
        <w:rPr>
          <w:sz w:val="22"/>
          <w:szCs w:val="22"/>
          <w:rtl w:val="0"/>
        </w:rPr>
        <w:t xml:space="preserve"> , the study diagnoses whether this transformation represented a case of gradual adaptation or a bottom-up critical juncture.</w:t>
      </w:r>
    </w:p>
    <w:p w:rsidR="00000000" w:rsidDel="00000000" w:rsidP="00000000" w:rsidRDefault="00000000" w:rsidRPr="00000000" w14:paraId="0000000C">
      <w:pPr>
        <w:spacing w:before="0" w:line="319" w:lineRule="auto"/>
        <w:ind w:left="0" w:right="1140" w:firstLine="0"/>
        <w:jc w:val="both"/>
        <w:rPr>
          <w:sz w:val="22"/>
          <w:szCs w:val="22"/>
        </w:rPr>
      </w:pPr>
      <w:r w:rsidDel="00000000" w:rsidR="00000000" w:rsidRPr="00000000">
        <w:rPr>
          <w:sz w:val="22"/>
          <w:szCs w:val="22"/>
          <w:rtl w:val="0"/>
        </w:rPr>
        <w:t xml:space="preserve">Using qualitative process tracing and hermeneutic reconstruction of fragmented local archives and oral histories, the analysis identifies a three-stage mechanism linking endogenous tension, emergent mobilization, and institutional rupture. The Pucallpazo satisfies Hogan’s SSE criteria—significance, swiftness, and encompassing scope—confirming it as a self-organized rupture that redefined sovereignty relations between center and periphery.</w:t>
      </w:r>
    </w:p>
    <w:p w:rsidR="00000000" w:rsidDel="00000000" w:rsidP="00000000" w:rsidRDefault="00000000" w:rsidRPr="00000000" w14:paraId="0000000D">
      <w:pPr>
        <w:spacing w:before="0" w:line="319" w:lineRule="auto"/>
        <w:ind w:left="0" w:right="1140" w:firstLine="0"/>
        <w:jc w:val="both"/>
        <w:rPr>
          <w:sz w:val="22"/>
          <w:szCs w:val="22"/>
        </w:rPr>
      </w:pPr>
      <w:r w:rsidDel="00000000" w:rsidR="00000000" w:rsidRPr="00000000">
        <w:rPr>
          <w:sz w:val="22"/>
          <w:szCs w:val="22"/>
          <w:rtl w:val="0"/>
        </w:rPr>
        <w:t xml:space="preserve">Comparative evidence shows that while many Latin American bottom-up movements expanded participation, few cross the threshold of reconfiguration. The Pucallpazo achieved this by combining cross-sectoral coalition-building, strategic non-violence, and the juridical translation of protest into law. The study concludes that subnational contention can generate state rescaling from below, offering new methodological and theoretical tools for understanding how emergent, peripheral mobilizations produce enduring institutional change.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312" w:lineRule="auto"/>
        <w:ind w:left="0" w:right="11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 w:type="default"/>
          <w:pgSz w:h="16840" w:w="11910" w:orient="portrait"/>
          <w:pgMar w:bottom="1040" w:top="1920" w:left="1275" w:right="708" w:header="0" w:footer="845"/>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Critical junctures; bottom-up democratization; adaptive complex systems; institutional change; state rescaling; subnational politics; Peru; Pucallpazo; historical institutionalism; emergent coordination; self-organized mobilization; Amazonian region.</w:t>
      </w:r>
    </w:p>
    <w:p w:rsidR="00000000" w:rsidDel="00000000" w:rsidP="00000000" w:rsidRDefault="00000000" w:rsidRPr="00000000" w14:paraId="0000000F">
      <w:pPr>
        <w:pStyle w:val="Heading1"/>
        <w:tabs>
          <w:tab w:val="left" w:leader="none" w:pos="615"/>
        </w:tabs>
        <w:spacing w:after="0" w:before="89" w:line="240" w:lineRule="auto"/>
        <w:ind w:left="0" w:right="114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sz w:val="24"/>
          <w:szCs w:val="24"/>
          <w:rtl w:val="0"/>
        </w:rPr>
        <w:t xml:space="preserve">In 1978, a mass mobilization known as the Pucallpazo erupted in Pucallpa, then part of the Province of Coronel Portillo in the Department of Loreto. What began as a local protest quickly escalated into a nationally resonant political event: within three years, it led to the legal creation of the Department of Ucayali, altering Peru’s territorial and administrative structure. This remains the only instance in Peruvian history in which a city-level movement successfully founded a new department. How should such an event be characterized in terms of institutional change—was it a gradual adaptation of the centralist state, or a discontinuous rupture, a critical juncture that redefined the country’s political geography?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This article argues that the Pucallpazo constitutes a subnational critical juncture that reconfigured the Peruvian state’s relationship with its Amazonian periphery. Following Hogan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1">
        <w:r w:rsidDel="00000000" w:rsidR="00000000" w:rsidRPr="00000000">
          <w:rPr>
            <w:sz w:val="24"/>
            <w:szCs w:val="24"/>
            <w:rtl w:val="0"/>
          </w:rPr>
          <w:t xml:space="preserve">(2006)</w:t>
        </w:r>
      </w:hyperlink>
      <w:r w:rsidDel="00000000" w:rsidR="00000000" w:rsidRPr="00000000">
        <w:rPr>
          <w:sz w:val="24"/>
          <w:szCs w:val="24"/>
          <w:rtl w:val="0"/>
        </w:rPr>
        <w:t xml:space="preserve">, a critical juncture arises when a pre-existing structural cleavage triggers a rupture that produces swift, significant, and encompassing institutional change. In this case, the cleavage was the long-standing center–periphery divide—a distributional conflict that had politically and economically subordinated Pucallpa and its surroundings to distant administrative centers. The 1978 Pucallpazo activated this fault line, marking the moment when subordinate actors rejected the existing institutional order and mobilized en masse, overwhelming the central state’s capacity to maintain the status quo. The resulting creation of the Department of Ucayali in 1981 thus entailed a reorganization of state authority, not merely an administrative adjustment.</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Not all institutional transformations, however, stem from rupture. Many unfold gradually through mechanisms such as layering, conversion, drift, or displacement—processes that modify institutions without breaking them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2">
        <w:r w:rsidDel="00000000" w:rsidR="00000000" w:rsidRPr="00000000">
          <w:rPr>
            <w:sz w:val="24"/>
            <w:szCs w:val="24"/>
            <w:rtl w:val="0"/>
          </w:rPr>
          <w:t xml:space="preserve">(Streeck &amp; Thelen, 2005)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Building on this insight, Mahoney and Thelen </w:t>
      </w:r>
      <w:hyperlink r:id="rId13">
        <w:r w:rsidDel="00000000" w:rsidR="00000000" w:rsidRPr="00000000">
          <w:rPr>
            <w:sz w:val="24"/>
            <w:szCs w:val="24"/>
            <w:rtl w:val="0"/>
          </w:rPr>
          <w:t xml:space="preserve">(2010)</w:t>
        </w:r>
      </w:hyperlink>
      <w:r w:rsidDel="00000000" w:rsidR="00000000" w:rsidRPr="00000000">
        <w:rPr>
          <w:sz w:val="24"/>
          <w:szCs w:val="24"/>
          <w:rtl w:val="0"/>
        </w:rPr>
        <w:t xml:space="preserve"> contend that institutional change often emerges endogenously, from within existing institutional arrangements themselves. Because rules are inherently ambiguous and their enforcement contested, institutions function as political orders whose continuity depends on active maintenance and ongoing mobilization. Change arises when actors exploit interpretive ambiguities or when shifts in power undermine the coalitions that sustain compliance.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Within this framework, the Pucallpazo cannot be classified as an instance of gradual institutional evolution. It did not layer new rules atop old ones, reinterpret existing norms through conversion, drift due to inattention, or displace authority incrementally. Instead, it abruptly replaced the existing territorial-administrative order through deliberate collective action and high-stakes negotiation with the central state—constituting a discontinuous rupture that irreversibly restructured Peru’s political geography.</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12" w:lineRule="auto"/>
        <w:ind w:left="0" w:right="11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literature on democratization and institutional change in Latin America has long been anchored in top-down, national-level frameworks that emphasize elite pacts, negotiated transitions, and macroeconomic reform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4">
        <w:r w:rsidDel="00000000" w:rsidR="00000000" w:rsidRPr="00000000">
          <w:rPr>
            <w:sz w:val="24"/>
            <w:szCs w:val="24"/>
            <w:rtl w:val="0"/>
          </w:rPr>
          <w:t xml:space="preserve">(O’Donnell &amp; Schmitter, 1986; D. Collier, 1979; Mainwaring &amp; Shugart, 1997)</w:t>
        </w:r>
      </w:hyperlink>
      <w:r w:rsidDel="00000000" w:rsidR="00000000" w:rsidRPr="00000000">
        <w:rPr>
          <w:sz w:val="24"/>
          <w:szCs w:val="24"/>
          <w:rtl w:val="0"/>
        </w:rPr>
        <w:t xml:space="preserve">. More recent scholarship, however, has shifted attention to subnational and mobilization-driven processes, highlighting how collective action, protest, and local institutional experimentation can challenge centralized authority. Case studies from Brazil, Bolivia, Mexico, Argentina, and Chile demonstrate that bottom-up or hybrid movements sometimes force concessions or policy adjustments—but rarely succeed in producing durable, structural institutional redesign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5">
        <w:r w:rsidDel="00000000" w:rsidR="00000000" w:rsidRPr="00000000">
          <w:rPr>
            <w:sz w:val="24"/>
            <w:szCs w:val="24"/>
            <w:rtl w:val="0"/>
          </w:rPr>
          <w:t xml:space="preserve">(Abers, 2000; Leyva Solano, 2005; Postero, 2017; Silva, 2009; Somma &amp; Donoso, 2022)</w:t>
        </w:r>
      </w:hyperlink>
      <w:r w:rsidDel="00000000" w:rsidR="00000000" w:rsidRPr="00000000">
        <w:rPr>
          <w:sz w:val="24"/>
          <w:szCs w:val="24"/>
          <w:rtl w:val="0"/>
        </w:rPr>
        <w:t xml:space="preserve">. Within this context, the Pucallpazo stands out as a rare—and perhaps unique—instance in which sustained popular mobilization did lead to the enduring reconfiguration of state territorial organization.</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12" w:lineRule="auto"/>
        <w:ind w:left="0" w:right="1140" w:firstLine="0"/>
        <w:jc w:val="both"/>
        <w:rPr>
          <w:sz w:val="24"/>
          <w:szCs w:val="24"/>
        </w:rPr>
      </w:pPr>
      <w:r w:rsidDel="00000000" w:rsidR="00000000" w:rsidRPr="00000000">
        <w:rPr>
          <w:sz w:val="24"/>
          <w:szCs w:val="24"/>
          <w:rtl w:val="0"/>
        </w:rPr>
        <w:t xml:space="preserve">The analytical contribution of this study is twofold. First, it extends the critical juncture framework to the subnational scale, demonstrating that institutional ruptures can emerge not only at the national level but also within the territorial architecture of the state. Second, it proposes an integrated framework for identifying and classifying institutional change by synthesizing Hogan’s criteria for discontinuous transformation </w:t>
      </w:r>
      <w:hyperlink r:id="rId16">
        <w:r w:rsidDel="00000000" w:rsidR="00000000" w:rsidRPr="00000000">
          <w:rPr>
            <w:sz w:val="24"/>
            <w:szCs w:val="24"/>
            <w:rtl w:val="0"/>
          </w:rPr>
          <w:t xml:space="preserve">(2006)</w:t>
        </w:r>
      </w:hyperlink>
      <w:r w:rsidDel="00000000" w:rsidR="00000000" w:rsidRPr="00000000">
        <w:rPr>
          <w:sz w:val="24"/>
          <w:szCs w:val="24"/>
          <w:rtl w:val="0"/>
        </w:rPr>
        <w:t xml:space="preserve"> </w:t>
      </w:r>
      <w:r w:rsidDel="00000000" w:rsidR="00000000" w:rsidRPr="00000000">
        <w:rPr>
          <w:sz w:val="24"/>
          <w:szCs w:val="24"/>
          <w:rtl w:val="0"/>
        </w:rPr>
        <w:t xml:space="preserve">—swift, significant, and encompassing—with Streeck and Thelen’s emphasis on endogenous change driven by internal tensions and distributional conflicts </w:t>
      </w:r>
      <w:hyperlink r:id="rId17">
        <w:r w:rsidDel="00000000" w:rsidR="00000000" w:rsidRPr="00000000">
          <w:rPr>
            <w:sz w:val="24"/>
            <w:szCs w:val="24"/>
            <w:rtl w:val="0"/>
          </w:rPr>
          <w:t xml:space="preserve">(2005)</w:t>
        </w:r>
      </w:hyperlink>
      <w:r w:rsidDel="00000000" w:rsidR="00000000" w:rsidRPr="00000000">
        <w:rPr>
          <w:sz w:val="24"/>
          <w:szCs w:val="24"/>
          <w:rtl w:val="0"/>
        </w:rPr>
        <w:t xml:space="preserve">. This synthesis reveals how the very mechanisms that typically produce gradual adaptation—such as rule ambiguity, contested enforcement, and shifting actor coalitions—can, under conditions of mass mobilization and altered power balances, overwhelm an institution’s capacity for incremental adjustment and instead precipitate a Hogan-type critical juncture. In doing so, the paper bridges two strands of historical institutionalism that are often treated in isolation: the literature on gradual institutional evolution and the analysis of discontinuous rupture.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Empirically, the paper relies on a combination of archival sources, press materials, and official documents from the late 1970s and early 1980s, complemented by interpretive analysis grounded in historical institutionalism. The approach follows a process-tracing logic, examining how structural conditions (the Amazonian cleavage) interacted with contingent events (mass mobilization, negotiation, and state response) to produce institutional transformation. Rather than viewing the Pucallpazo as an isolated rebellion, it is treated as the critical node in a longer trajectory of Amazonian political assertion.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The argument unfolds in four parts. The next section situates the study within the literature on institutional change and democratization, distinguishing between top-down and bottom-up approaches. This contrast informs the analytical framework developed in Section 2, which integrates Hogan’s </w:t>
      </w:r>
      <w:hyperlink r:id="rId18">
        <w:r w:rsidDel="00000000" w:rsidR="00000000" w:rsidRPr="00000000">
          <w:rPr>
            <w:color w:val="cc2936"/>
            <w:rtl w:val="0"/>
          </w:rPr>
          <w:t xml:space="preserve">(2006)</w:t>
        </w:r>
      </w:hyperlink>
      <w:r w:rsidDel="00000000" w:rsidR="00000000" w:rsidRPr="00000000">
        <w:rPr>
          <w:sz w:val="24"/>
          <w:szCs w:val="24"/>
          <w:rtl w:val="0"/>
        </w:rPr>
        <w:t xml:space="preserve">  model of critical junctures with Streeck and Thelen’s </w:t>
      </w:r>
      <w:hyperlink r:id="rId19">
        <w:r w:rsidDel="00000000" w:rsidR="00000000" w:rsidRPr="00000000">
          <w:rPr>
            <w:color w:val="cc2936"/>
            <w:rtl w:val="0"/>
          </w:rPr>
          <w:t xml:space="preserve">(2005)</w:t>
        </w:r>
      </w:hyperlink>
      <w:r w:rsidDel="00000000" w:rsidR="00000000" w:rsidRPr="00000000">
        <w:rPr>
          <w:sz w:val="24"/>
          <w:szCs w:val="24"/>
          <w:rtl w:val="0"/>
        </w:rPr>
        <w:t xml:space="preserve"> account of endogenous institutional change to assess the nature of the </w:t>
      </w:r>
      <w:r w:rsidDel="00000000" w:rsidR="00000000" w:rsidRPr="00000000">
        <w:rPr>
          <w:i w:val="1"/>
          <w:iCs w:val="1"/>
          <w:sz w:val="24"/>
          <w:szCs w:val="24"/>
          <w:rtl w:val="0"/>
        </w:rPr>
        <w:t xml:space="preserve">Pucallpazo</w:t>
      </w:r>
      <w:r w:rsidDel="00000000" w:rsidR="00000000" w:rsidRPr="00000000">
        <w:rPr>
          <w:sz w:val="24"/>
          <w:szCs w:val="24"/>
          <w:rtl w:val="0"/>
        </w:rPr>
        <w:t xml:space="preserve">. The third section applies this framework to the empirical case, demonstrating how the mobilization’s speed, scope, and institutional impact satisfy Hogan’s criteria for a critical juncture. The conclusion discusses the broader implications for understanding state formation, regional autonomy, and democratization “from below” in Latin America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11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
        <w:numPr>
          <w:ilvl w:val="0"/>
          <w:numId w:val="10"/>
        </w:numPr>
        <w:tabs>
          <w:tab w:val="left" w:leader="none" w:pos="615"/>
        </w:tabs>
        <w:ind w:left="0" w:right="1140" w:firstLine="0"/>
        <w:rPr/>
      </w:pPr>
      <w:bookmarkStart w:colFirst="0" w:colLast="0" w:name="_2n6o2iq24fjs" w:id="1"/>
      <w:bookmarkEnd w:id="1"/>
      <w:r w:rsidDel="00000000" w:rsidR="00000000" w:rsidRPr="00000000">
        <w:rPr>
          <w:rtl w:val="0"/>
        </w:rPr>
        <w:t xml:space="preserve">Theoretical Framework: Diagnosing Institutional Rupture</w:t>
      </w:r>
      <w:r w:rsidDel="00000000" w:rsidR="00000000" w:rsidRPr="00000000">
        <w:rPr>
          <w:rtl w:val="0"/>
        </w:rPr>
      </w:r>
    </w:p>
    <w:p w:rsidR="00000000" w:rsidDel="00000000" w:rsidP="00000000" w:rsidRDefault="00000000" w:rsidRPr="00000000" w14:paraId="00000020">
      <w:pPr>
        <w:spacing w:after="240" w:before="240" w:line="312" w:lineRule="auto"/>
        <w:jc w:val="both"/>
        <w:rPr>
          <w:sz w:val="24"/>
          <w:szCs w:val="24"/>
        </w:rPr>
      </w:pPr>
      <w:r w:rsidDel="00000000" w:rsidR="00000000" w:rsidRPr="00000000">
        <w:rPr>
          <w:sz w:val="24"/>
          <w:szCs w:val="24"/>
          <w:rtl w:val="0"/>
        </w:rPr>
        <w:t xml:space="preserve">Institutional transformation unfolds through multiple, analytically distinct pathways. In some settings, institutions evolve incrementally as actors reinterpret rules, adjust enforcement, and gradually shift authority relations. In others, political actors—both elites and ordinary citizens—exploit moments of instability to produce abrupt, trajectory-altering change. Yet popular mobilization does not always yield transformative consequences: in some episodes it results in incremental adjustments, while in others it triggers foundational rupture. Existing theories either overstate elite control or assume that mass mobilization is uniformly transformative. This framework explains </w:t>
      </w:r>
      <w:r w:rsidDel="00000000" w:rsidR="00000000" w:rsidRPr="00000000">
        <w:rPr>
          <w:b w:val="1"/>
          <w:bCs w:val="1"/>
          <w:sz w:val="24"/>
          <w:szCs w:val="24"/>
          <w:rtl w:val="0"/>
        </w:rPr>
        <w:t xml:space="preserve">when and how bottom-up democratization becomes a catalyst for critical junctures (CJs)</w:t>
      </w:r>
      <w:r w:rsidDel="00000000" w:rsidR="00000000" w:rsidRPr="00000000">
        <w:rPr>
          <w:sz w:val="24"/>
          <w:szCs w:val="24"/>
          <w:rtl w:val="0"/>
        </w:rPr>
        <w:t xml:space="preserve">.</w:t>
      </w:r>
    </w:p>
    <w:p w:rsidR="00000000" w:rsidDel="00000000" w:rsidP="00000000" w:rsidRDefault="00000000" w:rsidRPr="00000000" w14:paraId="00000021">
      <w:pPr>
        <w:spacing w:after="240" w:before="240" w:line="312" w:lineRule="auto"/>
        <w:jc w:val="both"/>
        <w:rPr>
          <w:sz w:val="24"/>
          <w:szCs w:val="24"/>
        </w:rPr>
      </w:pPr>
      <w:r w:rsidDel="00000000" w:rsidR="00000000" w:rsidRPr="00000000">
        <w:rPr>
          <w:sz w:val="24"/>
          <w:szCs w:val="24"/>
          <w:rtl w:val="0"/>
        </w:rPr>
        <w:t xml:space="preserve">Throughout this study, </w:t>
      </w:r>
      <w:r w:rsidDel="00000000" w:rsidR="00000000" w:rsidRPr="00000000">
        <w:rPr>
          <w:i w:val="1"/>
          <w:iCs w:val="1"/>
          <w:sz w:val="24"/>
          <w:szCs w:val="24"/>
          <w:rtl w:val="0"/>
        </w:rPr>
        <w:t xml:space="preserve">bottom-up democratization</w:t>
      </w:r>
      <w:r w:rsidDel="00000000" w:rsidR="00000000" w:rsidRPr="00000000">
        <w:rPr>
          <w:sz w:val="24"/>
          <w:szCs w:val="24"/>
          <w:rtl w:val="0"/>
        </w:rPr>
        <w:t xml:space="preserve"> refers to episodes in which </w:t>
      </w:r>
      <w:r w:rsidDel="00000000" w:rsidR="00000000" w:rsidRPr="00000000">
        <w:rPr>
          <w:b w:val="1"/>
          <w:bCs w:val="1"/>
          <w:sz w:val="24"/>
          <w:szCs w:val="24"/>
          <w:rtl w:val="0"/>
        </w:rPr>
        <w:t xml:space="preserve">grassroots mobilization initiates or decisively shapes institutional reconfiguration</w:t>
      </w:r>
      <w:r w:rsidDel="00000000" w:rsidR="00000000" w:rsidRPr="00000000">
        <w:rPr>
          <w:sz w:val="24"/>
          <w:szCs w:val="24"/>
          <w:rtl w:val="0"/>
        </w:rPr>
        <w:t xml:space="preserve">, regardless of whether the broader regime context is democratic, hybrid, or authoritarian. Although many empirical illustrations draw from Latin America, the framework is general and applies across regions and regime types. While institutions include both formal and informal rule systems, this framework focuses on </w:t>
      </w:r>
      <w:r w:rsidDel="00000000" w:rsidR="00000000" w:rsidRPr="00000000">
        <w:rPr>
          <w:b w:val="1"/>
          <w:bCs w:val="1"/>
          <w:sz w:val="24"/>
          <w:szCs w:val="24"/>
          <w:rtl w:val="0"/>
        </w:rPr>
        <w:t xml:space="preserve">formal and semi-formal arrangements</w:t>
      </w:r>
      <w:r w:rsidDel="00000000" w:rsidR="00000000" w:rsidRPr="00000000">
        <w:rPr>
          <w:sz w:val="24"/>
          <w:szCs w:val="24"/>
          <w:rtl w:val="0"/>
        </w:rPr>
        <w:t xml:space="preserve">—territorial jurisdictions, administrative competencies, and authority relations—where rupture is most clearly observable.</w:t>
      </w:r>
    </w:p>
    <w:p w:rsidR="00000000" w:rsidDel="00000000" w:rsidP="00000000" w:rsidRDefault="00000000" w:rsidRPr="00000000" w14:paraId="00000022">
      <w:pPr>
        <w:spacing w:after="240" w:before="240" w:line="312" w:lineRule="auto"/>
        <w:jc w:val="both"/>
        <w:rPr>
          <w:sz w:val="24"/>
          <w:szCs w:val="24"/>
        </w:rPr>
      </w:pPr>
      <w:r w:rsidDel="00000000" w:rsidR="00000000" w:rsidRPr="00000000">
        <w:rPr>
          <w:sz w:val="24"/>
          <w:szCs w:val="24"/>
          <w:rtl w:val="0"/>
        </w:rPr>
        <w:t xml:space="preserve">This theoretical framework rests on two analytic axes: the </w:t>
      </w:r>
      <w:r w:rsidDel="00000000" w:rsidR="00000000" w:rsidRPr="00000000">
        <w:rPr>
          <w:b w:val="1"/>
          <w:bCs w:val="1"/>
          <w:sz w:val="24"/>
          <w:szCs w:val="24"/>
          <w:rtl w:val="0"/>
        </w:rPr>
        <w:t xml:space="preserve">locus of agency</w:t>
      </w:r>
      <w:r w:rsidDel="00000000" w:rsidR="00000000" w:rsidRPr="00000000">
        <w:rPr>
          <w:sz w:val="24"/>
          <w:szCs w:val="24"/>
          <w:rtl w:val="0"/>
        </w:rPr>
        <w:t xml:space="preserve"> (who acts) and the </w:t>
      </w:r>
      <w:r w:rsidDel="00000000" w:rsidR="00000000" w:rsidRPr="00000000">
        <w:rPr>
          <w:b w:val="1"/>
          <w:bCs w:val="1"/>
          <w:sz w:val="24"/>
          <w:szCs w:val="24"/>
          <w:rtl w:val="0"/>
        </w:rPr>
        <w:t xml:space="preserve">logic of institutional change</w:t>
      </w:r>
      <w:r w:rsidDel="00000000" w:rsidR="00000000" w:rsidRPr="00000000">
        <w:rPr>
          <w:sz w:val="24"/>
          <w:szCs w:val="24"/>
          <w:rtl w:val="0"/>
        </w:rPr>
        <w:t xml:space="preserve"> (how change unfolds). It distinguishes between gradual and discontinuous change, elaborates the causal architecture of CJs, and specifies the conditions under which bottom-up mobilization produces institutional rupture.</w:t>
      </w:r>
    </w:p>
    <w:p w:rsidR="00000000" w:rsidDel="00000000" w:rsidP="00000000" w:rsidRDefault="00000000" w:rsidRPr="00000000" w14:paraId="00000023">
      <w:pPr>
        <w:pStyle w:val="Heading2"/>
        <w:spacing w:after="80" w:before="360" w:line="312" w:lineRule="auto"/>
        <w:ind w:left="0" w:firstLine="0"/>
        <w:jc w:val="both"/>
        <w:rPr>
          <w:sz w:val="34"/>
          <w:szCs w:val="34"/>
        </w:rPr>
      </w:pPr>
      <w:bookmarkStart w:colFirst="0" w:colLast="0" w:name="_87wc40i67q5f" w:id="2"/>
      <w:bookmarkEnd w:id="2"/>
      <w:r w:rsidDel="00000000" w:rsidR="00000000" w:rsidRPr="00000000">
        <w:rPr>
          <w:sz w:val="34"/>
          <w:szCs w:val="34"/>
          <w:rtl w:val="0"/>
        </w:rPr>
        <w:t xml:space="preserve">I. Two Axes of Institutional Transformation</w:t>
      </w:r>
    </w:p>
    <w:p w:rsidR="00000000" w:rsidDel="00000000" w:rsidP="00000000" w:rsidRDefault="00000000" w:rsidRPr="00000000" w14:paraId="00000024">
      <w:pPr>
        <w:pStyle w:val="Heading3"/>
        <w:keepNext w:val="0"/>
        <w:keepLines w:val="0"/>
        <w:spacing w:line="312" w:lineRule="auto"/>
        <w:jc w:val="both"/>
        <w:rPr>
          <w:sz w:val="26"/>
          <w:szCs w:val="26"/>
        </w:rPr>
      </w:pPr>
      <w:bookmarkStart w:colFirst="0" w:colLast="0" w:name="_2wsypws5zfoe" w:id="3"/>
      <w:bookmarkEnd w:id="3"/>
      <w:r w:rsidDel="00000000" w:rsidR="00000000" w:rsidRPr="00000000">
        <w:rPr>
          <w:sz w:val="26"/>
          <w:szCs w:val="26"/>
          <w:rtl w:val="0"/>
        </w:rPr>
        <w:t xml:space="preserve">Axis 1: The Locus of Agency</w:t>
      </w:r>
    </w:p>
    <w:p w:rsidR="00000000" w:rsidDel="00000000" w:rsidP="00000000" w:rsidRDefault="00000000" w:rsidRPr="00000000" w14:paraId="00000025">
      <w:pPr>
        <w:spacing w:after="240" w:before="240" w:line="312" w:lineRule="auto"/>
        <w:jc w:val="both"/>
        <w:rPr>
          <w:sz w:val="24"/>
          <w:szCs w:val="24"/>
        </w:rPr>
      </w:pPr>
      <w:r w:rsidDel="00000000" w:rsidR="00000000" w:rsidRPr="00000000">
        <w:rPr>
          <w:sz w:val="24"/>
          <w:szCs w:val="24"/>
          <w:rtl w:val="0"/>
        </w:rPr>
        <w:t xml:space="preserve">A longstanding divide in democratization theory concerns whether institutional change is driven primarily by </w:t>
      </w:r>
      <w:r w:rsidDel="00000000" w:rsidR="00000000" w:rsidRPr="00000000">
        <w:rPr>
          <w:b w:val="1"/>
          <w:bCs w:val="1"/>
          <w:sz w:val="24"/>
          <w:szCs w:val="24"/>
          <w:rtl w:val="0"/>
        </w:rPr>
        <w:t xml:space="preserve">top-down elite strategies</w:t>
      </w:r>
      <w:r w:rsidDel="00000000" w:rsidR="00000000" w:rsidRPr="00000000">
        <w:rPr>
          <w:sz w:val="24"/>
          <w:szCs w:val="24"/>
          <w:rtl w:val="0"/>
        </w:rPr>
        <w:t xml:space="preserve"> or </w:t>
      </w:r>
      <w:r w:rsidDel="00000000" w:rsidR="00000000" w:rsidRPr="00000000">
        <w:rPr>
          <w:b w:val="1"/>
          <w:bCs w:val="1"/>
          <w:sz w:val="24"/>
          <w:szCs w:val="24"/>
          <w:rtl w:val="0"/>
        </w:rPr>
        <w:t xml:space="preserve">bottom-up popular mobilization</w:t>
      </w:r>
      <w:r w:rsidDel="00000000" w:rsidR="00000000" w:rsidRPr="00000000">
        <w:rPr>
          <w:sz w:val="24"/>
          <w:szCs w:val="24"/>
          <w:rtl w:val="0"/>
        </w:rPr>
        <w:t xml:space="preserve">.</w:t>
      </w:r>
    </w:p>
    <w:p w:rsidR="00000000" w:rsidDel="00000000" w:rsidP="00000000" w:rsidRDefault="00000000" w:rsidRPr="00000000" w14:paraId="00000026">
      <w:pPr>
        <w:spacing w:after="240" w:before="240" w:line="312" w:lineRule="auto"/>
        <w:jc w:val="both"/>
        <w:rPr>
          <w:sz w:val="24"/>
          <w:szCs w:val="24"/>
        </w:rPr>
      </w:pPr>
      <w:r w:rsidDel="00000000" w:rsidR="00000000" w:rsidRPr="00000000">
        <w:rPr>
          <w:b w:val="1"/>
          <w:bCs w:val="1"/>
          <w:sz w:val="24"/>
          <w:szCs w:val="24"/>
          <w:rtl w:val="0"/>
        </w:rPr>
        <w:t xml:space="preserve">Elite-Centered Accounts.</w:t>
        <w:br w:type="textWrapping"/>
      </w:r>
      <w:r w:rsidDel="00000000" w:rsidR="00000000" w:rsidRPr="00000000">
        <w:rPr>
          <w:sz w:val="24"/>
          <w:szCs w:val="24"/>
          <w:rtl w:val="0"/>
        </w:rPr>
        <w:t xml:space="preserve"> Elite-centered explanations dominate much of the Latin American literature. Scholars such as Huntington (1991), O’Donnell and Schmitter (1986), and Mainwaring and Shugart (1997) emphasize that democratization is typically managed by incumbent elites or structured through elite-negotiated pacts, portraying institutional change as coordinated from above.</w:t>
      </w:r>
    </w:p>
    <w:p w:rsidR="00000000" w:rsidDel="00000000" w:rsidP="00000000" w:rsidRDefault="00000000" w:rsidRPr="00000000" w14:paraId="00000027">
      <w:pPr>
        <w:spacing w:after="240" w:before="240" w:line="312" w:lineRule="auto"/>
        <w:jc w:val="both"/>
        <w:rPr>
          <w:sz w:val="24"/>
          <w:szCs w:val="24"/>
        </w:rPr>
      </w:pPr>
      <w:r w:rsidDel="00000000" w:rsidR="00000000" w:rsidRPr="00000000">
        <w:rPr>
          <w:b w:val="1"/>
          <w:bCs w:val="1"/>
          <w:sz w:val="24"/>
          <w:szCs w:val="24"/>
          <w:rtl w:val="0"/>
        </w:rPr>
        <w:t xml:space="preserve">Bottom-Up Accounts.</w:t>
        <w:br w:type="textWrapping"/>
      </w:r>
      <w:r w:rsidDel="00000000" w:rsidR="00000000" w:rsidRPr="00000000">
        <w:rPr>
          <w:sz w:val="24"/>
          <w:szCs w:val="24"/>
          <w:rtl w:val="0"/>
        </w:rPr>
        <w:t xml:space="preserve"> Running alongside these perspectives is a longstanding bottom-up tradition. Alexis de Tocqueville (1835/1840) argued that civic associations and local self-governance could reshape political authority independent of elite design. Charles Tilly (2004, 2008) deepened this insight by showing how contentious collective action—strikes, protests, demonstrations—often produces unintended yet durable institutional consequences. In centralized or exclusionary states, where formal participation channels are restricted, bottom-up pressures from territorialized mobilization, indigenous activism, and multi-sectoral coalitions frequently play a decisive role in driving institutional change. These mobilizations reflect contests over </w:t>
      </w:r>
      <w:r w:rsidDel="00000000" w:rsidR="00000000" w:rsidRPr="00000000">
        <w:rPr>
          <w:b w:val="1"/>
          <w:bCs w:val="1"/>
          <w:sz w:val="24"/>
          <w:szCs w:val="24"/>
          <w:rtl w:val="0"/>
        </w:rPr>
        <w:t xml:space="preserve">symbolic, structural, and relational power</w:t>
      </w:r>
      <w:r w:rsidDel="00000000" w:rsidR="00000000" w:rsidRPr="00000000">
        <w:rPr>
          <w:sz w:val="24"/>
          <w:szCs w:val="24"/>
          <w:rtl w:val="0"/>
        </w:rPr>
        <w:t xml:space="preserve">, consistent with multidimensional theories of power in political sociology.</w:t>
      </w:r>
    </w:p>
    <w:p w:rsidR="00000000" w:rsidDel="00000000" w:rsidP="00000000" w:rsidRDefault="00000000" w:rsidRPr="00000000" w14:paraId="00000028">
      <w:pPr>
        <w:spacing w:after="240" w:before="240" w:line="312" w:lineRule="auto"/>
        <w:jc w:val="both"/>
        <w:rPr>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spacing w:line="312" w:lineRule="auto"/>
        <w:jc w:val="both"/>
        <w:rPr>
          <w:sz w:val="26"/>
          <w:szCs w:val="26"/>
        </w:rPr>
      </w:pPr>
      <w:bookmarkStart w:colFirst="0" w:colLast="0" w:name="_cng63xaj5x45" w:id="4"/>
      <w:bookmarkEnd w:id="4"/>
      <w:r w:rsidDel="00000000" w:rsidR="00000000" w:rsidRPr="00000000">
        <w:rPr>
          <w:sz w:val="26"/>
          <w:szCs w:val="26"/>
          <w:rtl w:val="0"/>
        </w:rPr>
        <w:t xml:space="preserve">Axis 2: The Logic of Institutional Change</w:t>
      </w:r>
    </w:p>
    <w:p w:rsidR="00000000" w:rsidDel="00000000" w:rsidP="00000000" w:rsidRDefault="00000000" w:rsidRPr="00000000" w14:paraId="0000002A">
      <w:pPr>
        <w:spacing w:after="240" w:before="240" w:line="312" w:lineRule="auto"/>
        <w:jc w:val="both"/>
        <w:rPr>
          <w:sz w:val="24"/>
          <w:szCs w:val="24"/>
        </w:rPr>
      </w:pPr>
      <w:r w:rsidDel="00000000" w:rsidR="00000000" w:rsidRPr="00000000">
        <w:rPr>
          <w:sz w:val="24"/>
          <w:szCs w:val="24"/>
          <w:rtl w:val="0"/>
        </w:rPr>
        <w:t xml:space="preserve">A second foundational question concerns </w:t>
      </w:r>
      <w:r w:rsidDel="00000000" w:rsidR="00000000" w:rsidRPr="00000000">
        <w:rPr>
          <w:b w:val="1"/>
          <w:bCs w:val="1"/>
          <w:sz w:val="24"/>
          <w:szCs w:val="24"/>
          <w:rtl w:val="0"/>
        </w:rPr>
        <w:t xml:space="preserve">how</w:t>
      </w:r>
      <w:r w:rsidDel="00000000" w:rsidR="00000000" w:rsidRPr="00000000">
        <w:rPr>
          <w:sz w:val="24"/>
          <w:szCs w:val="24"/>
          <w:rtl w:val="0"/>
        </w:rPr>
        <w:t xml:space="preserve"> institutions change. Early historical institutionalist theories emphasized punctuated equilibrium, proposing that long periods of stability were interrupted by exogenous shocks such as wars, crises, or regime collapses. Mahoney and Thelen (2010), however, emphasized </w:t>
      </w:r>
      <w:r w:rsidDel="00000000" w:rsidR="00000000" w:rsidRPr="00000000">
        <w:rPr>
          <w:b w:val="1"/>
          <w:bCs w:val="1"/>
          <w:sz w:val="24"/>
          <w:szCs w:val="24"/>
          <w:rtl w:val="0"/>
        </w:rPr>
        <w:t xml:space="preserve">endogenous mechanisms</w:t>
      </w:r>
      <w:r w:rsidDel="00000000" w:rsidR="00000000" w:rsidRPr="00000000">
        <w:rPr>
          <w:sz w:val="24"/>
          <w:szCs w:val="24"/>
          <w:rtl w:val="0"/>
        </w:rPr>
        <w:t xml:space="preserve">, noting that institutions contain ambiguous rules, uneven enforcement, and contested authority. These internal tensions create opportunities for both incremental reconfiguration and sudden rupture. Distinguishing analytically between </w:t>
      </w:r>
      <w:r w:rsidDel="00000000" w:rsidR="00000000" w:rsidRPr="00000000">
        <w:rPr>
          <w:b w:val="1"/>
          <w:bCs w:val="1"/>
          <w:sz w:val="24"/>
          <w:szCs w:val="24"/>
          <w:rtl w:val="0"/>
        </w:rPr>
        <w:t xml:space="preserve">continuous</w:t>
      </w:r>
      <w:r w:rsidDel="00000000" w:rsidR="00000000" w:rsidRPr="00000000">
        <w:rPr>
          <w:sz w:val="24"/>
          <w:szCs w:val="24"/>
          <w:rtl w:val="0"/>
        </w:rPr>
        <w:t xml:space="preserve"> and </w:t>
      </w:r>
      <w:r w:rsidDel="00000000" w:rsidR="00000000" w:rsidRPr="00000000">
        <w:rPr>
          <w:b w:val="1"/>
          <w:bCs w:val="1"/>
          <w:sz w:val="24"/>
          <w:szCs w:val="24"/>
          <w:rtl w:val="0"/>
        </w:rPr>
        <w:t xml:space="preserve">discontinuous</w:t>
      </w:r>
      <w:r w:rsidDel="00000000" w:rsidR="00000000" w:rsidRPr="00000000">
        <w:rPr>
          <w:sz w:val="24"/>
          <w:szCs w:val="24"/>
          <w:rtl w:val="0"/>
        </w:rPr>
        <w:t xml:space="preserve"> change is therefore essential for understanding why bottom-up mobilization sometimes produces limited adaptation and other times triggers transformative reorganization.</w:t>
      </w:r>
    </w:p>
    <w:p w:rsidR="00000000" w:rsidDel="00000000" w:rsidP="00000000" w:rsidRDefault="00000000" w:rsidRPr="00000000" w14:paraId="0000002B">
      <w:pPr>
        <w:pStyle w:val="Heading2"/>
        <w:spacing w:after="80" w:before="360" w:line="312" w:lineRule="auto"/>
        <w:ind w:left="0" w:firstLine="0"/>
        <w:jc w:val="both"/>
        <w:rPr>
          <w:sz w:val="34"/>
          <w:szCs w:val="34"/>
        </w:rPr>
      </w:pPr>
      <w:bookmarkStart w:colFirst="0" w:colLast="0" w:name="_vzz4prk3h1j7" w:id="5"/>
      <w:bookmarkEnd w:id="5"/>
      <w:r w:rsidDel="00000000" w:rsidR="00000000" w:rsidRPr="00000000">
        <w:rPr>
          <w:sz w:val="34"/>
          <w:szCs w:val="34"/>
          <w:rtl w:val="0"/>
        </w:rPr>
        <w:t xml:space="preserve">II. Gradual Institutional Change: The Endogenous Baseline</w:t>
      </w:r>
    </w:p>
    <w:p w:rsidR="00000000" w:rsidDel="00000000" w:rsidP="00000000" w:rsidRDefault="00000000" w:rsidRPr="00000000" w14:paraId="0000002C">
      <w:pPr>
        <w:spacing w:after="240" w:before="240" w:line="312" w:lineRule="auto"/>
        <w:jc w:val="both"/>
        <w:rPr>
          <w:sz w:val="24"/>
          <w:szCs w:val="24"/>
        </w:rPr>
      </w:pPr>
      <w:r w:rsidDel="00000000" w:rsidR="00000000" w:rsidRPr="00000000">
        <w:rPr>
          <w:sz w:val="24"/>
          <w:szCs w:val="24"/>
          <w:rtl w:val="0"/>
        </w:rPr>
        <w:t xml:space="preserve">If an empirical transformation aligns with one or more mechanisms of slow-moving evolution, it should be understood as </w:t>
      </w:r>
      <w:r w:rsidDel="00000000" w:rsidR="00000000" w:rsidRPr="00000000">
        <w:rPr>
          <w:b w:val="1"/>
          <w:bCs w:val="1"/>
          <w:sz w:val="24"/>
          <w:szCs w:val="24"/>
          <w:rtl w:val="0"/>
        </w:rPr>
        <w:t xml:space="preserve">continuous institutional change</w:t>
      </w:r>
      <w:r w:rsidDel="00000000" w:rsidR="00000000" w:rsidRPr="00000000">
        <w:rPr>
          <w:sz w:val="24"/>
          <w:szCs w:val="24"/>
          <w:rtl w:val="0"/>
        </w:rPr>
        <w:t xml:space="preserve"> rather than rupture. Streeck and Thelen (2005) provide a comprehensive typology of incremental processes:</w:t>
      </w:r>
    </w:p>
    <w:p w:rsidR="00000000" w:rsidDel="00000000" w:rsidP="00000000" w:rsidRDefault="00000000" w:rsidRPr="00000000" w14:paraId="0000002D">
      <w:pPr>
        <w:numPr>
          <w:ilvl w:val="0"/>
          <w:numId w:val="1"/>
        </w:numPr>
        <w:spacing w:after="0" w:afterAutospacing="0" w:before="240" w:line="312" w:lineRule="auto"/>
        <w:ind w:left="720" w:hanging="360"/>
        <w:rPr>
          <w:sz w:val="24"/>
          <w:szCs w:val="24"/>
        </w:rPr>
      </w:pPr>
      <w:r w:rsidDel="00000000" w:rsidR="00000000" w:rsidRPr="00000000">
        <w:rPr>
          <w:b w:val="1"/>
          <w:bCs w:val="1"/>
          <w:sz w:val="24"/>
          <w:szCs w:val="24"/>
          <w:rtl w:val="0"/>
        </w:rPr>
        <w:t xml:space="preserve">Displacement:</w:t>
      </w:r>
      <w:r w:rsidDel="00000000" w:rsidR="00000000" w:rsidRPr="00000000">
        <w:rPr>
          <w:sz w:val="24"/>
          <w:szCs w:val="24"/>
          <w:rtl w:val="0"/>
        </w:rPr>
        <w:t xml:space="preserve"> Subordinate institutions gain prominence as actors defect from dominant rules or activate dormant alternatives.</w:t>
        <w:br w:type="textWrapping"/>
      </w:r>
    </w:p>
    <w:p w:rsidR="00000000" w:rsidDel="00000000" w:rsidP="00000000" w:rsidRDefault="00000000" w:rsidRPr="00000000" w14:paraId="0000002E">
      <w:pPr>
        <w:numPr>
          <w:ilvl w:val="0"/>
          <w:numId w:val="1"/>
        </w:numPr>
        <w:spacing w:after="0" w:afterAutospacing="0" w:before="0" w:beforeAutospacing="0" w:line="312" w:lineRule="auto"/>
        <w:ind w:left="720" w:hanging="360"/>
        <w:rPr>
          <w:sz w:val="24"/>
          <w:szCs w:val="24"/>
        </w:rPr>
      </w:pPr>
      <w:r w:rsidDel="00000000" w:rsidR="00000000" w:rsidRPr="00000000">
        <w:rPr>
          <w:b w:val="1"/>
          <w:bCs w:val="1"/>
          <w:sz w:val="24"/>
          <w:szCs w:val="24"/>
          <w:rtl w:val="0"/>
        </w:rPr>
        <w:t xml:space="preserve">Layering:</w:t>
      </w:r>
      <w:r w:rsidDel="00000000" w:rsidR="00000000" w:rsidRPr="00000000">
        <w:rPr>
          <w:sz w:val="24"/>
          <w:szCs w:val="24"/>
          <w:rtl w:val="0"/>
        </w:rPr>
        <w:t xml:space="preserve"> New rules are added alongside existing ones, gradually shifting authority through differential growth.</w:t>
        <w:br w:type="textWrapping"/>
      </w:r>
    </w:p>
    <w:p w:rsidR="00000000" w:rsidDel="00000000" w:rsidP="00000000" w:rsidRDefault="00000000" w:rsidRPr="00000000" w14:paraId="0000002F">
      <w:pPr>
        <w:numPr>
          <w:ilvl w:val="0"/>
          <w:numId w:val="1"/>
        </w:numPr>
        <w:spacing w:after="0" w:afterAutospacing="0" w:before="0" w:beforeAutospacing="0" w:line="312" w:lineRule="auto"/>
        <w:ind w:left="720" w:hanging="360"/>
        <w:rPr>
          <w:sz w:val="24"/>
          <w:szCs w:val="24"/>
        </w:rPr>
      </w:pPr>
      <w:r w:rsidDel="00000000" w:rsidR="00000000" w:rsidRPr="00000000">
        <w:rPr>
          <w:b w:val="1"/>
          <w:bCs w:val="1"/>
          <w:sz w:val="24"/>
          <w:szCs w:val="24"/>
          <w:rtl w:val="0"/>
        </w:rPr>
        <w:t xml:space="preserve">Drift:</w:t>
      </w:r>
      <w:r w:rsidDel="00000000" w:rsidR="00000000" w:rsidRPr="00000000">
        <w:rPr>
          <w:sz w:val="24"/>
          <w:szCs w:val="24"/>
          <w:rtl w:val="0"/>
        </w:rPr>
        <w:t xml:space="preserve"> Rules remain formally unchanged but produce new outcomes due to environmental shifts or deliberate non-adaptation.</w:t>
        <w:br w:type="textWrapping"/>
      </w:r>
    </w:p>
    <w:p w:rsidR="00000000" w:rsidDel="00000000" w:rsidP="00000000" w:rsidRDefault="00000000" w:rsidRPr="00000000" w14:paraId="00000030">
      <w:pPr>
        <w:numPr>
          <w:ilvl w:val="0"/>
          <w:numId w:val="1"/>
        </w:numPr>
        <w:spacing w:after="0" w:afterAutospacing="0" w:before="0" w:beforeAutospacing="0" w:line="312" w:lineRule="auto"/>
        <w:ind w:left="720" w:hanging="360"/>
        <w:rPr>
          <w:sz w:val="24"/>
          <w:szCs w:val="24"/>
        </w:rPr>
      </w:pPr>
      <w:r w:rsidDel="00000000" w:rsidR="00000000" w:rsidRPr="00000000">
        <w:rPr>
          <w:b w:val="1"/>
          <w:bCs w:val="1"/>
          <w:sz w:val="24"/>
          <w:szCs w:val="24"/>
          <w:rtl w:val="0"/>
        </w:rPr>
        <w:t xml:space="preserve">Conversion:</w:t>
      </w:r>
      <w:r w:rsidDel="00000000" w:rsidR="00000000" w:rsidRPr="00000000">
        <w:rPr>
          <w:sz w:val="24"/>
          <w:szCs w:val="24"/>
          <w:rtl w:val="0"/>
        </w:rPr>
        <w:t xml:space="preserve"> Existing institutions are redirected or adapted to serve new purposes.</w:t>
        <w:br w:type="textWrapping"/>
      </w:r>
    </w:p>
    <w:p w:rsidR="00000000" w:rsidDel="00000000" w:rsidP="00000000" w:rsidRDefault="00000000" w:rsidRPr="00000000" w14:paraId="00000031">
      <w:pPr>
        <w:numPr>
          <w:ilvl w:val="0"/>
          <w:numId w:val="1"/>
        </w:numPr>
        <w:spacing w:after="240" w:before="0" w:beforeAutospacing="0" w:line="312" w:lineRule="auto"/>
        <w:ind w:left="720" w:hanging="360"/>
        <w:rPr>
          <w:sz w:val="24"/>
          <w:szCs w:val="24"/>
        </w:rPr>
      </w:pPr>
      <w:r w:rsidDel="00000000" w:rsidR="00000000" w:rsidRPr="00000000">
        <w:rPr>
          <w:b w:val="1"/>
          <w:bCs w:val="1"/>
          <w:sz w:val="24"/>
          <w:szCs w:val="24"/>
          <w:rtl w:val="0"/>
        </w:rPr>
        <w:t xml:space="preserve">Exhaustion:</w:t>
      </w:r>
      <w:r w:rsidDel="00000000" w:rsidR="00000000" w:rsidRPr="00000000">
        <w:rPr>
          <w:sz w:val="24"/>
          <w:szCs w:val="24"/>
          <w:rtl w:val="0"/>
        </w:rPr>
        <w:t xml:space="preserve"> Institutions erode internally as the behaviors they permit undermine their own preconditions.</w:t>
        <w:br w:type="textWrapping"/>
      </w:r>
    </w:p>
    <w:p w:rsidR="00000000" w:rsidDel="00000000" w:rsidP="00000000" w:rsidRDefault="00000000" w:rsidRPr="00000000" w14:paraId="00000032">
      <w:pPr>
        <w:spacing w:after="240" w:before="240" w:line="312" w:lineRule="auto"/>
        <w:jc w:val="both"/>
        <w:rPr>
          <w:sz w:val="24"/>
          <w:szCs w:val="24"/>
        </w:rPr>
      </w:pPr>
      <w:r w:rsidDel="00000000" w:rsidR="00000000" w:rsidRPr="00000000">
        <w:rPr>
          <w:sz w:val="24"/>
          <w:szCs w:val="24"/>
          <w:rtl w:val="0"/>
        </w:rPr>
        <w:t xml:space="preserve">These mechanisms constitute the </w:t>
      </w:r>
      <w:r w:rsidDel="00000000" w:rsidR="00000000" w:rsidRPr="00000000">
        <w:rPr>
          <w:b w:val="1"/>
          <w:bCs w:val="1"/>
          <w:sz w:val="24"/>
          <w:szCs w:val="24"/>
          <w:rtl w:val="0"/>
        </w:rPr>
        <w:t xml:space="preserve">endogenous baseline</w:t>
      </w:r>
      <w:r w:rsidDel="00000000" w:rsidR="00000000" w:rsidRPr="00000000">
        <w:rPr>
          <w:sz w:val="24"/>
          <w:szCs w:val="24"/>
          <w:rtl w:val="0"/>
        </w:rPr>
        <w:t xml:space="preserve"> against which genuine discontinuity must be identified.</w:t>
      </w:r>
    </w:p>
    <w:p w:rsidR="00000000" w:rsidDel="00000000" w:rsidP="00000000" w:rsidRDefault="00000000" w:rsidRPr="00000000" w14:paraId="00000033">
      <w:pPr>
        <w:pStyle w:val="Heading2"/>
        <w:spacing w:after="80" w:before="360" w:line="312" w:lineRule="auto"/>
        <w:ind w:left="0" w:firstLine="0"/>
        <w:jc w:val="both"/>
        <w:rPr>
          <w:sz w:val="34"/>
          <w:szCs w:val="34"/>
        </w:rPr>
      </w:pPr>
      <w:bookmarkStart w:colFirst="0" w:colLast="0" w:name="_a5qtr9olwlr8" w:id="6"/>
      <w:bookmarkEnd w:id="6"/>
      <w:r w:rsidDel="00000000" w:rsidR="00000000" w:rsidRPr="00000000">
        <w:rPr>
          <w:sz w:val="34"/>
          <w:szCs w:val="34"/>
          <w:rtl w:val="0"/>
        </w:rPr>
        <w:t xml:space="preserve">III. Discontinuous Institutional Change and Critical Junctures</w:t>
      </w:r>
    </w:p>
    <w:p w:rsidR="00000000" w:rsidDel="00000000" w:rsidP="00000000" w:rsidRDefault="00000000" w:rsidRPr="00000000" w14:paraId="00000034">
      <w:pPr>
        <w:spacing w:after="240" w:before="240" w:line="312" w:lineRule="auto"/>
        <w:jc w:val="both"/>
        <w:rPr>
          <w:sz w:val="24"/>
          <w:szCs w:val="24"/>
        </w:rPr>
      </w:pPr>
      <w:r w:rsidDel="00000000" w:rsidR="00000000" w:rsidRPr="00000000">
        <w:rPr>
          <w:sz w:val="24"/>
          <w:szCs w:val="24"/>
          <w:rtl w:val="0"/>
        </w:rPr>
        <w:t xml:space="preserve">When institutional trajectories break sharply from prior patterns and cannot be explained by incremental mechanisms, they fall within the domain of </w:t>
      </w:r>
      <w:r w:rsidDel="00000000" w:rsidR="00000000" w:rsidRPr="00000000">
        <w:rPr>
          <w:b w:val="1"/>
          <w:bCs w:val="1"/>
          <w:sz w:val="24"/>
          <w:szCs w:val="24"/>
          <w:rtl w:val="0"/>
        </w:rPr>
        <w:t xml:space="preserve">discontinuous change</w:t>
      </w:r>
      <w:r w:rsidDel="00000000" w:rsidR="00000000" w:rsidRPr="00000000">
        <w:rPr>
          <w:sz w:val="24"/>
          <w:szCs w:val="24"/>
          <w:rtl w:val="0"/>
        </w:rPr>
        <w:t xml:space="preserve">. Within this category, a </w:t>
      </w:r>
      <w:r w:rsidDel="00000000" w:rsidR="00000000" w:rsidRPr="00000000">
        <w:rPr>
          <w:b w:val="1"/>
          <w:bCs w:val="1"/>
          <w:sz w:val="24"/>
          <w:szCs w:val="24"/>
          <w:rtl w:val="0"/>
        </w:rPr>
        <w:t xml:space="preserve">critical juncture</w:t>
      </w:r>
      <w:r w:rsidDel="00000000" w:rsidR="00000000" w:rsidRPr="00000000">
        <w:rPr>
          <w:sz w:val="24"/>
          <w:szCs w:val="24"/>
          <w:rtl w:val="0"/>
        </w:rPr>
        <w:t xml:space="preserve"> (CJ) identifies a specific form of transformative discontinuity characterized by heightened agency and durable consequences. A CJ is a relatively short period in which the choices of political actors carry unusually high causal weight.</w:t>
      </w:r>
    </w:p>
    <w:p w:rsidR="00000000" w:rsidDel="00000000" w:rsidP="00000000" w:rsidRDefault="00000000" w:rsidRPr="00000000" w14:paraId="00000035">
      <w:pPr>
        <w:pStyle w:val="Heading3"/>
        <w:keepNext w:val="0"/>
        <w:keepLines w:val="0"/>
        <w:spacing w:line="312" w:lineRule="auto"/>
        <w:jc w:val="both"/>
        <w:rPr>
          <w:sz w:val="26"/>
          <w:szCs w:val="26"/>
        </w:rPr>
      </w:pPr>
      <w:bookmarkStart w:colFirst="0" w:colLast="0" w:name="_dzabclkla6bk" w:id="7"/>
      <w:bookmarkEnd w:id="7"/>
      <w:r w:rsidDel="00000000" w:rsidR="00000000" w:rsidRPr="00000000">
        <w:rPr>
          <w:sz w:val="26"/>
          <w:szCs w:val="26"/>
          <w:rtl w:val="0"/>
        </w:rPr>
        <w:t xml:space="preserve">Hogan’s SSE Criteria: Attributes of Critical Junctures</w:t>
      </w:r>
    </w:p>
    <w:p w:rsidR="00000000" w:rsidDel="00000000" w:rsidP="00000000" w:rsidRDefault="00000000" w:rsidRPr="00000000" w14:paraId="00000036">
      <w:pPr>
        <w:spacing w:after="240" w:before="240" w:line="312" w:lineRule="auto"/>
        <w:jc w:val="both"/>
        <w:rPr>
          <w:sz w:val="24"/>
          <w:szCs w:val="24"/>
        </w:rPr>
      </w:pPr>
      <w:r w:rsidDel="00000000" w:rsidR="00000000" w:rsidRPr="00000000">
        <w:rPr>
          <w:sz w:val="24"/>
          <w:szCs w:val="24"/>
          <w:rtl w:val="0"/>
        </w:rPr>
        <w:t xml:space="preserve">Hogan (2006) proposes an outcome-oriented diagnostic framework that classifies discontinuity according to three jointly necessary attributes:</w:t>
      </w:r>
    </w:p>
    <w:p w:rsidR="00000000" w:rsidDel="00000000" w:rsidP="00000000" w:rsidRDefault="00000000" w:rsidRPr="00000000" w14:paraId="00000037">
      <w:pPr>
        <w:numPr>
          <w:ilvl w:val="0"/>
          <w:numId w:val="12"/>
        </w:numPr>
        <w:spacing w:after="0" w:afterAutospacing="0" w:before="240" w:line="312" w:lineRule="auto"/>
        <w:ind w:left="720" w:hanging="360"/>
        <w:rPr>
          <w:sz w:val="24"/>
          <w:szCs w:val="24"/>
        </w:rPr>
      </w:pPr>
      <w:r w:rsidDel="00000000" w:rsidR="00000000" w:rsidRPr="00000000">
        <w:rPr>
          <w:b w:val="1"/>
          <w:bCs w:val="1"/>
          <w:sz w:val="24"/>
          <w:szCs w:val="24"/>
          <w:rtl w:val="0"/>
        </w:rPr>
        <w:t xml:space="preserve">Swift:</w:t>
      </w:r>
      <w:r w:rsidDel="00000000" w:rsidR="00000000" w:rsidRPr="00000000">
        <w:rPr>
          <w:sz w:val="24"/>
          <w:szCs w:val="24"/>
          <w:rtl w:val="0"/>
        </w:rPr>
        <w:t xml:space="preserve"> Change unfolds within a compressed temporal window.</w:t>
        <w:br w:type="textWrapping"/>
      </w:r>
    </w:p>
    <w:p w:rsidR="00000000" w:rsidDel="00000000" w:rsidP="00000000" w:rsidRDefault="00000000" w:rsidRPr="00000000" w14:paraId="00000038">
      <w:pPr>
        <w:numPr>
          <w:ilvl w:val="0"/>
          <w:numId w:val="12"/>
        </w:numPr>
        <w:spacing w:after="0" w:afterAutospacing="0" w:before="0" w:beforeAutospacing="0" w:line="312" w:lineRule="auto"/>
        <w:ind w:left="720" w:hanging="360"/>
        <w:rPr>
          <w:sz w:val="24"/>
          <w:szCs w:val="24"/>
        </w:rPr>
      </w:pPr>
      <w:r w:rsidDel="00000000" w:rsidR="00000000" w:rsidRPr="00000000">
        <w:rPr>
          <w:b w:val="1"/>
          <w:bCs w:val="1"/>
          <w:sz w:val="24"/>
          <w:szCs w:val="24"/>
          <w:rtl w:val="0"/>
        </w:rPr>
        <w:t xml:space="preserve">Significant:</w:t>
      </w:r>
      <w:r w:rsidDel="00000000" w:rsidR="00000000" w:rsidRPr="00000000">
        <w:rPr>
          <w:sz w:val="24"/>
          <w:szCs w:val="24"/>
          <w:rtl w:val="0"/>
        </w:rPr>
        <w:t xml:space="preserve"> Core authority relations are reconfigured according to plausible, observable standards.</w:t>
        <w:br w:type="textWrapping"/>
      </w:r>
    </w:p>
    <w:p w:rsidR="00000000" w:rsidDel="00000000" w:rsidP="00000000" w:rsidRDefault="00000000" w:rsidRPr="00000000" w14:paraId="00000039">
      <w:pPr>
        <w:numPr>
          <w:ilvl w:val="0"/>
          <w:numId w:val="12"/>
        </w:numPr>
        <w:spacing w:after="240" w:before="0" w:beforeAutospacing="0" w:line="312" w:lineRule="auto"/>
        <w:ind w:left="720" w:hanging="360"/>
        <w:rPr>
          <w:sz w:val="24"/>
          <w:szCs w:val="24"/>
        </w:rPr>
      </w:pPr>
      <w:r w:rsidDel="00000000" w:rsidR="00000000" w:rsidRPr="00000000">
        <w:rPr>
          <w:b w:val="1"/>
          <w:bCs w:val="1"/>
          <w:sz w:val="24"/>
          <w:szCs w:val="24"/>
          <w:rtl w:val="0"/>
        </w:rPr>
        <w:t xml:space="preserve">Encompassing:</w:t>
      </w:r>
      <w:r w:rsidDel="00000000" w:rsidR="00000000" w:rsidRPr="00000000">
        <w:rPr>
          <w:sz w:val="24"/>
          <w:szCs w:val="24"/>
          <w:rtl w:val="0"/>
        </w:rPr>
        <w:t xml:space="preserve"> The transformation spreads across adjacent institutional arenas, affecting a substantial share of actors, jurisdictions, or administrative domains.</w:t>
        <w:br w:type="textWrapping"/>
      </w:r>
    </w:p>
    <w:p w:rsidR="00000000" w:rsidDel="00000000" w:rsidP="00000000" w:rsidRDefault="00000000" w:rsidRPr="00000000" w14:paraId="0000003A">
      <w:pPr>
        <w:spacing w:after="240" w:before="240" w:line="312" w:lineRule="auto"/>
        <w:ind w:left="0" w:firstLine="0"/>
        <w:rPr>
          <w:sz w:val="24"/>
          <w:szCs w:val="24"/>
        </w:rPr>
      </w:pPr>
      <w:r w:rsidDel="00000000" w:rsidR="00000000" w:rsidRPr="00000000">
        <w:rPr>
          <w:sz w:val="24"/>
          <w:szCs w:val="24"/>
          <w:rtl w:val="0"/>
        </w:rPr>
        <w:t xml:space="preserve">These attributes describe </w:t>
      </w:r>
      <w:r w:rsidDel="00000000" w:rsidR="00000000" w:rsidRPr="00000000">
        <w:rPr>
          <w:b w:val="1"/>
          <w:bCs w:val="1"/>
          <w:sz w:val="24"/>
          <w:szCs w:val="24"/>
          <w:rtl w:val="0"/>
        </w:rPr>
        <w:t xml:space="preserve">what a CJ looks like</w:t>
      </w:r>
      <w:r w:rsidDel="00000000" w:rsidR="00000000" w:rsidRPr="00000000">
        <w:rPr>
          <w:sz w:val="24"/>
          <w:szCs w:val="24"/>
          <w:rtl w:val="0"/>
        </w:rPr>
        <w:t xml:space="preserve">, not what produces it.</w:t>
      </w:r>
    </w:p>
    <w:p w:rsidR="00000000" w:rsidDel="00000000" w:rsidP="00000000" w:rsidRDefault="00000000" w:rsidRPr="00000000" w14:paraId="0000003B">
      <w:pPr>
        <w:pStyle w:val="Heading3"/>
        <w:keepNext w:val="0"/>
        <w:keepLines w:val="0"/>
        <w:spacing w:line="312" w:lineRule="auto"/>
        <w:jc w:val="both"/>
        <w:rPr>
          <w:sz w:val="26"/>
          <w:szCs w:val="26"/>
        </w:rPr>
      </w:pPr>
      <w:bookmarkStart w:colFirst="0" w:colLast="0" w:name="_po3x7voj7uam" w:id="8"/>
      <w:bookmarkEnd w:id="8"/>
      <w:r w:rsidDel="00000000" w:rsidR="00000000" w:rsidRPr="00000000">
        <w:rPr>
          <w:sz w:val="26"/>
          <w:szCs w:val="26"/>
          <w:rtl w:val="0"/>
        </w:rPr>
        <w:t xml:space="preserve">Heightened Contingency: Capoccia &amp; Kelemen</w:t>
      </w:r>
    </w:p>
    <w:p w:rsidR="00000000" w:rsidDel="00000000" w:rsidP="00000000" w:rsidRDefault="00000000" w:rsidRPr="00000000" w14:paraId="0000003C">
      <w:pPr>
        <w:spacing w:after="240" w:before="240" w:line="312" w:lineRule="auto"/>
        <w:jc w:val="both"/>
        <w:rPr>
          <w:sz w:val="24"/>
          <w:szCs w:val="24"/>
        </w:rPr>
      </w:pPr>
      <w:r w:rsidDel="00000000" w:rsidR="00000000" w:rsidRPr="00000000">
        <w:rPr>
          <w:sz w:val="24"/>
          <w:szCs w:val="24"/>
          <w:rtl w:val="0"/>
        </w:rPr>
        <w:t xml:space="preserve">Capoccia and Kelemen (2007) reconceptualize CJs as periods of </w:t>
      </w:r>
      <w:r w:rsidDel="00000000" w:rsidR="00000000" w:rsidRPr="00000000">
        <w:rPr>
          <w:b w:val="1"/>
          <w:bCs w:val="1"/>
          <w:sz w:val="24"/>
          <w:szCs w:val="24"/>
          <w:rtl w:val="0"/>
        </w:rPr>
        <w:t xml:space="preserve">heightened contingency</w:t>
      </w:r>
      <w:r w:rsidDel="00000000" w:rsidR="00000000" w:rsidRPr="00000000">
        <w:rPr>
          <w:sz w:val="24"/>
          <w:szCs w:val="24"/>
          <w:rtl w:val="0"/>
        </w:rPr>
        <w:t xml:space="preserve">, during which structural constraints loosen and the range of feasible political choices expands. Their central diagnostic requirement is </w:t>
      </w:r>
      <w:r w:rsidDel="00000000" w:rsidR="00000000" w:rsidRPr="00000000">
        <w:rPr>
          <w:b w:val="1"/>
          <w:bCs w:val="1"/>
          <w:sz w:val="24"/>
          <w:szCs w:val="24"/>
          <w:rtl w:val="0"/>
        </w:rPr>
        <w:t xml:space="preserve">counterfactual plausibility</w:t>
      </w:r>
      <w:r w:rsidDel="00000000" w:rsidR="00000000" w:rsidRPr="00000000">
        <w:rPr>
          <w:sz w:val="24"/>
          <w:szCs w:val="24"/>
          <w:rtl w:val="0"/>
        </w:rPr>
        <w:t xml:space="preserve">: to classify an episode as a CJ, the observed outcome must be one among multiple plausible alternatives available at the time. Assessing contingency requires </w:t>
      </w:r>
      <w:r w:rsidDel="00000000" w:rsidR="00000000" w:rsidRPr="00000000">
        <w:rPr>
          <w:b w:val="1"/>
          <w:bCs w:val="1"/>
          <w:sz w:val="24"/>
          <w:szCs w:val="24"/>
          <w:rtl w:val="0"/>
        </w:rPr>
        <w:t xml:space="preserve">process tracing, archival reconstruction, and evidence of decision-making under uncertainty</w:t>
      </w:r>
      <w:r w:rsidDel="00000000" w:rsidR="00000000" w:rsidRPr="00000000">
        <w:rPr>
          <w:sz w:val="24"/>
          <w:szCs w:val="24"/>
          <w:rtl w:val="0"/>
        </w:rPr>
        <w:t xml:space="preserve">, ensuring that discontinuous change is not mistaken for structurally inevitable evolution.</w:t>
      </w:r>
    </w:p>
    <w:p w:rsidR="00000000" w:rsidDel="00000000" w:rsidP="00000000" w:rsidRDefault="00000000" w:rsidRPr="00000000" w14:paraId="0000003D">
      <w:pPr>
        <w:pStyle w:val="Heading2"/>
        <w:spacing w:after="80" w:before="360" w:line="312" w:lineRule="auto"/>
        <w:ind w:left="0" w:firstLine="0"/>
        <w:jc w:val="both"/>
        <w:rPr>
          <w:sz w:val="34"/>
          <w:szCs w:val="34"/>
        </w:rPr>
      </w:pPr>
      <w:bookmarkStart w:colFirst="0" w:colLast="0" w:name="_uuk0qmj4ze8r" w:id="9"/>
      <w:bookmarkEnd w:id="9"/>
      <w:r w:rsidDel="00000000" w:rsidR="00000000" w:rsidRPr="00000000">
        <w:rPr>
          <w:sz w:val="34"/>
          <w:szCs w:val="34"/>
          <w:rtl w:val="0"/>
        </w:rPr>
        <w:t xml:space="preserve">IV. The Causal Architecture of Critical Junctures</w:t>
      </w:r>
    </w:p>
    <w:p w:rsidR="00000000" w:rsidDel="00000000" w:rsidP="00000000" w:rsidRDefault="00000000" w:rsidRPr="00000000" w14:paraId="0000003E">
      <w:pPr>
        <w:spacing w:after="240" w:before="240" w:line="312" w:lineRule="auto"/>
        <w:jc w:val="both"/>
        <w:rPr>
          <w:sz w:val="24"/>
          <w:szCs w:val="24"/>
        </w:rPr>
      </w:pPr>
      <w:r w:rsidDel="00000000" w:rsidR="00000000" w:rsidRPr="00000000">
        <w:rPr>
          <w:sz w:val="24"/>
          <w:szCs w:val="24"/>
          <w:rtl w:val="0"/>
        </w:rPr>
        <w:t xml:space="preserve">CJs do not result from a single shock but from a </w:t>
      </w:r>
      <w:r w:rsidDel="00000000" w:rsidR="00000000" w:rsidRPr="00000000">
        <w:rPr>
          <w:b w:val="1"/>
          <w:bCs w:val="1"/>
          <w:sz w:val="24"/>
          <w:szCs w:val="24"/>
          <w:rtl w:val="0"/>
        </w:rPr>
        <w:t xml:space="preserve">configurational sequence</w:t>
      </w:r>
      <w:r w:rsidDel="00000000" w:rsidR="00000000" w:rsidRPr="00000000">
        <w:rPr>
          <w:sz w:val="24"/>
          <w:szCs w:val="24"/>
          <w:rtl w:val="0"/>
        </w:rPr>
        <w:t xml:space="preserve"> of causal components. Building on Collier and Collier (1991), Soifer (2012), and Slater and Simmons (2010), the architecture consists of three analytically distinct elements.</w:t>
      </w:r>
    </w:p>
    <w:p w:rsidR="00000000" w:rsidDel="00000000" w:rsidP="00000000" w:rsidRDefault="00000000" w:rsidRPr="00000000" w14:paraId="0000003F">
      <w:pPr>
        <w:pStyle w:val="Heading3"/>
        <w:keepNext w:val="0"/>
        <w:keepLines w:val="0"/>
        <w:spacing w:line="312" w:lineRule="auto"/>
        <w:jc w:val="both"/>
        <w:rPr>
          <w:sz w:val="26"/>
          <w:szCs w:val="26"/>
        </w:rPr>
      </w:pPr>
      <w:bookmarkStart w:colFirst="0" w:colLast="0" w:name="_zbmvuowh4cyp" w:id="10"/>
      <w:bookmarkEnd w:id="10"/>
      <w:r w:rsidDel="00000000" w:rsidR="00000000" w:rsidRPr="00000000">
        <w:rPr>
          <w:sz w:val="26"/>
          <w:szCs w:val="26"/>
          <w:rtl w:val="0"/>
        </w:rPr>
        <w:t xml:space="preserve">Critical Antecedents (CAs)</w:t>
      </w:r>
    </w:p>
    <w:p w:rsidR="00000000" w:rsidDel="00000000" w:rsidP="00000000" w:rsidRDefault="00000000" w:rsidRPr="00000000" w14:paraId="00000040">
      <w:pPr>
        <w:spacing w:after="240" w:before="240" w:line="312" w:lineRule="auto"/>
        <w:jc w:val="both"/>
        <w:rPr>
          <w:sz w:val="24"/>
          <w:szCs w:val="24"/>
        </w:rPr>
      </w:pPr>
      <w:r w:rsidDel="00000000" w:rsidR="00000000" w:rsidRPr="00000000">
        <w:rPr>
          <w:sz w:val="24"/>
          <w:szCs w:val="24"/>
          <w:rtl w:val="0"/>
        </w:rPr>
        <w:t xml:space="preserve">Critical antecedents are long-term, historically variable conditions that shape how actors interpret opportunities once a juncture opens. They generate what Slater and Simmons (2010) call </w:t>
      </w:r>
      <w:r w:rsidDel="00000000" w:rsidR="00000000" w:rsidRPr="00000000">
        <w:rPr>
          <w:b w:val="1"/>
          <w:bCs w:val="1"/>
          <w:sz w:val="24"/>
          <w:szCs w:val="24"/>
          <w:rtl w:val="0"/>
        </w:rPr>
        <w:t xml:space="preserve">“difference before divergence”</w:t>
      </w:r>
      <w:r w:rsidDel="00000000" w:rsidR="00000000" w:rsidRPr="00000000">
        <w:rPr>
          <w:sz w:val="24"/>
          <w:szCs w:val="24"/>
          <w:rtl w:val="0"/>
        </w:rPr>
        <w:t xml:space="preserve">, conditioning the effect of juncture-level forces without directly triggering rupture. CAs may function as either:</w:t>
      </w:r>
    </w:p>
    <w:p w:rsidR="00000000" w:rsidDel="00000000" w:rsidP="00000000" w:rsidRDefault="00000000" w:rsidRPr="00000000" w14:paraId="00000041">
      <w:pPr>
        <w:numPr>
          <w:ilvl w:val="0"/>
          <w:numId w:val="17"/>
        </w:numPr>
        <w:spacing w:after="0" w:afterAutospacing="0" w:before="240" w:line="312" w:lineRule="auto"/>
        <w:ind w:left="720" w:hanging="360"/>
        <w:rPr>
          <w:sz w:val="24"/>
          <w:szCs w:val="24"/>
        </w:rPr>
      </w:pPr>
      <w:r w:rsidDel="00000000" w:rsidR="00000000" w:rsidRPr="00000000">
        <w:rPr>
          <w:b w:val="1"/>
          <w:bCs w:val="1"/>
          <w:sz w:val="24"/>
          <w:szCs w:val="24"/>
          <w:rtl w:val="0"/>
        </w:rPr>
        <w:t xml:space="preserve">Conditioning causes</w:t>
      </w:r>
      <w:r w:rsidDel="00000000" w:rsidR="00000000" w:rsidRPr="00000000">
        <w:rPr>
          <w:sz w:val="24"/>
          <w:szCs w:val="24"/>
          <w:rtl w:val="0"/>
        </w:rPr>
        <w:t xml:space="preserve">, shaping how productive conditions unfold, or</w:t>
        <w:br w:type="textWrapping"/>
      </w:r>
    </w:p>
    <w:p w:rsidR="00000000" w:rsidDel="00000000" w:rsidP="00000000" w:rsidRDefault="00000000" w:rsidRPr="00000000" w14:paraId="00000042">
      <w:pPr>
        <w:numPr>
          <w:ilvl w:val="0"/>
          <w:numId w:val="17"/>
        </w:numPr>
        <w:spacing w:after="240" w:before="0" w:beforeAutospacing="0" w:line="312" w:lineRule="auto"/>
        <w:ind w:left="720" w:hanging="360"/>
        <w:rPr>
          <w:sz w:val="24"/>
          <w:szCs w:val="24"/>
        </w:rPr>
      </w:pPr>
      <w:r w:rsidDel="00000000" w:rsidR="00000000" w:rsidRPr="00000000">
        <w:rPr>
          <w:b w:val="1"/>
          <w:bCs w:val="1"/>
          <w:sz w:val="24"/>
          <w:szCs w:val="24"/>
          <w:rtl w:val="0"/>
        </w:rPr>
        <w:t xml:space="preserve">Successive causes</w:t>
      </w:r>
      <w:r w:rsidDel="00000000" w:rsidR="00000000" w:rsidRPr="00000000">
        <w:rPr>
          <w:sz w:val="24"/>
          <w:szCs w:val="24"/>
          <w:rtl w:val="0"/>
        </w:rPr>
        <w:t xml:space="preserve">, preparing the terrain that productive conditions later activate.</w:t>
        <w:br w:type="textWrapping"/>
      </w:r>
    </w:p>
    <w:p w:rsidR="00000000" w:rsidDel="00000000" w:rsidP="00000000" w:rsidRDefault="00000000" w:rsidRPr="00000000" w14:paraId="00000043">
      <w:pPr>
        <w:spacing w:after="240" w:before="240" w:line="312" w:lineRule="auto"/>
        <w:jc w:val="both"/>
        <w:rPr>
          <w:sz w:val="24"/>
          <w:szCs w:val="24"/>
        </w:rPr>
      </w:pPr>
      <w:r w:rsidDel="00000000" w:rsidR="00000000" w:rsidRPr="00000000">
        <w:rPr>
          <w:sz w:val="24"/>
          <w:szCs w:val="24"/>
          <w:rtl w:val="0"/>
        </w:rPr>
        <w:t xml:space="preserve">They do not independently produce rupture.</w:t>
      </w:r>
    </w:p>
    <w:p w:rsidR="00000000" w:rsidDel="00000000" w:rsidP="00000000" w:rsidRDefault="00000000" w:rsidRPr="00000000" w14:paraId="00000044">
      <w:pPr>
        <w:pStyle w:val="Heading3"/>
        <w:keepNext w:val="0"/>
        <w:keepLines w:val="0"/>
        <w:spacing w:line="312" w:lineRule="auto"/>
        <w:jc w:val="both"/>
        <w:rPr>
          <w:sz w:val="26"/>
          <w:szCs w:val="26"/>
        </w:rPr>
      </w:pPr>
      <w:bookmarkStart w:colFirst="0" w:colLast="0" w:name="_1of6906f3ke8" w:id="11"/>
      <w:bookmarkEnd w:id="11"/>
      <w:r w:rsidDel="00000000" w:rsidR="00000000" w:rsidRPr="00000000">
        <w:rPr>
          <w:sz w:val="26"/>
          <w:szCs w:val="26"/>
          <w:rtl w:val="0"/>
        </w:rPr>
        <w:t xml:space="preserve">Permissive Conditions (PCs)</w:t>
      </w:r>
    </w:p>
    <w:p w:rsidR="00000000" w:rsidDel="00000000" w:rsidP="00000000" w:rsidRDefault="00000000" w:rsidRPr="00000000" w14:paraId="00000045">
      <w:pPr>
        <w:spacing w:after="240" w:before="240" w:line="312" w:lineRule="auto"/>
        <w:jc w:val="both"/>
        <w:rPr>
          <w:sz w:val="24"/>
          <w:szCs w:val="24"/>
        </w:rPr>
      </w:pPr>
      <w:r w:rsidDel="00000000" w:rsidR="00000000" w:rsidRPr="00000000">
        <w:rPr>
          <w:sz w:val="24"/>
          <w:szCs w:val="24"/>
          <w:rtl w:val="0"/>
        </w:rPr>
        <w:t xml:space="preserve">Permissive conditions are necessary but insufficient structural shifts—such as elite fragmentation, fiscal crisis, or state weakness—that </w:t>
      </w:r>
      <w:r w:rsidDel="00000000" w:rsidR="00000000" w:rsidRPr="00000000">
        <w:rPr>
          <w:b w:val="1"/>
          <w:bCs w:val="1"/>
          <w:sz w:val="24"/>
          <w:szCs w:val="24"/>
          <w:rtl w:val="0"/>
        </w:rPr>
        <w:t xml:space="preserve">relax constraints</w:t>
      </w:r>
      <w:r w:rsidDel="00000000" w:rsidR="00000000" w:rsidRPr="00000000">
        <w:rPr>
          <w:sz w:val="24"/>
          <w:szCs w:val="24"/>
          <w:rtl w:val="0"/>
        </w:rPr>
        <w:t xml:space="preserve"> and open a </w:t>
      </w:r>
      <w:r w:rsidDel="00000000" w:rsidR="00000000" w:rsidRPr="00000000">
        <w:rPr>
          <w:b w:val="1"/>
          <w:bCs w:val="1"/>
          <w:sz w:val="24"/>
          <w:szCs w:val="24"/>
          <w:rtl w:val="0"/>
        </w:rPr>
        <w:t xml:space="preserve">window of heightened contingency</w:t>
      </w:r>
      <w:r w:rsidDel="00000000" w:rsidR="00000000" w:rsidRPr="00000000">
        <w:rPr>
          <w:sz w:val="24"/>
          <w:szCs w:val="24"/>
          <w:rtl w:val="0"/>
        </w:rPr>
        <w:t xml:space="preserve">. PCs create the opportunity for rupture but do not predetermine its direction (Soifer, 2012).</w:t>
      </w:r>
    </w:p>
    <w:p w:rsidR="00000000" w:rsidDel="00000000" w:rsidP="00000000" w:rsidRDefault="00000000" w:rsidRPr="00000000" w14:paraId="00000046">
      <w:pPr>
        <w:pStyle w:val="Heading3"/>
        <w:keepNext w:val="0"/>
        <w:keepLines w:val="0"/>
        <w:spacing w:line="312" w:lineRule="auto"/>
        <w:jc w:val="both"/>
        <w:rPr>
          <w:sz w:val="26"/>
          <w:szCs w:val="26"/>
        </w:rPr>
      </w:pPr>
      <w:bookmarkStart w:colFirst="0" w:colLast="0" w:name="_dw4banjrviex" w:id="12"/>
      <w:bookmarkEnd w:id="12"/>
      <w:r w:rsidDel="00000000" w:rsidR="00000000" w:rsidRPr="00000000">
        <w:rPr>
          <w:sz w:val="26"/>
          <w:szCs w:val="26"/>
          <w:rtl w:val="0"/>
        </w:rPr>
        <w:t xml:space="preserve">Productive Conditions (ProCs)</w:t>
      </w:r>
    </w:p>
    <w:p w:rsidR="00000000" w:rsidDel="00000000" w:rsidP="00000000" w:rsidRDefault="00000000" w:rsidRPr="00000000" w14:paraId="00000047">
      <w:pPr>
        <w:spacing w:after="240" w:before="240" w:line="312" w:lineRule="auto"/>
        <w:jc w:val="both"/>
        <w:rPr>
          <w:sz w:val="24"/>
          <w:szCs w:val="24"/>
        </w:rPr>
      </w:pPr>
      <w:r w:rsidDel="00000000" w:rsidR="00000000" w:rsidRPr="00000000">
        <w:rPr>
          <w:sz w:val="24"/>
          <w:szCs w:val="24"/>
          <w:rtl w:val="0"/>
        </w:rPr>
        <w:t xml:space="preserve">Productive conditions are the contingent strategic actions undertaken </w:t>
      </w:r>
      <w:r w:rsidDel="00000000" w:rsidR="00000000" w:rsidRPr="00000000">
        <w:rPr>
          <w:b w:val="1"/>
          <w:bCs w:val="1"/>
          <w:sz w:val="24"/>
          <w:szCs w:val="24"/>
          <w:rtl w:val="0"/>
        </w:rPr>
        <w:t xml:space="preserve">within</w:t>
      </w:r>
      <w:r w:rsidDel="00000000" w:rsidR="00000000" w:rsidRPr="00000000">
        <w:rPr>
          <w:sz w:val="24"/>
          <w:szCs w:val="24"/>
          <w:rtl w:val="0"/>
        </w:rPr>
        <w:t xml:space="preserve"> the permissive window that directly generate institutional change. These may include decentralized mass mobilization, cross-sectoral coalition formation, or the activation of latent sectoral or territorial cleavages. Insights from contentious politics (Tilly, 2004) show that bottom-up mobilization can provide alternative institutional templates, disrupt elite coordination, and reshape legitimacy—all mechanisms that map onto productive conditions.</w:t>
      </w:r>
    </w:p>
    <w:p w:rsidR="00000000" w:rsidDel="00000000" w:rsidP="00000000" w:rsidRDefault="00000000" w:rsidRPr="00000000" w14:paraId="00000048">
      <w:pPr>
        <w:pStyle w:val="Heading3"/>
        <w:keepNext w:val="0"/>
        <w:keepLines w:val="0"/>
        <w:spacing w:line="312" w:lineRule="auto"/>
        <w:jc w:val="both"/>
        <w:rPr>
          <w:sz w:val="26"/>
          <w:szCs w:val="26"/>
        </w:rPr>
      </w:pPr>
      <w:bookmarkStart w:colFirst="0" w:colLast="0" w:name="_tvx9asrvq3zi" w:id="13"/>
      <w:bookmarkEnd w:id="13"/>
      <w:r w:rsidDel="00000000" w:rsidR="00000000" w:rsidRPr="00000000">
        <w:rPr>
          <w:sz w:val="26"/>
          <w:szCs w:val="26"/>
          <w:rtl w:val="0"/>
        </w:rPr>
        <w:t xml:space="preserve">Configurational Causality</w:t>
      </w:r>
    </w:p>
    <w:p w:rsidR="00000000" w:rsidDel="00000000" w:rsidP="00000000" w:rsidRDefault="00000000" w:rsidRPr="00000000" w14:paraId="00000049">
      <w:pPr>
        <w:spacing w:after="240" w:before="240" w:line="312" w:lineRule="auto"/>
        <w:jc w:val="both"/>
        <w:rPr>
          <w:sz w:val="24"/>
          <w:szCs w:val="24"/>
        </w:rPr>
      </w:pPr>
      <w:r w:rsidDel="00000000" w:rsidR="00000000" w:rsidRPr="00000000">
        <w:rPr>
          <w:sz w:val="24"/>
          <w:szCs w:val="24"/>
          <w:rtl w:val="0"/>
        </w:rPr>
        <w:t xml:space="preserve">A CJ emerges when:</w:t>
      </w:r>
    </w:p>
    <w:p w:rsidR="00000000" w:rsidDel="00000000" w:rsidP="00000000" w:rsidRDefault="00000000" w:rsidRPr="00000000" w14:paraId="0000004A">
      <w:pPr>
        <w:numPr>
          <w:ilvl w:val="0"/>
          <w:numId w:val="18"/>
        </w:numPr>
        <w:spacing w:after="0" w:afterAutospacing="0" w:before="240" w:line="312" w:lineRule="auto"/>
        <w:ind w:left="720" w:hanging="360"/>
        <w:rPr>
          <w:sz w:val="24"/>
          <w:szCs w:val="24"/>
        </w:rPr>
      </w:pPr>
      <w:r w:rsidDel="00000000" w:rsidR="00000000" w:rsidRPr="00000000">
        <w:rPr>
          <w:b w:val="1"/>
          <w:bCs w:val="1"/>
          <w:sz w:val="24"/>
          <w:szCs w:val="24"/>
          <w:rtl w:val="0"/>
        </w:rPr>
        <w:t xml:space="preserve">Critical antecedents</w:t>
      </w:r>
      <w:r w:rsidDel="00000000" w:rsidR="00000000" w:rsidRPr="00000000">
        <w:rPr>
          <w:sz w:val="24"/>
          <w:szCs w:val="24"/>
          <w:rtl w:val="0"/>
        </w:rPr>
        <w:t xml:space="preserve"> structure interpretation, interests, and mobilizational capacities;</w:t>
        <w:br w:type="textWrapping"/>
      </w:r>
    </w:p>
    <w:p w:rsidR="00000000" w:rsidDel="00000000" w:rsidP="00000000" w:rsidRDefault="00000000" w:rsidRPr="00000000" w14:paraId="0000004B">
      <w:pPr>
        <w:numPr>
          <w:ilvl w:val="0"/>
          <w:numId w:val="18"/>
        </w:numPr>
        <w:spacing w:after="0" w:afterAutospacing="0" w:before="0" w:beforeAutospacing="0" w:line="312" w:lineRule="auto"/>
        <w:ind w:left="720" w:hanging="360"/>
        <w:rPr>
          <w:sz w:val="24"/>
          <w:szCs w:val="24"/>
        </w:rPr>
      </w:pPr>
      <w:r w:rsidDel="00000000" w:rsidR="00000000" w:rsidRPr="00000000">
        <w:rPr>
          <w:b w:val="1"/>
          <w:bCs w:val="1"/>
          <w:sz w:val="24"/>
          <w:szCs w:val="24"/>
          <w:rtl w:val="0"/>
        </w:rPr>
        <w:t xml:space="preserve">Permissive conditions</w:t>
      </w:r>
      <w:r w:rsidDel="00000000" w:rsidR="00000000" w:rsidRPr="00000000">
        <w:rPr>
          <w:sz w:val="24"/>
          <w:szCs w:val="24"/>
          <w:rtl w:val="0"/>
        </w:rPr>
        <w:t xml:space="preserve"> relax structural constraints and open a juncture; and</w:t>
        <w:br w:type="textWrapping"/>
      </w:r>
    </w:p>
    <w:p w:rsidR="00000000" w:rsidDel="00000000" w:rsidP="00000000" w:rsidRDefault="00000000" w:rsidRPr="00000000" w14:paraId="0000004C">
      <w:pPr>
        <w:numPr>
          <w:ilvl w:val="0"/>
          <w:numId w:val="18"/>
        </w:numPr>
        <w:spacing w:after="240" w:before="0" w:beforeAutospacing="0" w:line="312" w:lineRule="auto"/>
        <w:ind w:left="720" w:hanging="360"/>
        <w:rPr>
          <w:sz w:val="24"/>
          <w:szCs w:val="24"/>
        </w:rPr>
      </w:pPr>
      <w:r w:rsidDel="00000000" w:rsidR="00000000" w:rsidRPr="00000000">
        <w:rPr>
          <w:b w:val="1"/>
          <w:bCs w:val="1"/>
          <w:sz w:val="24"/>
          <w:szCs w:val="24"/>
          <w:rtl w:val="0"/>
        </w:rPr>
        <w:t xml:space="preserve">Productive conditions</w:t>
      </w:r>
      <w:r w:rsidDel="00000000" w:rsidR="00000000" w:rsidRPr="00000000">
        <w:rPr>
          <w:sz w:val="24"/>
          <w:szCs w:val="24"/>
          <w:rtl w:val="0"/>
        </w:rPr>
        <w:t xml:space="preserve"> convert this window into a durable institutional reconfiguration.</w:t>
        <w:br w:type="textWrapping"/>
      </w:r>
    </w:p>
    <w:p w:rsidR="00000000" w:rsidDel="00000000" w:rsidP="00000000" w:rsidRDefault="00000000" w:rsidRPr="00000000" w14:paraId="0000004D">
      <w:pPr>
        <w:spacing w:after="240" w:before="240" w:line="312" w:lineRule="auto"/>
        <w:jc w:val="both"/>
        <w:rPr>
          <w:sz w:val="24"/>
          <w:szCs w:val="24"/>
        </w:rPr>
      </w:pPr>
      <w:r w:rsidDel="00000000" w:rsidR="00000000" w:rsidRPr="00000000">
        <w:rPr>
          <w:sz w:val="24"/>
          <w:szCs w:val="24"/>
          <w:rtl w:val="0"/>
        </w:rPr>
        <w:t xml:space="preserve">This configurational sequence distinguishes CJs from both slow-moving institutional drift and non-transformative instability.</w:t>
      </w:r>
    </w:p>
    <w:p w:rsidR="00000000" w:rsidDel="00000000" w:rsidP="00000000" w:rsidRDefault="00000000" w:rsidRPr="00000000" w14:paraId="0000004E">
      <w:pPr>
        <w:pStyle w:val="Heading2"/>
        <w:spacing w:after="80" w:before="360" w:line="312" w:lineRule="auto"/>
        <w:ind w:left="0" w:firstLine="0"/>
        <w:jc w:val="both"/>
        <w:rPr>
          <w:sz w:val="34"/>
          <w:szCs w:val="34"/>
        </w:rPr>
      </w:pPr>
      <w:bookmarkStart w:colFirst="0" w:colLast="0" w:name="_31tggv5vjd0x" w:id="14"/>
      <w:bookmarkEnd w:id="14"/>
      <w:r w:rsidDel="00000000" w:rsidR="00000000" w:rsidRPr="00000000">
        <w:rPr>
          <w:sz w:val="34"/>
          <w:szCs w:val="34"/>
          <w:rtl w:val="0"/>
        </w:rPr>
        <w:t xml:space="preserve">V. Distinguishing Outcome Types: Gradual Change, Discontinuous Rupture, and Critical Junctures</w:t>
      </w:r>
    </w:p>
    <w:p w:rsidR="00000000" w:rsidDel="00000000" w:rsidP="00000000" w:rsidRDefault="00000000" w:rsidRPr="00000000" w14:paraId="0000004F">
      <w:pPr>
        <w:pBdr>
          <w:top w:color="e3e3e3" w:space="0" w:sz="0" w:val="none"/>
          <w:left w:color="e3e3e3" w:space="0" w:sz="0" w:val="none"/>
          <w:bottom w:color="e3e3e3" w:space="0" w:sz="0" w:val="none"/>
          <w:right w:color="e3e3e3" w:space="0" w:sz="0" w:val="none"/>
          <w:between w:color="e3e3e3" w:space="0" w:sz="0" w:val="none"/>
        </w:pBdr>
        <w:shd w:fill="ffffff" w:val="clear"/>
        <w:spacing w:after="180" w:before="180" w:line="312" w:lineRule="auto"/>
        <w:jc w:val="both"/>
        <w:rPr>
          <w:rFonts w:ascii="Arial" w:cs="Arial" w:eastAsia="Arial" w:hAnsi="Arial"/>
          <w:color w:val="1d1d20"/>
          <w:sz w:val="24"/>
          <w:szCs w:val="24"/>
        </w:rPr>
      </w:pPr>
      <w:r w:rsidDel="00000000" w:rsidR="00000000" w:rsidRPr="00000000">
        <w:rPr>
          <w:rFonts w:ascii="Arial" w:cs="Arial" w:eastAsia="Arial" w:hAnsi="Arial"/>
          <w:color w:val="1d1d20"/>
          <w:sz w:val="24"/>
          <w:szCs w:val="24"/>
          <w:rtl w:val="0"/>
        </w:rPr>
        <w:t xml:space="preserve">The dependent variable in this framework is the type of institutional change, which takes two conceptual forms:</w:t>
      </w:r>
    </w:p>
    <w:p w:rsidR="00000000" w:rsidDel="00000000" w:rsidP="00000000" w:rsidRDefault="00000000" w:rsidRPr="00000000" w14:paraId="00000050">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80" w:line="312" w:lineRule="auto"/>
        <w:ind w:left="720" w:hanging="360"/>
      </w:pPr>
      <w:r w:rsidDel="00000000" w:rsidR="00000000" w:rsidRPr="00000000">
        <w:rPr>
          <w:rFonts w:ascii="Arial" w:cs="Arial" w:eastAsia="Arial" w:hAnsi="Arial"/>
          <w:color w:val="1d1d20"/>
          <w:sz w:val="24"/>
          <w:szCs w:val="24"/>
          <w:rtl w:val="0"/>
        </w:rPr>
        <w:t xml:space="preserve">Continuous (gradual) change, reflecting one or more mechanisms identified by Streeck and Thelen (2005), remains within the bounds of the existing institutional order.</w:t>
      </w:r>
    </w:p>
    <w:p w:rsidR="00000000" w:rsidDel="00000000" w:rsidP="00000000" w:rsidRDefault="00000000" w:rsidRPr="00000000" w14:paraId="00000051">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180" w:before="0" w:beforeAutospacing="0" w:line="312" w:lineRule="auto"/>
        <w:ind w:left="720" w:hanging="360"/>
      </w:pPr>
      <w:r w:rsidDel="00000000" w:rsidR="00000000" w:rsidRPr="00000000">
        <w:rPr>
          <w:rFonts w:ascii="Arial" w:cs="Arial" w:eastAsia="Arial" w:hAnsi="Arial"/>
          <w:color w:val="1d1d20"/>
          <w:sz w:val="24"/>
          <w:szCs w:val="24"/>
          <w:rtl w:val="0"/>
        </w:rPr>
        <w:t xml:space="preserve">Discontinuous change, arising when CAs, PCs, and ProCs align, produces a sharp break with prior trajectories.</w:t>
      </w:r>
    </w:p>
    <w:p w:rsidR="00000000" w:rsidDel="00000000" w:rsidP="00000000" w:rsidRDefault="00000000" w:rsidRPr="00000000" w14:paraId="00000052">
      <w:pPr>
        <w:pBdr>
          <w:top w:color="e3e3e3" w:space="0" w:sz="0" w:val="none"/>
          <w:left w:color="e3e3e3" w:space="0" w:sz="0" w:val="none"/>
          <w:bottom w:color="e3e3e3" w:space="0" w:sz="0" w:val="none"/>
          <w:right w:color="e3e3e3" w:space="0" w:sz="0" w:val="none"/>
          <w:between w:color="e3e3e3" w:space="0" w:sz="0" w:val="none"/>
        </w:pBdr>
        <w:shd w:fill="ffffff" w:val="clear"/>
        <w:spacing w:after="180" w:before="180" w:line="312" w:lineRule="auto"/>
        <w:jc w:val="both"/>
        <w:rPr>
          <w:rFonts w:ascii="Arial" w:cs="Arial" w:eastAsia="Arial" w:hAnsi="Arial"/>
          <w:color w:val="1d1d20"/>
          <w:sz w:val="24"/>
          <w:szCs w:val="24"/>
        </w:rPr>
      </w:pPr>
      <w:r w:rsidDel="00000000" w:rsidR="00000000" w:rsidRPr="00000000">
        <w:rPr>
          <w:rFonts w:ascii="Arial" w:cs="Arial" w:eastAsia="Arial" w:hAnsi="Arial"/>
          <w:color w:val="1d1d20"/>
          <w:sz w:val="24"/>
          <w:szCs w:val="24"/>
          <w:rtl w:val="0"/>
        </w:rPr>
        <w:t xml:space="preserve">A critical juncture is a specific subtype of discontinuous change. An episode qualifies as a CJ only when:</w:t>
      </w:r>
    </w:p>
    <w:p w:rsidR="00000000" w:rsidDel="00000000" w:rsidP="00000000" w:rsidRDefault="00000000" w:rsidRPr="00000000" w14:paraId="00000053">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80" w:line="312" w:lineRule="auto"/>
        <w:ind w:left="720" w:hanging="360"/>
      </w:pPr>
      <w:r w:rsidDel="00000000" w:rsidR="00000000" w:rsidRPr="00000000">
        <w:rPr>
          <w:rFonts w:ascii="Arial" w:cs="Arial" w:eastAsia="Arial" w:hAnsi="Arial"/>
          <w:color w:val="1d1d20"/>
          <w:sz w:val="24"/>
          <w:szCs w:val="24"/>
          <w:rtl w:val="0"/>
        </w:rPr>
        <w:t xml:space="preserve">The discontinuity is swift, significant, and encompassing (Hogan, 2006); and</w:t>
      </w:r>
    </w:p>
    <w:p w:rsidR="00000000" w:rsidDel="00000000" w:rsidP="00000000" w:rsidRDefault="00000000" w:rsidRPr="00000000" w14:paraId="00000054">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180" w:before="0" w:beforeAutospacing="0" w:line="312" w:lineRule="auto"/>
        <w:ind w:left="720" w:hanging="360"/>
      </w:pPr>
      <w:r w:rsidDel="00000000" w:rsidR="00000000" w:rsidRPr="00000000">
        <w:rPr>
          <w:rFonts w:ascii="Arial" w:cs="Arial" w:eastAsia="Arial" w:hAnsi="Arial"/>
          <w:color w:val="1d1d20"/>
          <w:sz w:val="24"/>
          <w:szCs w:val="24"/>
          <w:rtl w:val="0"/>
        </w:rPr>
        <w:t xml:space="preserve">The episode reflects heightened contingency, demonstrated through counterfactual plausibility (Capoccia &amp; Kelemen, 2007).</w:t>
      </w:r>
    </w:p>
    <w:p w:rsidR="00000000" w:rsidDel="00000000" w:rsidP="00000000" w:rsidRDefault="00000000" w:rsidRPr="00000000" w14:paraId="00000055">
      <w:pPr>
        <w:pBdr>
          <w:top w:color="e3e3e3" w:space="0" w:sz="0" w:val="none"/>
          <w:left w:color="e3e3e3" w:space="0" w:sz="0" w:val="none"/>
          <w:bottom w:color="e3e3e3" w:space="0" w:sz="0" w:val="none"/>
          <w:right w:color="e3e3e3" w:space="0" w:sz="0" w:val="none"/>
          <w:between w:color="e3e3e3" w:space="0" w:sz="0" w:val="none"/>
        </w:pBdr>
        <w:shd w:fill="ffffff" w:val="clear"/>
        <w:spacing w:after="180" w:before="180" w:line="312" w:lineRule="auto"/>
        <w:jc w:val="both"/>
        <w:rPr>
          <w:rFonts w:ascii="Arial" w:cs="Arial" w:eastAsia="Arial" w:hAnsi="Arial"/>
          <w:color w:val="1d1d20"/>
          <w:sz w:val="24"/>
          <w:szCs w:val="24"/>
        </w:rPr>
      </w:pPr>
      <w:r w:rsidDel="00000000" w:rsidR="00000000" w:rsidRPr="00000000">
        <w:rPr>
          <w:rFonts w:ascii="Arial" w:cs="Arial" w:eastAsia="Arial" w:hAnsi="Arial"/>
          <w:color w:val="1d1d20"/>
          <w:sz w:val="24"/>
          <w:szCs w:val="24"/>
          <w:rtl w:val="0"/>
        </w:rPr>
        <w:t xml:space="preserve">These dual criteria ensure that discontinuity is not conflated with accelerated gradualism or structurally determined evolution.</w:t>
      </w:r>
    </w:p>
    <w:p w:rsidR="00000000" w:rsidDel="00000000" w:rsidP="00000000" w:rsidRDefault="00000000" w:rsidRPr="00000000" w14:paraId="00000056">
      <w:pPr>
        <w:spacing w:after="240" w:before="240" w:line="312" w:lineRule="auto"/>
        <w:jc w:val="both"/>
        <w:rPr>
          <w:sz w:val="24"/>
          <w:szCs w:val="24"/>
        </w:rPr>
      </w:pPr>
      <w:r w:rsidDel="00000000" w:rsidR="00000000" w:rsidRPr="00000000">
        <w:rPr>
          <w:rtl w:val="0"/>
        </w:rPr>
      </w:r>
    </w:p>
    <w:p w:rsidR="00000000" w:rsidDel="00000000" w:rsidP="00000000" w:rsidRDefault="00000000" w:rsidRPr="00000000" w14:paraId="00000057">
      <w:pPr>
        <w:pStyle w:val="Heading2"/>
        <w:spacing w:after="80" w:before="360" w:line="312" w:lineRule="auto"/>
        <w:ind w:left="0" w:firstLine="0"/>
        <w:jc w:val="both"/>
        <w:rPr>
          <w:sz w:val="34"/>
          <w:szCs w:val="34"/>
        </w:rPr>
      </w:pPr>
      <w:bookmarkStart w:colFirst="0" w:colLast="0" w:name="_mdz00638cg9b" w:id="15"/>
      <w:bookmarkEnd w:id="15"/>
      <w:r w:rsidDel="00000000" w:rsidR="00000000" w:rsidRPr="00000000">
        <w:rPr>
          <w:sz w:val="34"/>
          <w:szCs w:val="34"/>
          <w:rtl w:val="0"/>
        </w:rPr>
        <w:t xml:space="preserve">Research Question and Hypothesis</w:t>
      </w:r>
    </w:p>
    <w:p w:rsidR="00000000" w:rsidDel="00000000" w:rsidP="00000000" w:rsidRDefault="00000000" w:rsidRPr="00000000" w14:paraId="00000058">
      <w:pPr>
        <w:pStyle w:val="Heading3"/>
        <w:keepNext w:val="0"/>
        <w:keepLines w:val="0"/>
        <w:spacing w:line="312" w:lineRule="auto"/>
        <w:jc w:val="both"/>
        <w:rPr>
          <w:sz w:val="26"/>
          <w:szCs w:val="26"/>
        </w:rPr>
      </w:pPr>
      <w:bookmarkStart w:colFirst="0" w:colLast="0" w:name="_sef40j9pz2xz" w:id="16"/>
      <w:bookmarkEnd w:id="16"/>
      <w:r w:rsidDel="00000000" w:rsidR="00000000" w:rsidRPr="00000000">
        <w:rPr>
          <w:sz w:val="26"/>
          <w:szCs w:val="26"/>
          <w:rtl w:val="0"/>
        </w:rPr>
        <w:t xml:space="preserve">Research Question</w:t>
      </w:r>
    </w:p>
    <w:p w:rsidR="00000000" w:rsidDel="00000000" w:rsidP="00000000" w:rsidRDefault="00000000" w:rsidRPr="00000000" w14:paraId="00000059">
      <w:pPr>
        <w:spacing w:after="240" w:before="240" w:line="312" w:lineRule="auto"/>
        <w:jc w:val="both"/>
        <w:rPr>
          <w:sz w:val="24"/>
          <w:szCs w:val="24"/>
        </w:rPr>
      </w:pPr>
      <w:r w:rsidDel="00000000" w:rsidR="00000000" w:rsidRPr="00000000">
        <w:rPr>
          <w:sz w:val="24"/>
          <w:szCs w:val="24"/>
          <w:rtl w:val="0"/>
        </w:rPr>
        <w:t xml:space="preserve">Under what conditions can a bottom-up democratization process be classified as a critical juncture rather than an instance of gradual institutional adaptation?</w:t>
      </w:r>
    </w:p>
    <w:p w:rsidR="00000000" w:rsidDel="00000000" w:rsidP="00000000" w:rsidRDefault="00000000" w:rsidRPr="00000000" w14:paraId="0000005A">
      <w:pPr>
        <w:pStyle w:val="Heading3"/>
        <w:keepNext w:val="0"/>
        <w:keepLines w:val="0"/>
        <w:spacing w:line="312" w:lineRule="auto"/>
        <w:jc w:val="both"/>
        <w:rPr>
          <w:sz w:val="26"/>
          <w:szCs w:val="26"/>
        </w:rPr>
      </w:pPr>
      <w:bookmarkStart w:colFirst="0" w:colLast="0" w:name="_xp591tp9614q" w:id="17"/>
      <w:bookmarkEnd w:id="17"/>
      <w:r w:rsidDel="00000000" w:rsidR="00000000" w:rsidRPr="00000000">
        <w:rPr>
          <w:sz w:val="26"/>
          <w:szCs w:val="26"/>
          <w:rtl w:val="0"/>
        </w:rPr>
        <w:t xml:space="preserve">Hypothesis</w:t>
      </w:r>
    </w:p>
    <w:p w:rsidR="00000000" w:rsidDel="00000000" w:rsidP="00000000" w:rsidRDefault="00000000" w:rsidRPr="00000000" w14:paraId="0000005B">
      <w:pPr>
        <w:spacing w:after="240" w:before="240" w:line="312" w:lineRule="auto"/>
        <w:jc w:val="both"/>
        <w:rPr>
          <w:sz w:val="24"/>
          <w:szCs w:val="24"/>
        </w:rPr>
      </w:pPr>
      <w:r w:rsidDel="00000000" w:rsidR="00000000" w:rsidRPr="00000000">
        <w:rPr>
          <w:sz w:val="24"/>
          <w:szCs w:val="24"/>
          <w:rtl w:val="0"/>
        </w:rPr>
        <w:t xml:space="preserve">A bottom-up mobilization constitutes a critical juncture when three causal components align:</w:t>
      </w:r>
    </w:p>
    <w:p w:rsidR="00000000" w:rsidDel="00000000" w:rsidP="00000000" w:rsidRDefault="00000000" w:rsidRPr="00000000" w14:paraId="0000005C">
      <w:pPr>
        <w:numPr>
          <w:ilvl w:val="0"/>
          <w:numId w:val="4"/>
        </w:numPr>
        <w:spacing w:after="0" w:afterAutospacing="0" w:before="240" w:line="312" w:lineRule="auto"/>
        <w:ind w:left="720" w:hanging="360"/>
        <w:rPr>
          <w:sz w:val="24"/>
          <w:szCs w:val="24"/>
        </w:rPr>
      </w:pPr>
      <w:r w:rsidDel="00000000" w:rsidR="00000000" w:rsidRPr="00000000">
        <w:rPr>
          <w:b w:val="1"/>
          <w:bCs w:val="1"/>
          <w:sz w:val="24"/>
          <w:szCs w:val="24"/>
          <w:rtl w:val="0"/>
        </w:rPr>
        <w:t xml:space="preserve">Critical antecedents</w:t>
      </w:r>
      <w:r w:rsidDel="00000000" w:rsidR="00000000" w:rsidRPr="00000000">
        <w:rPr>
          <w:sz w:val="24"/>
          <w:szCs w:val="24"/>
          <w:rtl w:val="0"/>
        </w:rPr>
        <w:t xml:space="preserve"> create “difference before divergence”;</w:t>
        <w:br w:type="textWrapping"/>
      </w:r>
    </w:p>
    <w:p w:rsidR="00000000" w:rsidDel="00000000" w:rsidP="00000000" w:rsidRDefault="00000000" w:rsidRPr="00000000" w14:paraId="0000005D">
      <w:pPr>
        <w:numPr>
          <w:ilvl w:val="0"/>
          <w:numId w:val="4"/>
        </w:numPr>
        <w:spacing w:after="0" w:afterAutospacing="0" w:before="0" w:beforeAutospacing="0" w:line="312" w:lineRule="auto"/>
        <w:ind w:left="720" w:hanging="360"/>
        <w:rPr>
          <w:sz w:val="24"/>
          <w:szCs w:val="24"/>
        </w:rPr>
      </w:pPr>
      <w:r w:rsidDel="00000000" w:rsidR="00000000" w:rsidRPr="00000000">
        <w:rPr>
          <w:b w:val="1"/>
          <w:bCs w:val="1"/>
          <w:sz w:val="24"/>
          <w:szCs w:val="24"/>
          <w:rtl w:val="0"/>
        </w:rPr>
        <w:t xml:space="preserve">Permissive conditions</w:t>
      </w:r>
      <w:r w:rsidDel="00000000" w:rsidR="00000000" w:rsidRPr="00000000">
        <w:rPr>
          <w:sz w:val="24"/>
          <w:szCs w:val="24"/>
          <w:rtl w:val="0"/>
        </w:rPr>
        <w:t xml:space="preserve"> relax structural constraints and open a window of heightened contingency; and</w:t>
        <w:br w:type="textWrapping"/>
      </w:r>
    </w:p>
    <w:p w:rsidR="00000000" w:rsidDel="00000000" w:rsidP="00000000" w:rsidRDefault="00000000" w:rsidRPr="00000000" w14:paraId="0000005E">
      <w:pPr>
        <w:numPr>
          <w:ilvl w:val="0"/>
          <w:numId w:val="4"/>
        </w:numPr>
        <w:spacing w:after="240" w:before="0" w:beforeAutospacing="0" w:line="312" w:lineRule="auto"/>
        <w:ind w:left="720" w:hanging="360"/>
        <w:rPr>
          <w:sz w:val="24"/>
          <w:szCs w:val="24"/>
        </w:rPr>
      </w:pPr>
      <w:r w:rsidDel="00000000" w:rsidR="00000000" w:rsidRPr="00000000">
        <w:rPr>
          <w:b w:val="1"/>
          <w:bCs w:val="1"/>
          <w:sz w:val="24"/>
          <w:szCs w:val="24"/>
          <w:rtl w:val="0"/>
        </w:rPr>
        <w:t xml:space="preserve">Productive conditions</w:t>
      </w:r>
      <w:r w:rsidDel="00000000" w:rsidR="00000000" w:rsidRPr="00000000">
        <w:rPr>
          <w:sz w:val="24"/>
          <w:szCs w:val="24"/>
          <w:rtl w:val="0"/>
        </w:rPr>
        <w:t xml:space="preserve"> activate latent cleavages and generate discontinuous institutional change.</w:t>
        <w:br w:type="textWrapping"/>
      </w:r>
    </w:p>
    <w:p w:rsidR="00000000" w:rsidDel="00000000" w:rsidP="00000000" w:rsidRDefault="00000000" w:rsidRPr="00000000" w14:paraId="0000005F">
      <w:pPr>
        <w:spacing w:after="240" w:before="240" w:line="312" w:lineRule="auto"/>
        <w:jc w:val="both"/>
        <w:rPr>
          <w:sz w:val="24"/>
          <w:szCs w:val="24"/>
        </w:rPr>
      </w:pPr>
      <w:r w:rsidDel="00000000" w:rsidR="00000000" w:rsidRPr="00000000">
        <w:rPr>
          <w:sz w:val="24"/>
          <w:szCs w:val="24"/>
          <w:rtl w:val="0"/>
        </w:rPr>
        <w:t xml:space="preserve">A discontinuous change qualifies as a critical juncture when, in addition, it is </w:t>
      </w:r>
      <w:r w:rsidDel="00000000" w:rsidR="00000000" w:rsidRPr="00000000">
        <w:rPr>
          <w:b w:val="1"/>
          <w:bCs w:val="1"/>
          <w:sz w:val="24"/>
          <w:szCs w:val="24"/>
          <w:rtl w:val="0"/>
        </w:rPr>
        <w:t xml:space="preserve">swift, significant, and encompassing</w:t>
      </w:r>
      <w:r w:rsidDel="00000000" w:rsidR="00000000" w:rsidRPr="00000000">
        <w:rPr>
          <w:sz w:val="24"/>
          <w:szCs w:val="24"/>
          <w:rtl w:val="0"/>
        </w:rPr>
        <w:t xml:space="preserve"> (Hogan, 2006) and reflects </w:t>
      </w:r>
      <w:r w:rsidDel="00000000" w:rsidR="00000000" w:rsidRPr="00000000">
        <w:rPr>
          <w:b w:val="1"/>
          <w:bCs w:val="1"/>
          <w:sz w:val="24"/>
          <w:szCs w:val="24"/>
          <w:rtl w:val="0"/>
        </w:rPr>
        <w:t xml:space="preserve">heightened contingency</w:t>
      </w:r>
      <w:r w:rsidDel="00000000" w:rsidR="00000000" w:rsidRPr="00000000">
        <w:rPr>
          <w:sz w:val="24"/>
          <w:szCs w:val="24"/>
          <w:rtl w:val="0"/>
        </w:rPr>
        <w:t xml:space="preserve">, demonstrated through </w:t>
      </w:r>
      <w:r w:rsidDel="00000000" w:rsidR="00000000" w:rsidRPr="00000000">
        <w:rPr>
          <w:b w:val="1"/>
          <w:bCs w:val="1"/>
          <w:sz w:val="24"/>
          <w:szCs w:val="24"/>
          <w:rtl w:val="0"/>
        </w:rPr>
        <w:t xml:space="preserve">counterfactual plausibility</w:t>
      </w:r>
      <w:r w:rsidDel="00000000" w:rsidR="00000000" w:rsidRPr="00000000">
        <w:rPr>
          <w:sz w:val="24"/>
          <w:szCs w:val="24"/>
          <w:rtl w:val="0"/>
        </w:rPr>
        <w:t xml:space="preserve"> (Capoccia &amp; Kelemen, 2007)</w:t>
      </w:r>
    </w:p>
    <w:p w:rsidR="00000000" w:rsidDel="00000000" w:rsidP="00000000" w:rsidRDefault="00000000" w:rsidRPr="00000000" w14:paraId="00000060">
      <w:pPr>
        <w:spacing w:after="240" w:before="240" w:line="312" w:lineRule="auto"/>
        <w:jc w:val="both"/>
        <w:rPr>
          <w:sz w:val="24"/>
          <w:szCs w:val="24"/>
        </w:rPr>
      </w:pPr>
      <w:r w:rsidDel="00000000" w:rsidR="00000000" w:rsidRPr="00000000">
        <w:rPr>
          <w:rtl w:val="0"/>
        </w:rPr>
      </w:r>
    </w:p>
    <w:p w:rsidR="00000000" w:rsidDel="00000000" w:rsidP="00000000" w:rsidRDefault="00000000" w:rsidRPr="00000000" w14:paraId="00000061">
      <w:pPr>
        <w:spacing w:after="240" w:before="240" w:line="312" w:lineRule="auto"/>
        <w:jc w:val="both"/>
        <w:rPr>
          <w:sz w:val="24"/>
          <w:szCs w:val="24"/>
        </w:rPr>
      </w:pPr>
      <w:r w:rsidDel="00000000" w:rsidR="00000000" w:rsidRPr="00000000">
        <w:rPr>
          <w:rtl w:val="0"/>
        </w:rPr>
      </w:r>
    </w:p>
    <w:p w:rsidR="00000000" w:rsidDel="00000000" w:rsidP="00000000" w:rsidRDefault="00000000" w:rsidRPr="00000000" w14:paraId="00000062">
      <w:pPr>
        <w:pStyle w:val="Heading1"/>
        <w:tabs>
          <w:tab w:val="left" w:leader="none" w:pos="615"/>
        </w:tabs>
        <w:ind w:left="615" w:right="1140" w:firstLine="0"/>
        <w:rPr/>
      </w:pPr>
      <w:bookmarkStart w:colFirst="0" w:colLast="0" w:name="_eg63wa5pv0mu" w:id="18"/>
      <w:bookmarkEnd w:id="18"/>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numPr>
          <w:ilvl w:val="0"/>
          <w:numId w:val="10"/>
        </w:numPr>
        <w:tabs>
          <w:tab w:val="left" w:leader="none" w:pos="615"/>
        </w:tabs>
        <w:ind w:right="1140"/>
        <w:rPr/>
      </w:pPr>
      <w:bookmarkStart w:colFirst="0" w:colLast="0" w:name="_ss1g8pjr9lu4" w:id="19"/>
      <w:bookmarkEnd w:id="19"/>
      <w:r w:rsidDel="00000000" w:rsidR="00000000" w:rsidRPr="00000000">
        <w:rPr>
          <w:rtl w:val="0"/>
        </w:rPr>
        <w:t xml:space="preserve">Research Design and Methodology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sz w:val="24"/>
          <w:szCs w:val="24"/>
          <w:rtl w:val="0"/>
        </w:rPr>
        <w:t xml:space="preserve">This study employs a single-case, process-tracing design to assess whether the Pucallpazo qualifies as a subnational critical juncture. While single-case designs do not enable statistical generalization, they are well suited for theory testing, identification of causal mechanisms, and reconstruction of contingent historical sequences—tasks essential for distinguishing gradual institutional adaptation from discontinuous rupture (George &amp; Bennett, 2005; Bennett &amp; Elman, 2006). Within historical institutionalism, process tracing is particularly effective for evaluating causal necessity, counterfactual plausibility, and bounded temporal dynamics (Capoccia &amp; Kelemen, 2007; Soifer, 2012).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sz w:val="24"/>
          <w:szCs w:val="24"/>
          <w:rtl w:val="0"/>
        </w:rPr>
        <w:t xml:space="preserve">The Pucallpazo is selected as a most-likely case for bottom-up institutional rupture in a highly centralized state, as it represents the only known mobilization in Peruvian history to demand—and achieve—the creation of a new political region (‘departamento’). It presents maximally favorable conditions for rupture: a territorially rooted structural cleavage, sustained popular mobilization, and a clear institutional objective. This makes it a critical test: if institutional rupture did not occur here, it is unlikely to arise under less propitious conditions.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68">
      <w:pPr>
        <w:pStyle w:val="Heading4"/>
        <w:keepNext w:val="1"/>
        <w:keepLines w:val="1"/>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60"/>
        </w:tabs>
        <w:spacing w:after="40" w:before="1" w:line="240" w:lineRule="auto"/>
        <w:ind w:left="0" w:right="1140" w:firstLine="0"/>
        <w:jc w:val="left"/>
        <w:rPr>
          <w:sz w:val="24"/>
          <w:szCs w:val="24"/>
        </w:rPr>
      </w:pPr>
      <w:bookmarkStart w:colFirst="0" w:colLast="0" w:name="_moptntha5vwh" w:id="20"/>
      <w:bookmarkEnd w:id="20"/>
      <w:r w:rsidDel="00000000" w:rsidR="00000000" w:rsidRPr="00000000">
        <w:rPr>
          <w:rtl w:val="0"/>
        </w:rPr>
        <w:t xml:space="preserve">Analytical Strategy: A Two-Stage Diagnostic Procedure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sz w:val="24"/>
          <w:szCs w:val="24"/>
          <w:rtl w:val="0"/>
        </w:rPr>
        <w:t xml:space="preserve">We apply a two-stage procedure derived from the theoretical framework.</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u w:val="single"/>
        </w:rPr>
      </w:pPr>
      <w:r w:rsidDel="00000000" w:rsidR="00000000" w:rsidRPr="00000000">
        <w:rPr>
          <w:sz w:val="24"/>
          <w:szCs w:val="24"/>
          <w:u w:val="single"/>
          <w:rtl w:val="0"/>
        </w:rPr>
        <w:t xml:space="preserve">Stage 1 – Ruling out gradual institutional change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sz w:val="24"/>
          <w:szCs w:val="24"/>
          <w:rtl w:val="0"/>
        </w:rPr>
        <w:t xml:space="preserve">Following Streeck and Thelen (2005) and Mahoney and Thelen (2010), we assess whether the creation of the Department of Ucayali can be fully explained by any of the five mechanisms of gradual institutional change:</w:t>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311" w:line="312" w:lineRule="auto"/>
        <w:ind w:left="720" w:right="1140" w:hanging="360"/>
        <w:jc w:val="both"/>
        <w:rPr>
          <w:sz w:val="24"/>
          <w:szCs w:val="24"/>
          <w:u w:val="none"/>
        </w:rPr>
      </w:pPr>
      <w:r w:rsidDel="00000000" w:rsidR="00000000" w:rsidRPr="00000000">
        <w:rPr>
          <w:sz w:val="24"/>
          <w:szCs w:val="24"/>
          <w:rtl w:val="0"/>
        </w:rPr>
        <w:t xml:space="preserve">Displacement (emergence of alternative rules),</w:t>
      </w:r>
    </w:p>
    <w:p w:rsidR="00000000" w:rsidDel="00000000" w:rsidP="00000000" w:rsidRDefault="00000000" w:rsidRPr="00000000" w14:paraId="000000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right="1140" w:hanging="360"/>
        <w:jc w:val="both"/>
        <w:rPr>
          <w:sz w:val="24"/>
          <w:szCs w:val="24"/>
          <w:u w:val="none"/>
        </w:rPr>
      </w:pPr>
      <w:r w:rsidDel="00000000" w:rsidR="00000000" w:rsidRPr="00000000">
        <w:rPr>
          <w:sz w:val="24"/>
          <w:szCs w:val="24"/>
          <w:rtl w:val="0"/>
        </w:rPr>
        <w:t xml:space="preserve">Layering (addition of new rules to existing structures),</w:t>
      </w:r>
    </w:p>
    <w:p w:rsidR="00000000" w:rsidDel="00000000" w:rsidP="00000000" w:rsidRDefault="00000000" w:rsidRPr="00000000" w14:paraId="000000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right="1140" w:hanging="360"/>
        <w:jc w:val="both"/>
        <w:rPr>
          <w:sz w:val="24"/>
          <w:szCs w:val="24"/>
          <w:u w:val="none"/>
        </w:rPr>
      </w:pPr>
      <w:r w:rsidDel="00000000" w:rsidR="00000000" w:rsidRPr="00000000">
        <w:rPr>
          <w:sz w:val="24"/>
          <w:szCs w:val="24"/>
          <w:rtl w:val="0"/>
        </w:rPr>
        <w:t xml:space="preserve">Drift (change via institutional neglect),</w:t>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right="1140" w:hanging="360"/>
        <w:jc w:val="both"/>
        <w:rPr>
          <w:sz w:val="24"/>
          <w:szCs w:val="24"/>
          <w:u w:val="none"/>
        </w:rPr>
      </w:pPr>
      <w:r w:rsidDel="00000000" w:rsidR="00000000" w:rsidRPr="00000000">
        <w:rPr>
          <w:sz w:val="24"/>
          <w:szCs w:val="24"/>
          <w:rtl w:val="0"/>
        </w:rPr>
        <w:t xml:space="preserve">Conversion (strategic repurposing), and</w:t>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312" w:lineRule="auto"/>
        <w:ind w:left="720" w:right="1140" w:hanging="360"/>
        <w:jc w:val="both"/>
        <w:rPr>
          <w:sz w:val="24"/>
          <w:szCs w:val="24"/>
          <w:u w:val="none"/>
        </w:rPr>
      </w:pPr>
      <w:r w:rsidDel="00000000" w:rsidR="00000000" w:rsidRPr="00000000">
        <w:rPr>
          <w:sz w:val="24"/>
          <w:szCs w:val="24"/>
          <w:rtl w:val="0"/>
        </w:rPr>
        <w:t xml:space="preserve">Exhaustion (self-undermining institutional erosion).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sz w:val="24"/>
          <w:szCs w:val="24"/>
          <w:rtl w:val="0"/>
        </w:rPr>
        <w:t xml:space="preserve">These mechanisms are diagnostic of adaptation within the existing institutional shell. Only if none can plausibly account for the observed transformation in its entirety do we proceed to Stage 2. If gradual mechanisms explain the outcome, rupture is ruled out; if they fall short, discontinuity remains a viable hypothesis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u w:val="single"/>
        </w:rPr>
      </w:pPr>
      <w:r w:rsidDel="00000000" w:rsidR="00000000" w:rsidRPr="00000000">
        <w:rPr>
          <w:sz w:val="24"/>
          <w:szCs w:val="24"/>
          <w:u w:val="single"/>
          <w:rtl w:val="0"/>
        </w:rPr>
        <w:t xml:space="preserve">Stage 2 – Conjunctural test for a critical juncture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sz w:val="24"/>
          <w:szCs w:val="24"/>
          <w:rtl w:val="0"/>
        </w:rPr>
        <w:t xml:space="preserve">An event qualifies as a critical juncture only if all five conditions are jointly satisfied:</w:t>
      </w:r>
    </w:p>
    <w:tbl>
      <w:tblPr>
        <w:tblStyle w:val="Table1"/>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285"/>
        <w:gridCol w:w="5000"/>
        <w:tblGridChange w:id="0">
          <w:tblGrid>
            <w:gridCol w:w="2315"/>
            <w:gridCol w:w="2285"/>
            <w:gridCol w:w="500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before="311" w:line="312" w:lineRule="auto"/>
              <w:ind w:left="0" w:right="115.7480314960631" w:firstLine="0"/>
              <w:rPr/>
            </w:pPr>
            <w:r w:rsidDel="00000000" w:rsidR="00000000" w:rsidRPr="00000000">
              <w:rPr>
                <w:b w:val="1"/>
                <w:bCs w:val="1"/>
                <w:rtl w:val="0"/>
              </w:rPr>
              <w:t xml:space="preserve">Diagnostic 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before="311" w:line="312" w:lineRule="auto"/>
              <w:ind w:left="0" w:right="73.46456692913421" w:firstLine="0"/>
              <w:jc w:val="center"/>
              <w:rPr/>
            </w:pPr>
            <w:r w:rsidDel="00000000" w:rsidR="00000000" w:rsidRPr="00000000">
              <w:rPr>
                <w:b w:val="1"/>
                <w:bCs w:val="1"/>
                <w:rtl w:val="0"/>
              </w:rPr>
              <w:t xml:space="preserve">Conceptual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before="311" w:line="312" w:lineRule="auto"/>
              <w:ind w:left="0" w:right="399.2125984251969" w:firstLine="0"/>
              <w:jc w:val="center"/>
              <w:rPr/>
            </w:pPr>
            <w:r w:rsidDel="00000000" w:rsidR="00000000" w:rsidRPr="00000000">
              <w:rPr>
                <w:b w:val="1"/>
                <w:bCs w:val="1"/>
                <w:rtl w:val="0"/>
              </w:rPr>
              <w:t xml:space="preserve">Required Evidence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before="311" w:line="312" w:lineRule="auto"/>
              <w:ind w:left="0" w:right="115.7480314960631" w:firstLine="0"/>
              <w:rPr/>
            </w:pPr>
            <w:r w:rsidDel="00000000" w:rsidR="00000000" w:rsidRPr="00000000">
              <w:rPr>
                <w:b w:val="1"/>
                <w:bCs w:val="1"/>
                <w:rtl w:val="0"/>
              </w:rPr>
              <w:t xml:space="preserve">(1) Critical antecedents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before="311" w:line="312" w:lineRule="auto"/>
              <w:ind w:left="0" w:right="73.46456692913421" w:firstLine="0"/>
              <w:jc w:val="both"/>
              <w:rPr/>
            </w:pPr>
            <w:r w:rsidDel="00000000" w:rsidR="00000000" w:rsidRPr="00000000">
              <w:rPr>
                <w:rtl w:val="0"/>
              </w:rPr>
              <w:t xml:space="preserve">Slater &amp; Simmons (2010)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before="311" w:line="312" w:lineRule="auto"/>
              <w:ind w:left="0" w:right="107.8346456692907" w:firstLine="0"/>
              <w:jc w:val="both"/>
              <w:rPr/>
            </w:pPr>
            <w:r w:rsidDel="00000000" w:rsidR="00000000" w:rsidRPr="00000000">
              <w:rPr>
                <w:rtl w:val="0"/>
              </w:rPr>
              <w:t xml:space="preserve">Pre-juncture variation conditioned actors’ interpretations and strategic responses (</w:t>
            </w:r>
            <w:r w:rsidDel="00000000" w:rsidR="00000000" w:rsidRPr="00000000">
              <w:rPr>
                <w:i w:val="1"/>
                <w:iCs w:val="1"/>
                <w:rtl w:val="0"/>
              </w:rPr>
              <w:t xml:space="preserve">“difference before divergence”</w:t>
            </w: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before="311" w:line="312" w:lineRule="auto"/>
              <w:ind w:left="0" w:right="115.7480314960631" w:firstLine="0"/>
              <w:rPr/>
            </w:pPr>
            <w:r w:rsidDel="00000000" w:rsidR="00000000" w:rsidRPr="00000000">
              <w:rPr>
                <w:b w:val="1"/>
                <w:bCs w:val="1"/>
                <w:rtl w:val="0"/>
              </w:rPr>
              <w:t xml:space="preserve">(2) Permissive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before="311" w:line="312" w:lineRule="auto"/>
              <w:ind w:left="0" w:right="73.46456692913421" w:firstLine="0"/>
              <w:jc w:val="both"/>
              <w:rPr/>
            </w:pPr>
            <w:r w:rsidDel="00000000" w:rsidR="00000000" w:rsidRPr="00000000">
              <w:rPr>
                <w:rtl w:val="0"/>
              </w:rPr>
              <w:t xml:space="preserve">Soifer (2012); Collier &amp; Collier (1991)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before="311" w:line="312" w:lineRule="auto"/>
              <w:ind w:left="0" w:right="107.8346456692907" w:firstLine="0"/>
              <w:jc w:val="both"/>
              <w:rPr/>
            </w:pPr>
            <w:r w:rsidDel="00000000" w:rsidR="00000000" w:rsidRPr="00000000">
              <w:rPr>
                <w:rtl w:val="0"/>
              </w:rPr>
              <w:t xml:space="preserve">Relaxation of structural constraints opened a window of heightened contingency.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before="311" w:line="312" w:lineRule="auto"/>
              <w:ind w:left="0" w:right="115.7480314960631" w:firstLine="0"/>
              <w:rPr/>
            </w:pPr>
            <w:r w:rsidDel="00000000" w:rsidR="00000000" w:rsidRPr="00000000">
              <w:rPr>
                <w:b w:val="1"/>
                <w:bCs w:val="1"/>
                <w:rtl w:val="0"/>
              </w:rPr>
              <w:t xml:space="preserve">(3) Productive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before="311" w:line="312" w:lineRule="auto"/>
              <w:ind w:left="0" w:right="73.46456692913421" w:firstLine="0"/>
              <w:jc w:val="both"/>
              <w:rPr/>
            </w:pPr>
            <w:r w:rsidDel="00000000" w:rsidR="00000000" w:rsidRPr="00000000">
              <w:rPr>
                <w:rtl w:val="0"/>
              </w:rPr>
              <w:t xml:space="preserve">Soifer (2012)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before="311" w:line="312" w:lineRule="auto"/>
              <w:ind w:left="0" w:right="107.8346456692907" w:firstLine="0"/>
              <w:jc w:val="both"/>
              <w:rPr/>
            </w:pPr>
            <w:r w:rsidDel="00000000" w:rsidR="00000000" w:rsidRPr="00000000">
              <w:rPr>
                <w:rtl w:val="0"/>
              </w:rPr>
              <w:t xml:space="preserve">Within that window, decentralized mobilization acted as the causal mechanism selecting among viable alternatives.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before="311" w:line="312" w:lineRule="auto"/>
              <w:ind w:left="0" w:right="115.7480314960631" w:firstLine="0"/>
              <w:rPr/>
            </w:pPr>
            <w:r w:rsidDel="00000000" w:rsidR="00000000" w:rsidRPr="00000000">
              <w:rPr>
                <w:b w:val="1"/>
                <w:bCs w:val="1"/>
                <w:rtl w:val="0"/>
              </w:rPr>
              <w:t xml:space="preserve">(4) SSE 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before="311" w:line="312" w:lineRule="auto"/>
              <w:ind w:left="0" w:right="73.46456692913421" w:firstLine="0"/>
              <w:jc w:val="both"/>
              <w:rPr/>
            </w:pPr>
            <w:r w:rsidDel="00000000" w:rsidR="00000000" w:rsidRPr="00000000">
              <w:rPr>
                <w:rtl w:val="0"/>
              </w:rPr>
              <w:t xml:space="preserve">Hogan (2006)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before="311" w:line="312" w:lineRule="auto"/>
              <w:ind w:left="0" w:right="107.8346456692907" w:firstLine="0"/>
              <w:jc w:val="both"/>
              <w:rPr/>
            </w:pPr>
            <w:r w:rsidDel="00000000" w:rsidR="00000000" w:rsidRPr="00000000">
              <w:rPr>
                <w:rtl w:val="0"/>
              </w:rPr>
              <w:t xml:space="preserve">The institutional change was </w:t>
            </w:r>
            <w:r w:rsidDel="00000000" w:rsidR="00000000" w:rsidRPr="00000000">
              <w:rPr>
                <w:b w:val="1"/>
                <w:bCs w:val="1"/>
                <w:rtl w:val="0"/>
              </w:rPr>
              <w:t xml:space="preserve">significant</w:t>
            </w:r>
            <w:r w:rsidDel="00000000" w:rsidR="00000000" w:rsidRPr="00000000">
              <w:rPr>
                <w:rtl w:val="0"/>
              </w:rPr>
              <w:t xml:space="preserve">, </w:t>
            </w:r>
            <w:r w:rsidDel="00000000" w:rsidR="00000000" w:rsidRPr="00000000">
              <w:rPr>
                <w:b w:val="1"/>
                <w:bCs w:val="1"/>
                <w:rtl w:val="0"/>
              </w:rPr>
              <w:t xml:space="preserve">swift</w:t>
            </w:r>
            <w:r w:rsidDel="00000000" w:rsidR="00000000" w:rsidRPr="00000000">
              <w:rPr>
                <w:rtl w:val="0"/>
              </w:rPr>
              <w:t xml:space="preserve">, and </w:t>
            </w:r>
            <w:r w:rsidDel="00000000" w:rsidR="00000000" w:rsidRPr="00000000">
              <w:rPr>
                <w:b w:val="1"/>
                <w:bCs w:val="1"/>
                <w:rtl w:val="0"/>
              </w:rPr>
              <w:t xml:space="preserve">encompassing</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before="311" w:line="312" w:lineRule="auto"/>
              <w:ind w:left="0" w:right="115.7480314960631" w:firstLine="0"/>
              <w:rPr/>
            </w:pPr>
            <w:r w:rsidDel="00000000" w:rsidR="00000000" w:rsidRPr="00000000">
              <w:rPr>
                <w:b w:val="1"/>
                <w:bCs w:val="1"/>
                <w:rtl w:val="0"/>
              </w:rPr>
              <w:t xml:space="preserve">(5) Counterfactual plausibility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before="311" w:line="312" w:lineRule="auto"/>
              <w:ind w:left="0" w:right="73.46456692913421" w:firstLine="0"/>
              <w:jc w:val="both"/>
              <w:rPr/>
            </w:pPr>
            <w:r w:rsidDel="00000000" w:rsidR="00000000" w:rsidRPr="00000000">
              <w:rPr>
                <w:rtl w:val="0"/>
              </w:rPr>
              <w:t xml:space="preserve">Capoccia &amp; Kelemen (2007)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before="311" w:line="312" w:lineRule="auto"/>
              <w:ind w:left="0" w:right="107.8346456692907" w:firstLine="0"/>
              <w:jc w:val="both"/>
              <w:rPr/>
            </w:pPr>
            <w:r w:rsidDel="00000000" w:rsidR="00000000" w:rsidRPr="00000000">
              <w:rPr>
                <w:rtl w:val="0"/>
              </w:rPr>
              <w:t xml:space="preserve">Multiple feasible outcomes existed; rupture was contingent, not structurally predetermined.</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sz w:val="24"/>
          <w:szCs w:val="24"/>
          <w:rtl w:val="0"/>
        </w:rPr>
        <w:t xml:space="preserve">Failure on any one criterion implies the process is better explained by gradual change, re-equilibration, or structural determinism—not institutional rupture.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89">
      <w:pPr>
        <w:pStyle w:val="Heading4"/>
        <w:keepNext w:val="1"/>
        <w:keepLines w:val="1"/>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60"/>
        </w:tabs>
        <w:spacing w:after="40" w:before="1" w:line="240" w:lineRule="auto"/>
        <w:ind w:left="0" w:right="1140" w:firstLine="0"/>
        <w:jc w:val="left"/>
        <w:rPr>
          <w:sz w:val="24"/>
          <w:szCs w:val="24"/>
        </w:rPr>
      </w:pPr>
      <w:bookmarkStart w:colFirst="0" w:colLast="0" w:name="_wr7yrp3p78w5" w:id="21"/>
      <w:bookmarkEnd w:id="21"/>
      <w:r w:rsidDel="00000000" w:rsidR="00000000" w:rsidRPr="00000000">
        <w:rPr>
          <w:rtl w:val="0"/>
        </w:rPr>
        <w:t xml:space="preserve">Empirical Strategy: Process Tracing and Triangulation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sz w:val="24"/>
          <w:szCs w:val="24"/>
          <w:rtl w:val="0"/>
        </w:rPr>
        <w:t xml:space="preserve">We apply within-case process tracing (George &amp; Bennett, 2005) to assess each component of the diagnostic procedure. Consistent with mechanism-testing approaches, we employ hoop tests, smoking gun tests, and straw-in-the-wind tests to evaluate the empirical strength of each criterion (Bennett, 2010). A </w:t>
      </w:r>
      <w:r w:rsidDel="00000000" w:rsidR="00000000" w:rsidRPr="00000000">
        <w:rPr>
          <w:i w:val="1"/>
          <w:iCs w:val="1"/>
          <w:sz w:val="24"/>
          <w:szCs w:val="24"/>
          <w:rtl w:val="0"/>
        </w:rPr>
        <w:t xml:space="preserve">hoop test</w:t>
      </w:r>
      <w:r w:rsidDel="00000000" w:rsidR="00000000" w:rsidRPr="00000000">
        <w:rPr>
          <w:sz w:val="24"/>
          <w:szCs w:val="24"/>
          <w:rtl w:val="0"/>
        </w:rPr>
        <w:t xml:space="preserve"> identifies a </w:t>
      </w:r>
      <w:r w:rsidDel="00000000" w:rsidR="00000000" w:rsidRPr="00000000">
        <w:rPr>
          <w:b w:val="1"/>
          <w:bCs w:val="1"/>
          <w:sz w:val="24"/>
          <w:szCs w:val="24"/>
          <w:rtl w:val="0"/>
        </w:rPr>
        <w:t xml:space="preserve">necessary condition</w:t>
      </w:r>
      <w:r w:rsidDel="00000000" w:rsidR="00000000" w:rsidRPr="00000000">
        <w:rPr>
          <w:sz w:val="24"/>
          <w:szCs w:val="24"/>
          <w:rtl w:val="0"/>
        </w:rPr>
        <w:t xml:space="preserve">—failure to meet it disqualifies the hypothesis, but passage does not confirm it. A </w:t>
      </w:r>
      <w:r w:rsidDel="00000000" w:rsidR="00000000" w:rsidRPr="00000000">
        <w:rPr>
          <w:i w:val="1"/>
          <w:iCs w:val="1"/>
          <w:sz w:val="24"/>
          <w:szCs w:val="24"/>
          <w:rtl w:val="0"/>
        </w:rPr>
        <w:t xml:space="preserve">smoking gun test</w:t>
      </w:r>
      <w:r w:rsidDel="00000000" w:rsidR="00000000" w:rsidRPr="00000000">
        <w:rPr>
          <w:sz w:val="24"/>
          <w:szCs w:val="24"/>
          <w:rtl w:val="0"/>
        </w:rPr>
        <w:t xml:space="preserve"> provides </w:t>
      </w:r>
      <w:r w:rsidDel="00000000" w:rsidR="00000000" w:rsidRPr="00000000">
        <w:rPr>
          <w:b w:val="1"/>
          <w:bCs w:val="1"/>
          <w:sz w:val="24"/>
          <w:szCs w:val="24"/>
          <w:rtl w:val="0"/>
        </w:rPr>
        <w:t xml:space="preserve">strong confirmatory leverage</w:t>
      </w:r>
      <w:r w:rsidDel="00000000" w:rsidR="00000000" w:rsidRPr="00000000">
        <w:rPr>
          <w:sz w:val="24"/>
          <w:szCs w:val="24"/>
          <w:rtl w:val="0"/>
        </w:rPr>
        <w:t xml:space="preserve">—its presence considerably strengthens support for the hypothesis, although its absence is not necessarily fatal. A </w:t>
      </w:r>
      <w:r w:rsidDel="00000000" w:rsidR="00000000" w:rsidRPr="00000000">
        <w:rPr>
          <w:i w:val="1"/>
          <w:iCs w:val="1"/>
          <w:sz w:val="24"/>
          <w:szCs w:val="24"/>
          <w:rtl w:val="0"/>
        </w:rPr>
        <w:t xml:space="preserve">straw-in-the-wind test</w:t>
      </w:r>
      <w:r w:rsidDel="00000000" w:rsidR="00000000" w:rsidRPr="00000000">
        <w:rPr>
          <w:sz w:val="24"/>
          <w:szCs w:val="24"/>
          <w:rtl w:val="0"/>
        </w:rPr>
        <w:t xml:space="preserve"> offers </w:t>
      </w:r>
      <w:r w:rsidDel="00000000" w:rsidR="00000000" w:rsidRPr="00000000">
        <w:rPr>
          <w:b w:val="1"/>
          <w:bCs w:val="1"/>
          <w:sz w:val="24"/>
          <w:szCs w:val="24"/>
          <w:rtl w:val="0"/>
        </w:rPr>
        <w:t xml:space="preserve">weak inferential value</w:t>
      </w:r>
      <w:r w:rsidDel="00000000" w:rsidR="00000000" w:rsidRPr="00000000">
        <w:rPr>
          <w:sz w:val="24"/>
          <w:szCs w:val="24"/>
          <w:rtl w:val="0"/>
        </w:rPr>
        <w:t xml:space="preserve">—passing slightly increases plausibility, failing slightly weakens it, but neither is decisive. A </w:t>
      </w:r>
      <w:r w:rsidDel="00000000" w:rsidR="00000000" w:rsidRPr="00000000">
        <w:rPr>
          <w:i w:val="1"/>
          <w:iCs w:val="1"/>
          <w:sz w:val="24"/>
          <w:szCs w:val="24"/>
          <w:rtl w:val="0"/>
        </w:rPr>
        <w:t xml:space="preserve">doubly-decisive test</w:t>
      </w:r>
      <w:r w:rsidDel="00000000" w:rsidR="00000000" w:rsidRPr="00000000">
        <w:rPr>
          <w:sz w:val="24"/>
          <w:szCs w:val="24"/>
          <w:rtl w:val="0"/>
        </w:rPr>
        <w:t xml:space="preserve"> both </w:t>
      </w:r>
      <w:r w:rsidDel="00000000" w:rsidR="00000000" w:rsidRPr="00000000">
        <w:rPr>
          <w:b w:val="1"/>
          <w:bCs w:val="1"/>
          <w:sz w:val="24"/>
          <w:szCs w:val="24"/>
          <w:rtl w:val="0"/>
        </w:rPr>
        <w:t xml:space="preserve">strongly confirms the hypothesis and eliminates alternative explanations</w:t>
      </w:r>
      <w:r w:rsidDel="00000000" w:rsidR="00000000" w:rsidRPr="00000000">
        <w:rPr>
          <w:sz w:val="24"/>
          <w:szCs w:val="24"/>
          <w:rtl w:val="0"/>
        </w:rPr>
        <w:t xml:space="preserve">, providing the highest inferential value. Each is aligned with their inferential role within the diagnostic framework:</w:t>
      </w:r>
    </w:p>
    <w:p w:rsidR="00000000" w:rsidDel="00000000" w:rsidP="00000000" w:rsidRDefault="00000000" w:rsidRPr="00000000" w14:paraId="0000008B">
      <w:pPr>
        <w:spacing w:before="311" w:line="312" w:lineRule="auto"/>
        <w:ind w:left="0" w:right="1140" w:firstLine="0"/>
        <w:jc w:val="both"/>
        <w:rPr>
          <w:sz w:val="24"/>
          <w:szCs w:val="24"/>
        </w:rPr>
      </w:pPr>
      <w:r w:rsidDel="00000000" w:rsidR="00000000" w:rsidRPr="00000000">
        <w:rPr>
          <w:rtl w:val="0"/>
        </w:rPr>
      </w:r>
    </w:p>
    <w:tbl>
      <w:tblPr>
        <w:tblStyle w:val="Table2"/>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6560"/>
        <w:tblGridChange w:id="0">
          <w:tblGrid>
            <w:gridCol w:w="2885"/>
            <w:gridCol w:w="65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before="311" w:line="312" w:lineRule="auto"/>
              <w:ind w:left="0" w:right="118.81889763779554" w:firstLine="0"/>
              <w:jc w:val="center"/>
              <w:rPr>
                <w:sz w:val="24"/>
                <w:szCs w:val="24"/>
              </w:rPr>
            </w:pPr>
            <w:r w:rsidDel="00000000" w:rsidR="00000000" w:rsidRPr="00000000">
              <w:rPr>
                <w:b w:val="1"/>
                <w:bCs w:val="1"/>
                <w:sz w:val="24"/>
                <w:szCs w:val="24"/>
                <w:rtl w:val="0"/>
              </w:rPr>
              <w:t xml:space="preserve">Diagnostic 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before="311" w:line="312" w:lineRule="auto"/>
              <w:ind w:left="0" w:right="118.81889763779554" w:firstLine="0"/>
              <w:jc w:val="center"/>
              <w:rPr>
                <w:sz w:val="24"/>
                <w:szCs w:val="24"/>
              </w:rPr>
            </w:pPr>
            <w:r w:rsidDel="00000000" w:rsidR="00000000" w:rsidRPr="00000000">
              <w:rPr>
                <w:b w:val="1"/>
                <w:bCs w:val="1"/>
                <w:sz w:val="24"/>
                <w:szCs w:val="24"/>
                <w:rtl w:val="0"/>
              </w:rPr>
              <w:t xml:space="preserve">Process Tracing Test Type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before="311" w:line="312" w:lineRule="auto"/>
              <w:ind w:left="0" w:right="118.81889763779554" w:firstLine="0"/>
              <w:rPr>
                <w:sz w:val="24"/>
                <w:szCs w:val="24"/>
              </w:rPr>
            </w:pPr>
            <w:r w:rsidDel="00000000" w:rsidR="00000000" w:rsidRPr="00000000">
              <w:rPr>
                <w:b w:val="1"/>
                <w:bCs w:val="1"/>
                <w:sz w:val="24"/>
                <w:szCs w:val="24"/>
                <w:rtl w:val="0"/>
              </w:rPr>
              <w:t xml:space="preserve">(1) Critical antecedents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before="311" w:line="312" w:lineRule="auto"/>
              <w:ind w:left="0" w:right="118.81889763779554" w:firstLine="0"/>
              <w:jc w:val="both"/>
              <w:rPr>
                <w:sz w:val="24"/>
                <w:szCs w:val="24"/>
              </w:rPr>
            </w:pPr>
            <w:r w:rsidDel="00000000" w:rsidR="00000000" w:rsidRPr="00000000">
              <w:rPr>
                <w:b w:val="1"/>
                <w:bCs w:val="1"/>
                <w:sz w:val="24"/>
                <w:szCs w:val="24"/>
                <w:rtl w:val="0"/>
              </w:rPr>
              <w:t xml:space="preserve">Hoop test</w:t>
            </w:r>
            <w:r w:rsidDel="00000000" w:rsidR="00000000" w:rsidRPr="00000000">
              <w:rPr>
                <w:sz w:val="24"/>
                <w:szCs w:val="24"/>
                <w:rtl w:val="0"/>
              </w:rPr>
              <w:t xml:space="preserve"> – Necessary to sustain plausibility; failure rules out critical juncture.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before="311" w:line="312" w:lineRule="auto"/>
              <w:ind w:left="0" w:right="118.81889763779554" w:firstLine="0"/>
              <w:rPr>
                <w:sz w:val="24"/>
                <w:szCs w:val="24"/>
              </w:rPr>
            </w:pPr>
            <w:r w:rsidDel="00000000" w:rsidR="00000000" w:rsidRPr="00000000">
              <w:rPr>
                <w:b w:val="1"/>
                <w:bCs w:val="1"/>
                <w:sz w:val="24"/>
                <w:szCs w:val="24"/>
                <w:rtl w:val="0"/>
              </w:rPr>
              <w:t xml:space="preserve">(2) Permissive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before="311" w:line="312" w:lineRule="auto"/>
              <w:ind w:left="0" w:right="118.81889763779554" w:firstLine="0"/>
              <w:jc w:val="both"/>
              <w:rPr>
                <w:sz w:val="24"/>
                <w:szCs w:val="24"/>
              </w:rPr>
            </w:pPr>
            <w:r w:rsidDel="00000000" w:rsidR="00000000" w:rsidRPr="00000000">
              <w:rPr>
                <w:b w:val="1"/>
                <w:bCs w:val="1"/>
                <w:sz w:val="24"/>
                <w:szCs w:val="24"/>
                <w:rtl w:val="0"/>
              </w:rPr>
              <w:t xml:space="preserve">Hoop test</w:t>
            </w:r>
            <w:r w:rsidDel="00000000" w:rsidR="00000000" w:rsidRPr="00000000">
              <w:rPr>
                <w:sz w:val="24"/>
                <w:szCs w:val="24"/>
                <w:rtl w:val="0"/>
              </w:rPr>
              <w:t xml:space="preserve"> – Must be established before evaluating agency.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before="311" w:line="312" w:lineRule="auto"/>
              <w:ind w:left="0" w:right="118.81889763779554" w:firstLine="0"/>
              <w:rPr>
                <w:sz w:val="24"/>
                <w:szCs w:val="24"/>
              </w:rPr>
            </w:pPr>
            <w:r w:rsidDel="00000000" w:rsidR="00000000" w:rsidRPr="00000000">
              <w:rPr>
                <w:b w:val="1"/>
                <w:bCs w:val="1"/>
                <w:sz w:val="24"/>
                <w:szCs w:val="24"/>
                <w:rtl w:val="0"/>
              </w:rPr>
              <w:t xml:space="preserve">(3) Productive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before="311" w:line="312" w:lineRule="auto"/>
              <w:ind w:left="0" w:right="118.81889763779554" w:firstLine="0"/>
              <w:jc w:val="both"/>
              <w:rPr>
                <w:sz w:val="24"/>
                <w:szCs w:val="24"/>
              </w:rPr>
            </w:pPr>
            <w:r w:rsidDel="00000000" w:rsidR="00000000" w:rsidRPr="00000000">
              <w:rPr>
                <w:b w:val="1"/>
                <w:bCs w:val="1"/>
                <w:sz w:val="24"/>
                <w:szCs w:val="24"/>
                <w:rtl w:val="0"/>
              </w:rPr>
              <w:t xml:space="preserve">Smoking gun test</w:t>
            </w:r>
            <w:r w:rsidDel="00000000" w:rsidR="00000000" w:rsidRPr="00000000">
              <w:rPr>
                <w:sz w:val="24"/>
                <w:szCs w:val="24"/>
                <w:rtl w:val="0"/>
              </w:rPr>
              <w:t xml:space="preserve"> – Strong confirmation of causal mechanism if observed.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before="311" w:line="312" w:lineRule="auto"/>
              <w:ind w:left="0" w:right="118.81889763779554" w:firstLine="0"/>
              <w:rPr>
                <w:sz w:val="24"/>
                <w:szCs w:val="24"/>
              </w:rPr>
            </w:pPr>
            <w:r w:rsidDel="00000000" w:rsidR="00000000" w:rsidRPr="00000000">
              <w:rPr>
                <w:b w:val="1"/>
                <w:bCs w:val="1"/>
                <w:sz w:val="24"/>
                <w:szCs w:val="24"/>
                <w:rtl w:val="0"/>
              </w:rPr>
              <w:t xml:space="preserve">(4) SSE 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before="311" w:line="312" w:lineRule="auto"/>
              <w:ind w:left="0" w:right="118.81889763779554" w:firstLine="0"/>
              <w:jc w:val="both"/>
              <w:rPr>
                <w:sz w:val="24"/>
                <w:szCs w:val="24"/>
              </w:rPr>
            </w:pPr>
            <w:r w:rsidDel="00000000" w:rsidR="00000000" w:rsidRPr="00000000">
              <w:rPr>
                <w:b w:val="1"/>
                <w:bCs w:val="1"/>
                <w:sz w:val="24"/>
                <w:szCs w:val="24"/>
                <w:rtl w:val="0"/>
              </w:rPr>
              <w:t xml:space="preserve">Straw-in-the-wind test</w:t>
            </w:r>
            <w:r w:rsidDel="00000000" w:rsidR="00000000" w:rsidRPr="00000000">
              <w:rPr>
                <w:sz w:val="24"/>
                <w:szCs w:val="24"/>
                <w:rtl w:val="0"/>
              </w:rPr>
              <w:t xml:space="preserve"> – Supports overall plausibility but insufficient alone.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before="311" w:line="312" w:lineRule="auto"/>
              <w:ind w:left="0" w:right="118.81889763779554" w:firstLine="0"/>
              <w:rPr>
                <w:sz w:val="24"/>
                <w:szCs w:val="24"/>
              </w:rPr>
            </w:pPr>
            <w:r w:rsidDel="00000000" w:rsidR="00000000" w:rsidRPr="00000000">
              <w:rPr>
                <w:b w:val="1"/>
                <w:bCs w:val="1"/>
                <w:sz w:val="24"/>
                <w:szCs w:val="24"/>
                <w:rtl w:val="0"/>
              </w:rPr>
              <w:t xml:space="preserve">(5) Counterfactual plausibility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before="311" w:line="312" w:lineRule="auto"/>
              <w:ind w:left="0" w:right="118.81889763779554" w:firstLine="0"/>
              <w:jc w:val="both"/>
              <w:rPr>
                <w:sz w:val="24"/>
                <w:szCs w:val="24"/>
              </w:rPr>
            </w:pPr>
            <w:r w:rsidDel="00000000" w:rsidR="00000000" w:rsidRPr="00000000">
              <w:rPr>
                <w:b w:val="1"/>
                <w:bCs w:val="1"/>
                <w:sz w:val="24"/>
                <w:szCs w:val="24"/>
                <w:rtl w:val="0"/>
              </w:rPr>
              <w:t xml:space="preserve">Doubly-decisive test</w:t>
            </w:r>
            <w:r w:rsidDel="00000000" w:rsidR="00000000" w:rsidRPr="00000000">
              <w:rPr>
                <w:sz w:val="24"/>
                <w:szCs w:val="24"/>
                <w:rtl w:val="0"/>
              </w:rPr>
              <w:t xml:space="preserve"> – Confirms contingent rupture and eliminates deterministic rivals.</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sz w:val="24"/>
          <w:szCs w:val="24"/>
          <w:rtl w:val="0"/>
        </w:rPr>
        <w:t xml:space="preserve">Evidence draws from:</w:t>
      </w:r>
    </w:p>
    <w:p w:rsidR="00000000" w:rsidDel="00000000" w:rsidP="00000000" w:rsidRDefault="00000000" w:rsidRPr="00000000" w14:paraId="0000009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311" w:line="312" w:lineRule="auto"/>
        <w:ind w:left="720" w:right="1140" w:hanging="360"/>
        <w:jc w:val="both"/>
        <w:rPr>
          <w:sz w:val="24"/>
          <w:szCs w:val="24"/>
          <w:u w:val="none"/>
        </w:rPr>
      </w:pPr>
      <w:r w:rsidDel="00000000" w:rsidR="00000000" w:rsidRPr="00000000">
        <w:rPr>
          <w:sz w:val="24"/>
          <w:szCs w:val="24"/>
          <w:rtl w:val="0"/>
        </w:rPr>
        <w:t xml:space="preserve">Archival sources: national and regional government records (1977–1982),</w:t>
      </w:r>
    </w:p>
    <w:p w:rsidR="00000000" w:rsidDel="00000000" w:rsidP="00000000" w:rsidRDefault="00000000" w:rsidRPr="00000000" w14:paraId="0000009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right="1140" w:hanging="360"/>
        <w:jc w:val="both"/>
        <w:rPr>
          <w:sz w:val="24"/>
          <w:szCs w:val="24"/>
          <w:u w:val="none"/>
        </w:rPr>
      </w:pPr>
      <w:r w:rsidDel="00000000" w:rsidR="00000000" w:rsidRPr="00000000">
        <w:rPr>
          <w:sz w:val="24"/>
          <w:szCs w:val="24"/>
          <w:rtl w:val="0"/>
        </w:rPr>
        <w:t xml:space="preserve">Official documents: congressional debates, presidential decrees, ministry correspondence,</w:t>
      </w:r>
    </w:p>
    <w:p w:rsidR="00000000" w:rsidDel="00000000" w:rsidP="00000000" w:rsidRDefault="00000000" w:rsidRPr="00000000" w14:paraId="0000009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right="1140" w:hanging="360"/>
        <w:jc w:val="both"/>
        <w:rPr>
          <w:sz w:val="24"/>
          <w:szCs w:val="24"/>
          <w:u w:val="none"/>
        </w:rPr>
      </w:pPr>
      <w:r w:rsidDel="00000000" w:rsidR="00000000" w:rsidRPr="00000000">
        <w:rPr>
          <w:sz w:val="24"/>
          <w:szCs w:val="24"/>
          <w:rtl w:val="0"/>
        </w:rPr>
        <w:t xml:space="preserve">Press coverage: Lima- and Pucallpa-based newspapers,</w:t>
      </w:r>
    </w:p>
    <w:p w:rsidR="00000000" w:rsidDel="00000000" w:rsidP="00000000" w:rsidRDefault="00000000" w:rsidRPr="00000000" w14:paraId="0000009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right="1140" w:hanging="360"/>
        <w:jc w:val="both"/>
        <w:rPr>
          <w:sz w:val="24"/>
          <w:szCs w:val="24"/>
          <w:u w:val="none"/>
        </w:rPr>
      </w:pPr>
      <w:r w:rsidDel="00000000" w:rsidR="00000000" w:rsidRPr="00000000">
        <w:rPr>
          <w:sz w:val="24"/>
          <w:szCs w:val="24"/>
          <w:rtl w:val="0"/>
        </w:rPr>
        <w:t xml:space="preserve">Audiovisual materials: journalistic documentaries and archival footage,</w:t>
      </w:r>
    </w:p>
    <w:p w:rsidR="00000000" w:rsidDel="00000000" w:rsidP="00000000" w:rsidRDefault="00000000" w:rsidRPr="00000000" w14:paraId="0000009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312" w:lineRule="auto"/>
        <w:ind w:left="720" w:right="1140" w:hanging="360"/>
        <w:jc w:val="both"/>
        <w:rPr>
          <w:sz w:val="24"/>
          <w:szCs w:val="24"/>
          <w:u w:val="none"/>
        </w:rPr>
      </w:pPr>
      <w:r w:rsidDel="00000000" w:rsidR="00000000" w:rsidRPr="00000000">
        <w:rPr>
          <w:sz w:val="24"/>
          <w:szCs w:val="24"/>
          <w:rtl w:val="0"/>
        </w:rPr>
        <w:t xml:space="preserve">Oral histories: semi-structured interviews with union leaders, local officials, and journalists.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sz w:val="24"/>
          <w:szCs w:val="24"/>
          <w:rtl w:val="0"/>
        </w:rPr>
        <w:t xml:space="preserve">Conflicting testimonies are not treated as noise but as mechanism-relevant indicators of political contestation, a defining feature of the Pucallpazo’s emergent and uncoordinated character. Oral accounts are cross-checked against contemporaneous documents to reduce retrospective bias, and all sources are contextualized by the speaker’s institutional role and historical position.</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A1">
      <w:pPr>
        <w:pStyle w:val="Heading4"/>
        <w:keepNext w:val="1"/>
        <w:keepLines w:val="1"/>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60"/>
        </w:tabs>
        <w:spacing w:after="40" w:before="1" w:line="240" w:lineRule="auto"/>
        <w:ind w:left="0" w:right="1140" w:firstLine="0"/>
        <w:jc w:val="left"/>
        <w:rPr>
          <w:sz w:val="24"/>
          <w:szCs w:val="24"/>
        </w:rPr>
      </w:pPr>
      <w:bookmarkStart w:colFirst="0" w:colLast="0" w:name="_yz9owcnqg618" w:id="22"/>
      <w:bookmarkEnd w:id="22"/>
      <w:r w:rsidDel="00000000" w:rsidR="00000000" w:rsidRPr="00000000">
        <w:rPr>
          <w:rtl w:val="0"/>
        </w:rPr>
        <w:t xml:space="preserve">Scope, Limitations, and Ethical Considerations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sz w:val="24"/>
          <w:szCs w:val="24"/>
          <w:rtl w:val="0"/>
        </w:rPr>
        <w:t xml:space="preserve">As a single-case study, this research prioritizes analytical over statistical generalizability by clarifying the scope conditions—rather than the frequency—under which bottom-up mobilization can trigger institutional rupture (Flyvbjerg, 2006).</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sz w:val="24"/>
          <w:szCs w:val="24"/>
          <w:rtl w:val="0"/>
        </w:rPr>
        <w:t xml:space="preserve">Methodologically, evidence is incomplete and uneven. Triangulation mitigates these limitations: oral accounts are cross-checked against contemporaneous documents to reduce retrospective bias, and each source is contextualized by the speaker’s institutional position and historical role.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sz w:val="24"/>
          <w:szCs w:val="24"/>
          <w:rtl w:val="0"/>
        </w:rPr>
        <w:t xml:space="preserve">All interviews were conducted with informed consent, confidentiality, and ethical sensitivity to participants’ right to interpret their own histories. Contradictions among sources are not resolved but analyzed as constitutive of the democratizing struggle itself.</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312" w:lineRule="auto"/>
        <w:ind w:left="0" w:right="1140" w:firstLine="0"/>
        <w:jc w:val="both"/>
        <w:rPr>
          <w:sz w:val="24"/>
          <w:szCs w:val="24"/>
        </w:rPr>
      </w:pPr>
      <w:r w:rsidDel="00000000" w:rsidR="00000000" w:rsidRPr="00000000">
        <w:rPr>
          <w:sz w:val="24"/>
          <w:szCs w:val="24"/>
          <w:rtl w:val="0"/>
        </w:rPr>
        <w:t xml:space="preserve">This design enables a rigorous reconstruction of how a peripheral protest evolved into a potential institutional rupture. The next section applies this framework to trace the historical formation of the center–periphery cleavage that served as the Pucallpazo’s permissive condition.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11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1"/>
        <w:tabs>
          <w:tab w:val="left" w:leader="none" w:pos="613"/>
          <w:tab w:val="left" w:leader="none" w:pos="615"/>
        </w:tabs>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15"/>
        </w:tabs>
        <w:spacing w:after="0" w:before="0" w:line="240" w:lineRule="auto"/>
        <w:ind w:left="860" w:right="1140" w:hanging="718"/>
        <w:jc w:val="left"/>
      </w:pPr>
      <w:bookmarkStart w:colFirst="0" w:colLast="0" w:name="_xu2w6hqsowqe" w:id="23"/>
      <w:bookmarkEnd w:id="23"/>
      <w:r w:rsidDel="00000000" w:rsidR="00000000" w:rsidRPr="00000000">
        <w:rPr>
          <w:rtl w:val="0"/>
        </w:rPr>
        <w:t xml:space="preserve">Empirical Analysis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312" w:lineRule="auto"/>
        <w:ind w:left="0" w:right="11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applies the diagnostic framework developed earlier to the Peruvian case, tracing how long-standing structural dependence evolved into an episode of collective mobi-lization and institutional rupture. The analysis proceeds sequentially—from the historical formation of the cleavage to its activation, escalation, and resolution—culminating in a systematic test of whether the Pucallpazo represents a gradual adaptation or a bottom-up critical juncture.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AC">
      <w:pPr>
        <w:pStyle w:val="Heading4"/>
        <w:keepNext w:val="1"/>
        <w:keepLines w:val="1"/>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60"/>
        </w:tabs>
        <w:spacing w:after="40" w:before="1" w:line="240" w:lineRule="auto"/>
        <w:ind w:left="0" w:right="1140" w:firstLine="0"/>
        <w:jc w:val="left"/>
        <w:rPr>
          <w:sz w:val="24"/>
          <w:szCs w:val="24"/>
        </w:rPr>
      </w:pPr>
      <w:bookmarkStart w:colFirst="0" w:colLast="0" w:name="_wktuy0lvqiji" w:id="24"/>
      <w:bookmarkEnd w:id="24"/>
      <w:r w:rsidDel="00000000" w:rsidR="00000000" w:rsidRPr="00000000">
        <w:rPr>
          <w:rtl w:val="0"/>
        </w:rPr>
        <w:t xml:space="preserve">Critical Antecedents: Migration and Infrastructure as “Difference Before Divergence”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A critical antecedent is not mere historical background but a causally conditioning factor that exhibits variation before divergence and combines with juncture-level forces to produce distinct institutional outcomes (Slater &amp; Simmons, 2010). In the case of Pucallpa, the critical antecedent that rendered rupture possible was the conjunction of mass internal migration and state-led infrastructural integration after 1943—a process that transformed Pucallpa from a marginal Amazonian settlement into a dynamic yet institutionally subordinated urban center, uniquely poised for rupture.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The completion of the Federico Basadre Highway (Lima–Pucallpa) in 1943 ended Pucallpa’s fluvial isolation and triggered a demographic transformation unlike any other in the Peruvian Amazon. </w:t>
      </w:r>
    </w:p>
    <w:p w:rsidR="00000000" w:rsidDel="00000000" w:rsidP="00000000" w:rsidRDefault="00000000" w:rsidRPr="00000000" w14:paraId="000000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In 1940, Pucallpa had 2368 inhabitants; </w:t>
      </w:r>
    </w:p>
    <w:p w:rsidR="00000000" w:rsidDel="00000000" w:rsidP="00000000" w:rsidRDefault="00000000" w:rsidRPr="00000000" w14:paraId="000000B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by 1961, its population had surged to 26,391—an increase driven by an average annual growth rate of 12.2%, far outpacing Iquitos’ modest 2.9% over the same period.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This explosive expansion reflected the highway’s transformative impact, which catalyzed mass migration from the coast and highlands, drawn by opportunities in timber, commerce, and state-promoted settlement policies (Barrantes &amp; Glave, 2014; Killeen, 2024; Maguiña Salinas, 2016).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Growth remained robust thereafter: </w:t>
      </w:r>
    </w:p>
    <w:p w:rsidR="00000000" w:rsidDel="00000000" w:rsidP="00000000" w:rsidRDefault="00000000" w:rsidRPr="00000000" w14:paraId="000000B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between 1961 and 1972, Pucallpa grew at 7.4% annually (vs. Iquitos’ 6.1%), </w:t>
      </w:r>
    </w:p>
    <w:p w:rsidR="00000000" w:rsidDel="00000000" w:rsidP="00000000" w:rsidRDefault="00000000" w:rsidRPr="00000000" w14:paraId="000000B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and from 1972 to 1981, it continued at 5.0% (slightly below Iquitos’ 5.5%). </w:t>
      </w:r>
    </w:p>
    <w:p w:rsidR="00000000" w:rsidDel="00000000" w:rsidP="00000000" w:rsidRDefault="00000000" w:rsidRPr="00000000" w14:paraId="000000B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By 1972, Pucallpa’s population had reached 57,993—nearly half of Iquitos’ 110,242—despite being a far younger urban center. </w:t>
      </w:r>
    </w:p>
    <w:p w:rsidR="00000000" w:rsidDel="00000000" w:rsidP="00000000" w:rsidRDefault="00000000" w:rsidRPr="00000000" w14:paraId="000000B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By 1981, it had grown to 89,604 residents, while Iquitos reached 178,738, confirming Pucallpa’s rapid convergence as the Amazon’s second-largest city.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This sustained demographic momentum was fueled by positive net migration, documented across three successive censuses (Izíniga Nuñez &amp; López, 1993; Maguiña Salinas, 2016). The influx produced a heterogeneous urban society whose rising demands—for education, healthcare, infrastructure, and political representation—were largely absent from the agendas of existing territorial institutions.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Yet this dynamism clashed with rigid institutional subordination. Despite its economic weight and urban scale, Pucallpa remained governed from afar: administrative decisions emanated from Iquitos (capital of Loreto), judicial appeals were routed to Huánuco (a different department), and educational policy was dictated from Huancayo (another department entirely). Fiscal neglect compounded this fragmentation: in 1981, Iquitos received 43% of Loreto’s public investment, while Pucallpa—home to the region’s second-largest city—received only 11.7% (Vivanco Pimentel &amp; Benzaquén Rengifo, 1997, p. 246).</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The result was a shared structure of grievance. As drivers’ union leader Julio Flores recalled: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&gt; “To study, our children had to go to Huánuco, to Iquitos, to Tingo María. And why couldn’t we have a university here?” (Interview, October 18, 2022).</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This configuration was unique. Iquitos, as departmental capital, enjoyed institutional centrality and resource flows; other Amazonian towns remained small, politically marginal, and lacked Pucallpa’s urban scale and economic weight. Only Pucallpa combined rapid demographic growth, regional economic centrality, and acute institutional exclusion—a convergence that, per Slater and Simmons (2010), constitutes difference before divergence: the historical precondition for rupture.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This critical antecedent did not cause rupture on its own. But it conditioned how actors interpreted state neglect and framed collective action, transforming generalized discontent into a territorially specific demand for departmental autonomy. It set the stage for the permissive condition—the legitimation crisis of central authority—that would soon open the window for institutional rupture.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rPr>
          <w:sz w:val="24"/>
          <w:szCs w:val="24"/>
        </w:rPr>
      </w:pPr>
      <w:r w:rsidDel="00000000" w:rsidR="00000000" w:rsidRPr="00000000">
        <w:rPr>
          <w:sz w:val="24"/>
          <w:szCs w:val="24"/>
          <w:rtl w:val="0"/>
        </w:rPr>
        <w:t xml:space="preserve">Table 1. Critical Antecedents</w:t>
      </w:r>
    </w:p>
    <w:tbl>
      <w:tblPr>
        <w:tblStyle w:val="Table3"/>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60"/>
        <w:gridCol w:w="6360"/>
        <w:tblGridChange w:id="0">
          <w:tblGrid>
            <w:gridCol w:w="246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Diagnostic 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Critical antecedents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Theoretical 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Slater &amp; Simmons (2010)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Test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Hoop test (necessary)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Required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Pre-juncture variation that conditions divergent responses (“difference before divergence”)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Empirical Support from Pucallpazo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Mass internal migration (1943–1977) transformed Pucallpa from a hamlet into a dynamic urban center (163,000 by 1981), yet it remained institutionally subordinated to Iquitos. Unlike other Amazonian cities (e.g., Contamana), Pucallpa alone combined rapid growth, economic centrality, and territorial exclusion—creating a rupture-prone periphery (INEI, 1981; Iziniga &amp; López, 1993).</w:t>
            </w: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D4">
      <w:pPr>
        <w:pStyle w:val="Heading4"/>
        <w:keepNext w:val="1"/>
        <w:keepLines w:val="1"/>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60"/>
        </w:tabs>
        <w:spacing w:after="40" w:before="1" w:line="240" w:lineRule="auto"/>
        <w:ind w:left="0" w:right="1140" w:firstLine="0"/>
        <w:jc w:val="left"/>
        <w:rPr>
          <w:sz w:val="24"/>
          <w:szCs w:val="24"/>
        </w:rPr>
      </w:pPr>
      <w:bookmarkStart w:colFirst="0" w:colLast="0" w:name="_80r4f65b16sw" w:id="25"/>
      <w:bookmarkEnd w:id="25"/>
      <w:r w:rsidDel="00000000" w:rsidR="00000000" w:rsidRPr="00000000">
        <w:rPr>
          <w:rtl w:val="0"/>
        </w:rPr>
        <w:t xml:space="preserve">Permissive Condition: The Legitimation Crisis of Central Authority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A permissive condition marks the moment when structural constraints on agency relax, opening a window of heightened contingency in which institutional alternatives become politically viable (Soifer, 2012). In Pucallpa, this window emerged not suddenly, but through the cumulative erosion of state legitimacy between 1976 and 1978—a legitimation crisis rooted in the persistent mismatch between territorial dynamism and institutional subordination.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The trigger was the broken promise of President Francisco Morales Bermúdez. During his November 1976 visit to Pucallpa, the military leader pledged to pave the city’s roads and deliver the </w:t>
      </w:r>
      <w:r w:rsidDel="00000000" w:rsidR="00000000" w:rsidRPr="00000000">
        <w:rPr>
          <w:sz w:val="24"/>
          <w:szCs w:val="24"/>
          <w:rtl w:val="0"/>
        </w:rPr>
        <w:t xml:space="preserve">sobrecanon</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petrolero; but it took a year for the money to arrive (Rengifo, 2020, p. 10). However, within months, projects stalled with no explanation. Roads remained unpaved, infrastructure decayed, and the promised royalties never materialized. This was not an isolated failure—it was the third broken promise in four years (1973 teacher mobilization, 1975 FIDUP creation, 1976 Morales Bermúdez visit). Each episode deepened a shared narrative: The state extracts but does not invest; it promises but does not deliver.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This pattern generated a subjective rupture in the social contract. As Julio Flores noted: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&gt; “We kept asking for basic things—licences, roads, electricity—and they kept saying ‘next year.’ But next year never came.”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&gt; (J. Flores, interview, October 18, 2022)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Crucially, the crisis was not merely material—it was institutional and symbolic. Pucallpa’s subordination was embedded in a fragmented governance structure: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 Administrative decisions from Iquitos (400 km away),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 Judicial appeals routed to Huánuco (a different department),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 Educational policy dictated from Huancayo,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 Mayoral appointments made directly from Lima.</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This “triple exile” (Vivanco Pimentel &amp; Benzaquén Rengifo, 1997, p. 246) meant that even local problems—water, electricity, health—required navigating three separate bureaucratic jurisdictions. In 1981, Iquitos received 43% of Loreto’s public investment; Pucallpa, just 11.7%—despite being the region’s second-largest population center.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The result was a shared structure of grievance that transcended sectoral interests. As one union leader testified: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&gt; “It wasn’t just about gas or tires. It was about who decides for us. And the answer was: nobody here.”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&gt; (J. Flores, interview, October 18, 2022)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By mid-1978, the institutional equilibrium had become politically unsustainable. The cleavage was no longer latent; it was activated. Citizens no longer asked what they lacked, but who denied it. This shift—from distributive demand to territorial sovereignty—transformed a structural tension into a permissive condition: a moment when the status quo could no longer reproduce itself without massive, coordinated resistance.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Critically, this window was time-bound. It opened with the final betrayal of 1977 and closed only with the institutional response of 1980–1981. During this window, the state’s capacity to manage discontent through co-optation or dilatory tactics collapsed. The permissive condition was thus necessary but insufficient: it created the opportunity for rupture, but not its realization. That would require a productive condition—a decentralized, multi-sectoral mobilization capable of seizing the moment.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Table 2. Permissive Condition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tbl>
      <w:tblPr>
        <w:tblStyle w:val="Table4"/>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5415"/>
        <w:tblGridChange w:id="0">
          <w:tblGrid>
            <w:gridCol w:w="3345"/>
            <w:gridCol w:w="5415"/>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0">
            <w:pPr>
              <w:spacing w:line="276" w:lineRule="auto"/>
              <w:rPr>
                <w:sz w:val="18"/>
                <w:szCs w:val="18"/>
              </w:rPr>
            </w:pPr>
            <w:r w:rsidDel="00000000" w:rsidR="00000000" w:rsidRPr="00000000">
              <w:rPr>
                <w:sz w:val="18"/>
                <w:szCs w:val="18"/>
                <w:rtl w:val="0"/>
              </w:rPr>
              <w:t xml:space="preserve">Diagnostic Criterion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1">
            <w:pPr>
              <w:spacing w:line="276" w:lineRule="auto"/>
              <w:rPr>
                <w:sz w:val="18"/>
                <w:szCs w:val="18"/>
              </w:rPr>
            </w:pPr>
            <w:r w:rsidDel="00000000" w:rsidR="00000000" w:rsidRPr="00000000">
              <w:rPr>
                <w:sz w:val="18"/>
                <w:szCs w:val="18"/>
                <w:rtl w:val="0"/>
              </w:rPr>
              <w:t xml:space="preserve">Permissive condition</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2">
            <w:pPr>
              <w:spacing w:line="276" w:lineRule="auto"/>
              <w:rPr>
                <w:sz w:val="18"/>
                <w:szCs w:val="18"/>
              </w:rPr>
            </w:pPr>
            <w:r w:rsidDel="00000000" w:rsidR="00000000" w:rsidRPr="00000000">
              <w:rPr>
                <w:sz w:val="18"/>
                <w:szCs w:val="18"/>
                <w:rtl w:val="0"/>
              </w:rPr>
              <w:t xml:space="preserve">Theoretical Source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3">
            <w:pPr>
              <w:spacing w:line="276" w:lineRule="auto"/>
              <w:rPr>
                <w:sz w:val="18"/>
                <w:szCs w:val="18"/>
              </w:rPr>
            </w:pPr>
            <w:r w:rsidDel="00000000" w:rsidR="00000000" w:rsidRPr="00000000">
              <w:rPr>
                <w:sz w:val="18"/>
                <w:szCs w:val="18"/>
                <w:rtl w:val="0"/>
              </w:rPr>
              <w:t xml:space="preserve">Soifer (2012); Collier &amp; Collier (1991)</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4">
            <w:pPr>
              <w:spacing w:line="276" w:lineRule="auto"/>
              <w:rPr>
                <w:sz w:val="18"/>
                <w:szCs w:val="18"/>
              </w:rPr>
            </w:pPr>
            <w:r w:rsidDel="00000000" w:rsidR="00000000" w:rsidRPr="00000000">
              <w:rPr>
                <w:sz w:val="18"/>
                <w:szCs w:val="18"/>
                <w:rtl w:val="0"/>
              </w:rPr>
              <w:t xml:space="preserve">Test 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5">
            <w:pPr>
              <w:spacing w:line="276" w:lineRule="auto"/>
              <w:rPr>
                <w:sz w:val="18"/>
                <w:szCs w:val="18"/>
              </w:rPr>
            </w:pPr>
            <w:r w:rsidDel="00000000" w:rsidR="00000000" w:rsidRPr="00000000">
              <w:rPr>
                <w:sz w:val="18"/>
                <w:szCs w:val="18"/>
                <w:rtl w:val="0"/>
              </w:rPr>
              <w:t xml:space="preserve">Hoop test (necessary)</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6">
            <w:pPr>
              <w:spacing w:line="276" w:lineRule="auto"/>
              <w:rPr>
                <w:sz w:val="18"/>
                <w:szCs w:val="18"/>
              </w:rPr>
            </w:pPr>
            <w:r w:rsidDel="00000000" w:rsidR="00000000" w:rsidRPr="00000000">
              <w:rPr>
                <w:sz w:val="18"/>
                <w:szCs w:val="18"/>
                <w:rtl w:val="0"/>
              </w:rPr>
              <w:t xml:space="preserve">Required Evidence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7">
            <w:pPr>
              <w:spacing w:line="276" w:lineRule="auto"/>
              <w:rPr>
                <w:sz w:val="18"/>
                <w:szCs w:val="18"/>
              </w:rPr>
            </w:pPr>
            <w:r w:rsidDel="00000000" w:rsidR="00000000" w:rsidRPr="00000000">
              <w:rPr>
                <w:sz w:val="18"/>
                <w:szCs w:val="18"/>
                <w:rtl w:val="0"/>
              </w:rPr>
              <w:t xml:space="preserve">Structural cleavage destabilizes equilibrium, opening a window of heightened contingency</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8">
            <w:pPr>
              <w:spacing w:line="276" w:lineRule="auto"/>
              <w:rPr>
                <w:sz w:val="18"/>
                <w:szCs w:val="18"/>
              </w:rPr>
            </w:pPr>
            <w:r w:rsidDel="00000000" w:rsidR="00000000" w:rsidRPr="00000000">
              <w:rPr>
                <w:sz w:val="18"/>
                <w:szCs w:val="18"/>
                <w:rtl w:val="0"/>
              </w:rPr>
              <w:t xml:space="preserve">Empirical Support from Pucallpazo</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9">
            <w:pPr>
              <w:spacing w:line="276" w:lineRule="auto"/>
              <w:rPr>
                <w:sz w:val="18"/>
                <w:szCs w:val="18"/>
              </w:rPr>
            </w:pPr>
            <w:r w:rsidDel="00000000" w:rsidR="00000000" w:rsidRPr="00000000">
              <w:rPr>
                <w:sz w:val="18"/>
                <w:szCs w:val="18"/>
                <w:rtl w:val="0"/>
              </w:rPr>
              <w:t xml:space="preserve">Repeated state betrayals—especially the 1976 broken promise of road paving and petroleum royalties, followed by the 1977 halt to works—eroded state legitimacy. Simultaneously, Pucallpa faced “triple exile”: administrative decisions from Iquitos, judicial appeals to Huánuco, and educational policy from Huancayo, with only 11.7% of Loreto’s investment (vs. 43% for Iquitos). This generated a shared grievance: “Who decides for us?” (Vivanco &amp; Benzaquén, 1997; M. Vásquez Valera, interview, 2022).</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FD">
      <w:pPr>
        <w:pStyle w:val="Heading4"/>
        <w:keepNext w:val="1"/>
        <w:keepLines w:val="1"/>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60"/>
        </w:tabs>
        <w:spacing w:after="40" w:before="1" w:line="240" w:lineRule="auto"/>
        <w:ind w:left="0" w:right="1140" w:firstLine="0"/>
        <w:jc w:val="left"/>
        <w:rPr>
          <w:sz w:val="24"/>
          <w:szCs w:val="24"/>
        </w:rPr>
      </w:pPr>
      <w:bookmarkStart w:colFirst="0" w:colLast="0" w:name="_kv8l2p1kajjx" w:id="26"/>
      <w:bookmarkEnd w:id="26"/>
      <w:r w:rsidDel="00000000" w:rsidR="00000000" w:rsidRPr="00000000">
        <w:rPr>
          <w:rtl w:val="0"/>
        </w:rPr>
        <w:t xml:space="preserve">Productive Condition: Decentralized Mobilization as Causal Mechanism</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A productive condition is not a structural tide but a causal mechanism: the specific constellation of actor strategies and coalitional dynamics that operate within a permissive window to produce a particular institutional outcome (Soifer, 2012). In the case of the Pucallpazo, this mechanism was not elite-driven, not party-coordinated, and not centrally planned. Instead, it was a decentralized, multi-sectoral civic mobilization that converted a shared sense of territorial injustice into a concrete institutional demand: the creation of the Department of Ucayali.</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right="1140"/>
        <w:jc w:val="both"/>
        <w:rPr>
          <w:sz w:val="24"/>
          <w:szCs w:val="24"/>
          <w:u w:val="single"/>
        </w:rPr>
      </w:pPr>
      <w:r w:rsidDel="00000000" w:rsidR="00000000" w:rsidRPr="00000000">
        <w:rPr>
          <w:sz w:val="24"/>
          <w:szCs w:val="24"/>
          <w:u w:val="single"/>
          <w:rtl w:val="0"/>
        </w:rPr>
        <w:t xml:space="preserve">A Coalition Without a Vanguard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The productive force behind the Pucallpazo emerged from seven distinct actor clusters:</w:t>
      </w:r>
    </w:p>
    <w:p w:rsidR="00000000" w:rsidDel="00000000" w:rsidP="00000000" w:rsidRDefault="00000000" w:rsidRPr="00000000" w14:paraId="0000010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rPr>
      </w:pPr>
      <w:r w:rsidDel="00000000" w:rsidR="00000000" w:rsidRPr="00000000">
        <w:rPr>
          <w:sz w:val="24"/>
          <w:szCs w:val="24"/>
          <w:rtl w:val="0"/>
        </w:rPr>
        <w:t xml:space="preserve">Transport unions (Sindicato de Choferes),  </w:t>
      </w:r>
    </w:p>
    <w:p w:rsidR="00000000" w:rsidDel="00000000" w:rsidP="00000000" w:rsidRDefault="00000000" w:rsidRPr="00000000" w14:paraId="0000010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rPr>
      </w:pPr>
      <w:r w:rsidDel="00000000" w:rsidR="00000000" w:rsidRPr="00000000">
        <w:rPr>
          <w:sz w:val="24"/>
          <w:szCs w:val="24"/>
          <w:rtl w:val="0"/>
        </w:rPr>
        <w:t xml:space="preserve">Public-sector gremios (SUTEP teachers, FEB/STBN bank workers),  </w:t>
      </w:r>
    </w:p>
    <w:p w:rsidR="00000000" w:rsidDel="00000000" w:rsidP="00000000" w:rsidRDefault="00000000" w:rsidRPr="00000000" w14:paraId="0000010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rPr>
      </w:pPr>
      <w:r w:rsidDel="00000000" w:rsidR="00000000" w:rsidRPr="00000000">
        <w:rPr>
          <w:sz w:val="24"/>
          <w:szCs w:val="24"/>
          <w:rtl w:val="0"/>
        </w:rPr>
        <w:t xml:space="preserve">Media outlets (Rumbos Amazónicos, Radio Pucallpa),  </w:t>
      </w:r>
    </w:p>
    <w:p w:rsidR="00000000" w:rsidDel="00000000" w:rsidP="00000000" w:rsidRDefault="00000000" w:rsidRPr="00000000" w14:paraId="0000010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rPr>
      </w:pPr>
      <w:r w:rsidDel="00000000" w:rsidR="00000000" w:rsidRPr="00000000">
        <w:rPr>
          <w:sz w:val="24"/>
          <w:szCs w:val="24"/>
          <w:rtl w:val="0"/>
        </w:rPr>
        <w:t xml:space="preserve">Religious actors (Father Ángel Saboya, Vicariato Apostólico),  </w:t>
      </w:r>
    </w:p>
    <w:p w:rsidR="00000000" w:rsidDel="00000000" w:rsidP="00000000" w:rsidRDefault="00000000" w:rsidRPr="00000000" w14:paraId="0000010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rPr>
      </w:pPr>
      <w:r w:rsidDel="00000000" w:rsidR="00000000" w:rsidRPr="00000000">
        <w:rPr>
          <w:sz w:val="24"/>
          <w:szCs w:val="24"/>
          <w:rtl w:val="0"/>
        </w:rPr>
        <w:t xml:space="preserve">Professional associations (Colegio de Ingenieros, Abogados),  </w:t>
      </w:r>
    </w:p>
    <w:p w:rsidR="00000000" w:rsidDel="00000000" w:rsidP="00000000" w:rsidRDefault="00000000" w:rsidRPr="00000000" w14:paraId="0000010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rPr>
      </w:pPr>
      <w:r w:rsidDel="00000000" w:rsidR="00000000" w:rsidRPr="00000000">
        <w:rPr>
          <w:sz w:val="24"/>
          <w:szCs w:val="24"/>
          <w:rtl w:val="0"/>
        </w:rPr>
        <w:t xml:space="preserve">Business elites (Cámara de Comercio, Rotary Club),  </w:t>
      </w:r>
    </w:p>
    <w:p w:rsidR="00000000" w:rsidDel="00000000" w:rsidP="00000000" w:rsidRDefault="00000000" w:rsidRPr="00000000" w14:paraId="0000010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rPr>
      </w:pPr>
      <w:r w:rsidDel="00000000" w:rsidR="00000000" w:rsidRPr="00000000">
        <w:rPr>
          <w:sz w:val="24"/>
          <w:szCs w:val="24"/>
          <w:rtl w:val="0"/>
        </w:rPr>
        <w:t xml:space="preserve">Septrionist networks (mystic-ecological intellectuals and entrepreneurs).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Crucially, no single group dominated the coalition. Testimonies reveal competing narratives of origin: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&gt; “We were the first—the first attempt to unify several guilds—and as you can see, there was no drivers’ union there at all.”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&gt; —Fernando Alfaro Venturo (bank workers’ union)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&gt; “Without the Sindicato de Choferes, there would’ve been no Pucallpazo.”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&gt; —Julio Flores (driver´s leader)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These contradictory claims are not noise—they are diagnostic evidence of decentralized agency. Each group saw itself as the nucleus, yet none imposed its will. This absence of hierarchical control is precisely what distinguishes the Pucallpazo from elite-led critical junctures.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u w:val="single"/>
        </w:rPr>
      </w:pPr>
      <w:r w:rsidDel="00000000" w:rsidR="00000000" w:rsidRPr="00000000">
        <w:rPr>
          <w:sz w:val="24"/>
          <w:szCs w:val="24"/>
          <w:u w:val="single"/>
          <w:rtl w:val="0"/>
        </w:rPr>
        <w:t xml:space="preserve">Informal Cohesion, Not Formal Unity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Faced with ideological tensions—between anti-communist choferes and leftist gremios—the coalition avoided centralized leadership. Instead, it sustained unity through informal mechanisms:  </w:t>
      </w:r>
    </w:p>
    <w:p w:rsidR="00000000" w:rsidDel="00000000" w:rsidP="00000000" w:rsidRDefault="00000000" w:rsidRPr="00000000" w14:paraId="0000011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Ollas comunes (community kitchens),  </w:t>
      </w:r>
    </w:p>
    <w:p w:rsidR="00000000" w:rsidDel="00000000" w:rsidP="00000000" w:rsidRDefault="00000000" w:rsidRPr="00000000" w14:paraId="0000011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Popular masses and street festivals,  </w:t>
      </w:r>
    </w:p>
    <w:p w:rsidR="00000000" w:rsidDel="00000000" w:rsidP="00000000" w:rsidRDefault="00000000" w:rsidRPr="00000000" w14:paraId="0000011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Shared radio broadcasts from the choferes’ headquarters,  </w:t>
      </w:r>
    </w:p>
    <w:p w:rsidR="00000000" w:rsidDel="00000000" w:rsidP="00000000" w:rsidRDefault="00000000" w:rsidRPr="00000000" w14:paraId="0000011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Moral boundary-policing (e.g., labeling opponents “rojos,” rejecting “yellow press”).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As Julio Flores recalled: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&gt; “Indudablemente había discrepancias ideológicas… pero había gente que regalaba sus toretes, sus plátanos… las ollas comunes, las misas—eso mantuvo el paro sin tristeza.”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This civic infrastructure of trust enabled the movement to absorb internal conflict without fracturing—a hallmark of a self-sustaining productive condition.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u w:val="single"/>
        </w:rPr>
      </w:pPr>
      <w:r w:rsidDel="00000000" w:rsidR="00000000" w:rsidRPr="00000000">
        <w:rPr>
          <w:sz w:val="24"/>
          <w:szCs w:val="24"/>
          <w:u w:val="single"/>
          <w:rtl w:val="0"/>
        </w:rPr>
        <w:t xml:space="preserve">Strategic Nonviolence as Political Leverage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The coalition deliberately rejected violence, framing its demands as territorial, not revolutionary. Leaders like Marino Ganoza Trevitazzo and Carlos Pezo Sánchez emphasized civic legitimacy over confrontation: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&gt; “The choferes did not practice partisan politics… the leftists sought vampires and blood—we told them no.”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&gt; —Eulogio Medina Ortiz (choferes union)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This strategic choice prevented state repression (unlike the 1974 teacher crackdown) and mobilized broad public support, including from business and the Church. The result was nonviolent but uncompromising pressure—a 17-day general strike in 1978, repeated in 1980—that paralyzed the city without a single fatality.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u w:val="single"/>
        </w:rPr>
      </w:pPr>
      <w:r w:rsidDel="00000000" w:rsidR="00000000" w:rsidRPr="00000000">
        <w:rPr>
          <w:sz w:val="24"/>
          <w:szCs w:val="24"/>
          <w:u w:val="single"/>
          <w:rtl w:val="0"/>
        </w:rPr>
        <w:t xml:space="preserve">From Protest to Institutional Blueprint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Critically, the mobilization translated street pressure into institutional design. By 1979, it had produced:  </w:t>
      </w:r>
    </w:p>
    <w:p w:rsidR="00000000" w:rsidDel="00000000" w:rsidP="00000000" w:rsidRDefault="00000000" w:rsidRPr="00000000" w14:paraId="000001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A technical map of the future Department of Ucayali (Juan Mendoza Balboa),  </w:t>
      </w:r>
    </w:p>
    <w:p w:rsidR="00000000" w:rsidDel="00000000" w:rsidP="00000000" w:rsidRDefault="00000000" w:rsidRPr="00000000" w14:paraId="0000012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A comprehensive pliego demanding university, hospital, and territorial autonomy,  </w:t>
      </w:r>
    </w:p>
    <w:p w:rsidR="00000000" w:rsidDel="00000000" w:rsidP="00000000" w:rsidRDefault="00000000" w:rsidRPr="00000000" w14:paraId="0000012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A national media campaign (Hotel Crillón press conference, April 1980).</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This fusion of grassroots action and institutional imagination ensured that when the military regime offered concessions, the movement demanded not co-optation, but replacement.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Table 3. Productive Condition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tbl>
      <w:tblPr>
        <w:tblStyle w:val="Table5"/>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25"/>
        <w:gridCol w:w="4980"/>
        <w:tblGridChange w:id="0">
          <w:tblGrid>
            <w:gridCol w:w="3825"/>
            <w:gridCol w:w="49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35">
            <w:pPr>
              <w:rPr>
                <w:sz w:val="18"/>
                <w:szCs w:val="18"/>
              </w:rPr>
            </w:pPr>
            <w:r w:rsidDel="00000000" w:rsidR="00000000" w:rsidRPr="00000000">
              <w:rPr>
                <w:sz w:val="18"/>
                <w:szCs w:val="18"/>
                <w:rtl w:val="0"/>
              </w:rPr>
              <w:t xml:space="preserve">Diagnostic 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36">
            <w:pPr>
              <w:rPr>
                <w:sz w:val="18"/>
                <w:szCs w:val="18"/>
              </w:rPr>
            </w:pPr>
            <w:r w:rsidDel="00000000" w:rsidR="00000000" w:rsidRPr="00000000">
              <w:rPr>
                <w:sz w:val="18"/>
                <w:szCs w:val="18"/>
                <w:rtl w:val="0"/>
              </w:rPr>
              <w:t xml:space="preserve">Productive condition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37">
            <w:pPr>
              <w:rPr>
                <w:sz w:val="18"/>
                <w:szCs w:val="18"/>
              </w:rPr>
            </w:pPr>
            <w:r w:rsidDel="00000000" w:rsidR="00000000" w:rsidRPr="00000000">
              <w:rPr>
                <w:sz w:val="18"/>
                <w:szCs w:val="18"/>
                <w:rtl w:val="0"/>
              </w:rPr>
              <w:t xml:space="preserve">Theoretical 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38">
            <w:pPr>
              <w:rPr>
                <w:sz w:val="18"/>
                <w:szCs w:val="18"/>
              </w:rPr>
            </w:pPr>
            <w:r w:rsidDel="00000000" w:rsidR="00000000" w:rsidRPr="00000000">
              <w:rPr>
                <w:sz w:val="18"/>
                <w:szCs w:val="18"/>
                <w:rtl w:val="0"/>
              </w:rPr>
              <w:t xml:space="preserve">Soifer (2012)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39">
            <w:pPr>
              <w:rPr>
                <w:sz w:val="18"/>
                <w:szCs w:val="18"/>
              </w:rPr>
            </w:pPr>
            <w:r w:rsidDel="00000000" w:rsidR="00000000" w:rsidRPr="00000000">
              <w:rPr>
                <w:sz w:val="18"/>
                <w:szCs w:val="18"/>
                <w:rtl w:val="0"/>
              </w:rPr>
              <w:t xml:space="preserve">Test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3A">
            <w:pPr>
              <w:rPr>
                <w:sz w:val="18"/>
                <w:szCs w:val="18"/>
              </w:rPr>
            </w:pPr>
            <w:r w:rsidDel="00000000" w:rsidR="00000000" w:rsidRPr="00000000">
              <w:rPr>
                <w:sz w:val="18"/>
                <w:szCs w:val="18"/>
                <w:rtl w:val="0"/>
              </w:rPr>
              <w:t xml:space="preserve">Smoking gun test (strongly confirmatory)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3B">
            <w:pPr>
              <w:rPr>
                <w:sz w:val="18"/>
                <w:szCs w:val="18"/>
              </w:rPr>
            </w:pPr>
            <w:r w:rsidDel="00000000" w:rsidR="00000000" w:rsidRPr="00000000">
              <w:rPr>
                <w:sz w:val="18"/>
                <w:szCs w:val="18"/>
                <w:rtl w:val="0"/>
              </w:rPr>
              <w:t xml:space="preserve">Required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3C">
            <w:pPr>
              <w:rPr>
                <w:sz w:val="18"/>
                <w:szCs w:val="18"/>
              </w:rPr>
            </w:pPr>
            <w:r w:rsidDel="00000000" w:rsidR="00000000" w:rsidRPr="00000000">
              <w:rPr>
                <w:sz w:val="18"/>
                <w:szCs w:val="18"/>
                <w:rtl w:val="0"/>
              </w:rPr>
              <w:t xml:space="preserve">Decentralized mobilization operates within the window to select institutional outcome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3D">
            <w:pPr>
              <w:rPr>
                <w:sz w:val="18"/>
                <w:szCs w:val="18"/>
              </w:rPr>
            </w:pPr>
            <w:r w:rsidDel="00000000" w:rsidR="00000000" w:rsidRPr="00000000">
              <w:rPr>
                <w:sz w:val="18"/>
                <w:szCs w:val="18"/>
                <w:rtl w:val="0"/>
              </w:rPr>
              <w:t xml:space="preserve">Empirical Support from Pucallpazo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3E">
            <w:pPr>
              <w:rPr>
                <w:sz w:val="18"/>
                <w:szCs w:val="18"/>
              </w:rPr>
            </w:pPr>
            <w:r w:rsidDel="00000000" w:rsidR="00000000" w:rsidRPr="00000000">
              <w:rPr>
                <w:sz w:val="18"/>
                <w:szCs w:val="18"/>
                <w:rtl w:val="0"/>
              </w:rPr>
              <w:t xml:space="preserve">A heterogeneous coalition—choferes, teachers (SUTEP), bankers (FEB/STBN), media (Rumbos Amazónicos), Church (Fr. Saboya), septrionists, and business elites—formed FREDECOP in 1978 without centralized leadership. Conflicting origin narratives (“We unified first” vs. “Without choferes, no Pucallpazo”) reveal decentralized agency. Unity was sustained through ollas comunes, misas, and street festivals—not party control—enabling three protest cycles (1978, 1980, 1981) that forced departmental creation (J. Flores, F. Alfaro, E. Medina Ortiz, interviews, 2022; Tapuya Huaman, 2024).</w:t>
            </w:r>
            <w:r w:rsidDel="00000000" w:rsidR="00000000" w:rsidRPr="00000000">
              <w:rPr>
                <w:rtl w:val="0"/>
              </w:rPr>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41">
      <w:pPr>
        <w:pStyle w:val="Heading4"/>
        <w:keepNext w:val="1"/>
        <w:keepLines w:val="1"/>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60"/>
        </w:tabs>
        <w:spacing w:after="40" w:before="1" w:line="240" w:lineRule="auto"/>
        <w:ind w:left="0" w:right="1140" w:firstLine="0"/>
        <w:jc w:val="left"/>
        <w:rPr>
          <w:sz w:val="24"/>
          <w:szCs w:val="24"/>
        </w:rPr>
      </w:pPr>
      <w:bookmarkStart w:colFirst="0" w:colLast="0" w:name="_81cbjze558o2" w:id="27"/>
      <w:bookmarkEnd w:id="27"/>
      <w:r w:rsidDel="00000000" w:rsidR="00000000" w:rsidRPr="00000000">
        <w:rPr>
          <w:rtl w:val="0"/>
        </w:rPr>
        <w:t xml:space="preserve">Hogan’s SSE Criteria: Significant, Swift, and Encompassing Change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For Hogan (2006), a critical juncture is not merely a moment of protest or policy adjustment, but an episode that produces institutional transformation that is significant, swift, and encompassing (SSE). These criteria collectively distinguish rupture from adaptation: the former reconfigures the institutional order; the latter modifies it within existing bounds. The Pucallpazo meets all three SSE criteria.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u w:val="single"/>
        </w:rPr>
      </w:pPr>
      <w:r w:rsidDel="00000000" w:rsidR="00000000" w:rsidRPr="00000000">
        <w:rPr>
          <w:sz w:val="24"/>
          <w:szCs w:val="24"/>
          <w:u w:val="single"/>
          <w:rtl w:val="0"/>
        </w:rPr>
        <w:t xml:space="preserve">Significant: Redefining Core Authority Relations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The creation of the Department of Ucayali in 1980 fundamentally redefined the state’s territorial architecture. Prior to this, Pucallpa (as part of Coronel Portillo Province) was institutionally subordinated to Iquitos, the capital of Loreto. Decisions over budgets, public works, education, and justice were made externally—often by agencies in Huánuco or Huancayo. The 1981 fiscal data underscores this asymmetry: Iquitos received 43% of Loreto’s public investment; Pucallpa, 11.7% (Vivanco Pimentel &amp; Benzaquén Rengifo, 1997).</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The Department of Ucayali replaced, rather than reformed, this arrangement. It granted Pucallpa autonomous administrative status, direct representation in Congress, and control over its own regional budget, education system, and health infrastructure. As one leader recalled: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&gt; “Before, we didn’t even decide who got a driver’s license. After 1980, we decided everything” (J. Flores, interview, October 18, 2022).</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This was not a policy shift—it was a reconfiguration of sovereign authority.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u w:val="single"/>
        </w:rPr>
      </w:pPr>
      <w:r w:rsidDel="00000000" w:rsidR="00000000" w:rsidRPr="00000000">
        <w:rPr>
          <w:sz w:val="24"/>
          <w:szCs w:val="24"/>
          <w:u w:val="single"/>
          <w:rtl w:val="0"/>
        </w:rPr>
        <w:t xml:space="preserve">Swift: Compressed Temporal Window</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Hogan (2006) emphasizes that critical junctures unfold in a compressed temporal window, distinguishing them from gradual, path-dependent evolution. The Pucallpazo’s institutional transformation occurred within three years: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October 1978: First Pucallpazo—17-day general strike forces creation of CODECOP.  </w:t>
      </w:r>
    </w:p>
    <w:p w:rsidR="00000000" w:rsidDel="00000000" w:rsidP="00000000" w:rsidRDefault="00000000" w:rsidRPr="00000000" w14:paraId="0000015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June 1980: Second Pucallpazo—huelga leads to Decree Law No. 23099, creating Ucayali.  </w:t>
      </w:r>
    </w:p>
    <w:p w:rsidR="00000000" w:rsidDel="00000000" w:rsidP="00000000" w:rsidRDefault="00000000" w:rsidRPr="00000000" w14:paraId="0000015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December 1981: Third Pucallpazo—mobilization defends territorial integrity after Contamana’s secession attempt.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By 1983, a binding referendum confirmed Ucayali’s autonomy (3,097 vs. 2,829 votes). This rapid sequence—from protest to institutional consolidation in under five years—contrasts sharply with Peru’s usual pace of territorial reform, which had been frozen since the 19th century.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u w:val="single"/>
        </w:rPr>
      </w:pPr>
      <w:r w:rsidDel="00000000" w:rsidR="00000000" w:rsidRPr="00000000">
        <w:rPr>
          <w:sz w:val="24"/>
          <w:szCs w:val="24"/>
          <w:u w:val="single"/>
          <w:rtl w:val="0"/>
        </w:rPr>
        <w:t xml:space="preserve">Encompassing: Systemic Reconfiguration Across Domains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Finally, the change was encompassing: it extended beyond a single policy or institution to reshape adjacent structures across political, educational, and health domains: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Political: Creation of a new department (1980), followed by the formation of three new provinces (Atalaya, Padre Abad, Purús) in 1982 (Law No. 23416), ensuring internal administrative viability.  </w:t>
      </w:r>
    </w:p>
    <w:p w:rsidR="00000000" w:rsidDel="00000000" w:rsidP="00000000" w:rsidRDefault="00000000" w:rsidRPr="00000000" w14:paraId="0000015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Educational: The Universidad Nacional de Ucayali was established by decree in December 1979—before departmental creation—responding directly to the Pucallpazo’s demand for local access to higher education.  </w:t>
      </w:r>
    </w:p>
    <w:p w:rsidR="00000000" w:rsidDel="00000000" w:rsidP="00000000" w:rsidRDefault="00000000" w:rsidRPr="00000000" w14:paraId="0000015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Health: The IPSS Hospital (now EsSalud) was built in response to the 1978 pliego, transforming healthcare access in the region.  </w:t>
      </w:r>
    </w:p>
    <w:p w:rsidR="00000000" w:rsidDel="00000000" w:rsidP="00000000" w:rsidRDefault="00000000" w:rsidRPr="00000000" w14:paraId="0000015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Representation: Ucayali gained its own congressional delegation, breaking Loreto’s monopoly on Amazonian representation.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This systemic institutional cascade demonstrates that the rupture was not sectoral but territorially total—altering the very map of the Peruvian state.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Table 4. Hogan’s SSE Criteria</w:t>
      </w:r>
    </w:p>
    <w:tbl>
      <w:tblPr>
        <w:tblStyle w:val="Table6"/>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10"/>
        <w:gridCol w:w="5550"/>
        <w:tblGridChange w:id="0">
          <w:tblGrid>
            <w:gridCol w:w="3210"/>
            <w:gridCol w:w="55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64">
            <w:pPr>
              <w:rPr>
                <w:sz w:val="18"/>
                <w:szCs w:val="18"/>
              </w:rPr>
            </w:pPr>
            <w:r w:rsidDel="00000000" w:rsidR="00000000" w:rsidRPr="00000000">
              <w:rPr>
                <w:sz w:val="18"/>
                <w:szCs w:val="18"/>
                <w:rtl w:val="0"/>
              </w:rPr>
              <w:t xml:space="preserve">Diagnostic 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65">
            <w:pPr>
              <w:rPr>
                <w:sz w:val="18"/>
                <w:szCs w:val="18"/>
              </w:rPr>
            </w:pPr>
            <w:r w:rsidDel="00000000" w:rsidR="00000000" w:rsidRPr="00000000">
              <w:rPr>
                <w:sz w:val="18"/>
                <w:szCs w:val="18"/>
                <w:rtl w:val="0"/>
              </w:rPr>
              <w:t xml:space="preserve">Hogan’s SSE criteria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66">
            <w:pPr>
              <w:rPr>
                <w:sz w:val="18"/>
                <w:szCs w:val="18"/>
              </w:rPr>
            </w:pPr>
            <w:r w:rsidDel="00000000" w:rsidR="00000000" w:rsidRPr="00000000">
              <w:rPr>
                <w:sz w:val="18"/>
                <w:szCs w:val="18"/>
                <w:rtl w:val="0"/>
              </w:rPr>
              <w:t xml:space="preserve">Theoretical 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67">
            <w:pPr>
              <w:rPr>
                <w:sz w:val="18"/>
                <w:szCs w:val="18"/>
              </w:rPr>
            </w:pPr>
            <w:r w:rsidDel="00000000" w:rsidR="00000000" w:rsidRPr="00000000">
              <w:rPr>
                <w:sz w:val="18"/>
                <w:szCs w:val="18"/>
                <w:rtl w:val="0"/>
              </w:rPr>
              <w:t xml:space="preserve">Hogan (2006)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68">
            <w:pPr>
              <w:rPr>
                <w:sz w:val="18"/>
                <w:szCs w:val="18"/>
              </w:rPr>
            </w:pPr>
            <w:r w:rsidDel="00000000" w:rsidR="00000000" w:rsidRPr="00000000">
              <w:rPr>
                <w:sz w:val="18"/>
                <w:szCs w:val="18"/>
                <w:rtl w:val="0"/>
              </w:rPr>
              <w:t xml:space="preserve">Test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69">
            <w:pPr>
              <w:rPr>
                <w:sz w:val="18"/>
                <w:szCs w:val="18"/>
              </w:rPr>
            </w:pPr>
            <w:r w:rsidDel="00000000" w:rsidR="00000000" w:rsidRPr="00000000">
              <w:rPr>
                <w:sz w:val="18"/>
                <w:szCs w:val="18"/>
                <w:rtl w:val="0"/>
              </w:rPr>
              <w:t xml:space="preserve">Straw-in-the-wind test (supportive but not sufficient alone)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6A">
            <w:pPr>
              <w:rPr>
                <w:sz w:val="18"/>
                <w:szCs w:val="18"/>
              </w:rPr>
            </w:pPr>
            <w:r w:rsidDel="00000000" w:rsidR="00000000" w:rsidRPr="00000000">
              <w:rPr>
                <w:sz w:val="18"/>
                <w:szCs w:val="18"/>
                <w:rtl w:val="0"/>
              </w:rPr>
              <w:t xml:space="preserve">Required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6B">
            <w:pPr>
              <w:rPr>
                <w:sz w:val="18"/>
                <w:szCs w:val="18"/>
              </w:rPr>
            </w:pPr>
            <w:r w:rsidDel="00000000" w:rsidR="00000000" w:rsidRPr="00000000">
              <w:rPr>
                <w:sz w:val="18"/>
                <w:szCs w:val="18"/>
                <w:rtl w:val="0"/>
              </w:rPr>
              <w:t xml:space="preserve">Change is significant (redefines authority), swift (compressed window), encompassing (reshapes adjacent institutions)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6C">
            <w:pPr>
              <w:rPr>
                <w:sz w:val="18"/>
                <w:szCs w:val="18"/>
              </w:rPr>
            </w:pPr>
            <w:r w:rsidDel="00000000" w:rsidR="00000000" w:rsidRPr="00000000">
              <w:rPr>
                <w:sz w:val="18"/>
                <w:szCs w:val="18"/>
                <w:rtl w:val="0"/>
              </w:rPr>
              <w:t xml:space="preserve">Empirical Support from Pucallpazo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6D">
            <w:pPr>
              <w:rPr>
                <w:sz w:val="18"/>
                <w:szCs w:val="18"/>
              </w:rPr>
            </w:pPr>
            <w:r w:rsidDel="00000000" w:rsidR="00000000" w:rsidRPr="00000000">
              <w:rPr>
                <w:sz w:val="18"/>
                <w:szCs w:val="18"/>
                <w:rtl w:val="0"/>
              </w:rPr>
              <w:t xml:space="preserve">(a) </w:t>
            </w:r>
            <w:r w:rsidDel="00000000" w:rsidR="00000000" w:rsidRPr="00000000">
              <w:rPr>
                <w:sz w:val="18"/>
                <w:szCs w:val="18"/>
                <w:rtl w:val="0"/>
              </w:rPr>
              <w:t xml:space="preserve">Significant: Ucayali replaced Loreto’s authority over Pucallpa. </w:t>
            </w:r>
          </w:p>
          <w:p w:rsidR="00000000" w:rsidDel="00000000" w:rsidP="00000000" w:rsidRDefault="00000000" w:rsidRPr="00000000" w14:paraId="0000016E">
            <w:pPr>
              <w:rPr>
                <w:sz w:val="18"/>
                <w:szCs w:val="18"/>
              </w:rPr>
            </w:pPr>
            <w:r w:rsidDel="00000000" w:rsidR="00000000" w:rsidRPr="00000000">
              <w:rPr>
                <w:sz w:val="18"/>
                <w:szCs w:val="18"/>
                <w:rtl w:val="0"/>
              </w:rPr>
              <w:t xml:space="preserve">(b) Swift: From first strike (Oct 1978) to legal creation (June 1980)—institutionalized by 1983 referendum. </w:t>
            </w:r>
          </w:p>
          <w:p w:rsidR="00000000" w:rsidDel="00000000" w:rsidP="00000000" w:rsidRDefault="00000000" w:rsidRPr="00000000" w14:paraId="0000016F">
            <w:pPr>
              <w:rPr>
                <w:sz w:val="18"/>
                <w:szCs w:val="18"/>
              </w:rPr>
            </w:pPr>
            <w:r w:rsidDel="00000000" w:rsidR="00000000" w:rsidRPr="00000000">
              <w:rPr>
                <w:sz w:val="18"/>
                <w:szCs w:val="18"/>
                <w:rtl w:val="0"/>
              </w:rPr>
              <w:t xml:space="preserve">(c) Encompassing: New university (1979), IPSS hospital, four provinces by 1982 (Laws 22804, 23099, 23416), congressional representation, and fiscal autonomy. This was replacement—not layering or conversion (Vivanco &amp; Benzaquén, 1997; Rengifo, 2020).</w:t>
            </w:r>
            <w:r w:rsidDel="00000000" w:rsidR="00000000" w:rsidRPr="00000000">
              <w:rPr>
                <w:rtl w:val="0"/>
              </w:rPr>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72">
      <w:pPr>
        <w:pStyle w:val="Heading4"/>
        <w:keepNext w:val="1"/>
        <w:keepLines w:val="1"/>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60"/>
        </w:tabs>
        <w:spacing w:after="40" w:before="1" w:line="240" w:lineRule="auto"/>
        <w:ind w:left="0" w:right="1140" w:firstLine="0"/>
        <w:jc w:val="left"/>
        <w:rPr>
          <w:sz w:val="24"/>
          <w:szCs w:val="24"/>
        </w:rPr>
      </w:pPr>
      <w:bookmarkStart w:colFirst="0" w:colLast="0" w:name="_nmttwbmohzly" w:id="28"/>
      <w:bookmarkEnd w:id="28"/>
      <w:r w:rsidDel="00000000" w:rsidR="00000000" w:rsidRPr="00000000">
        <w:rPr>
          <w:rtl w:val="0"/>
        </w:rPr>
        <w:t xml:space="preserve">Counterfactual Plausibility: Contingency, Not Inevitability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For Capoccia and Kelemen (2007), a critical juncture is not simply a moment of change, but a window of heightened contingency in which multiple institutional futures were plausible. The observed outcome must be shown—through counterfactual reasoning—not to have been overdetermined by structure, elite design, or historical necessity, but the result of choices under uncertainty.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In the case of the Pucallpazo, the creation of the Department of Ucayali was not inevitable. At least three alternative institutional trajectories were viable, and the outcome depended on actor choices that, in other circumstances, could have led elsewhere.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78">
      <w:pPr>
        <w:pStyle w:val="Heading5"/>
        <w:numPr>
          <w:ilvl w:val="2"/>
          <w:numId w:val="10"/>
        </w:numPr>
        <w:tabs>
          <w:tab w:val="left" w:leader="none" w:pos="860"/>
        </w:tabs>
        <w:spacing w:before="1" w:lineRule="auto"/>
        <w:ind w:left="964" w:right="1140" w:hanging="822"/>
      </w:pPr>
      <w:bookmarkStart w:colFirst="0" w:colLast="0" w:name="_8gva5gjy0pvb" w:id="29"/>
      <w:bookmarkEnd w:id="29"/>
      <w:r w:rsidDel="00000000" w:rsidR="00000000" w:rsidRPr="00000000">
        <w:rPr>
          <w:rtl w:val="0"/>
        </w:rPr>
        <w:t xml:space="preserve">Alternative Path 1: Repression and Demobilization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The military regime had a clear precedent for repression: in 1974, teacher mobilizations were met with arrests and accusations of terrorism. Had the state chosen a similar path in 1978—deploying force rather than negotiation—the Pucallpazo could have been crushed before it gained momentum. Julio Flores recalls that leaders feared prosecution in Iquitos and sought protection from the Church and business elites precisely because repression remained a live option (interview, October 18, 2022). The state’s decision not to repress—based on its assessment that Pucallpa “would not retreat” (Tapuya Huaman, 2024)—was a contingent, strategic choice, not structural inevitability.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7C">
      <w:pPr>
        <w:pStyle w:val="Heading5"/>
        <w:keepNext w:val="1"/>
        <w:keepLines w:val="1"/>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860"/>
        </w:tabs>
        <w:spacing w:after="40" w:before="1" w:line="240" w:lineRule="auto"/>
        <w:ind w:left="964" w:right="1140" w:hanging="822"/>
        <w:jc w:val="left"/>
      </w:pPr>
      <w:bookmarkStart w:colFirst="0" w:colLast="0" w:name="_glycet579kwa" w:id="30"/>
      <w:bookmarkEnd w:id="30"/>
      <w:r w:rsidDel="00000000" w:rsidR="00000000" w:rsidRPr="00000000">
        <w:rPr>
          <w:sz w:val="24"/>
          <w:szCs w:val="24"/>
          <w:rtl w:val="0"/>
        </w:rPr>
        <w:t xml:space="preserve">Alternative Path 2: Co-optation Without Institutional Change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The state had already perfected the art of symbolic concessions. The 1977 cheque of 45 million soles—delivered but never implemented—was a classic tactic of dilatory co-optation. After the 1978 strike, the government could have offered CODECOP as a permanent talking shop, as it had done with FIDUP in 1975, without ceding territorial authority. Indeed, CODECOP’s limited powers initially suggested this path. But the coalition rejected technocratic containment, demanding departmental creation as early as 1974. The state’s ultimate concession—legalizing Ucayali—was a response to sustained, non-negotiable pressure, not a preordained reform.</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80">
      <w:pPr>
        <w:pStyle w:val="Heading5"/>
        <w:keepNext w:val="1"/>
        <w:keepLines w:val="1"/>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860"/>
        </w:tabs>
        <w:spacing w:after="40" w:before="1" w:line="240" w:lineRule="auto"/>
        <w:ind w:left="964" w:right="1140" w:hanging="822"/>
        <w:jc w:val="left"/>
      </w:pPr>
      <w:bookmarkStart w:colFirst="0" w:colLast="0" w:name="_5fvzbkt0zrcp" w:id="31"/>
      <w:bookmarkEnd w:id="31"/>
      <w:r w:rsidDel="00000000" w:rsidR="00000000" w:rsidRPr="00000000">
        <w:rPr>
          <w:sz w:val="24"/>
          <w:szCs w:val="24"/>
          <w:rtl w:val="0"/>
        </w:rPr>
        <w:t xml:space="preserve">Alternative Path 3: Reversal and Reintegration into Loreto</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Even after the 1980 decree, the outcome remained fragile. In 1981, Contamana’s secessionist vote (63.7% for return to Loreto) gave the central government a legitimate pretext to dissolve the new department. The 1981 Congressional decree (DL 23331) temporarily returned Ucayali province to Loreto, signaling that the military’s decree was reversible under civilian rule. Yet Pucallpa responded with a Third Pucallpazo—a December 1981 strike that paralyzed the city during the holidays—and forced Belaúnde to call a binding referendum. Even then, the 1984 Senate decision to archive the final ratification law left the department in legal limbo. That Ucayali endured—despite no full legal closure—demonstrates that its survival depended on ongoing mobilization, not institutional lock-in.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84">
      <w:pPr>
        <w:pStyle w:val="Heading5"/>
        <w:keepNext w:val="1"/>
        <w:keepLines w:val="1"/>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860"/>
        </w:tabs>
        <w:spacing w:after="40" w:before="1" w:line="240" w:lineRule="auto"/>
        <w:ind w:left="964" w:right="1140" w:hanging="822"/>
        <w:jc w:val="left"/>
      </w:pPr>
      <w:bookmarkStart w:colFirst="0" w:colLast="0" w:name="_ovbn68gfylg" w:id="32"/>
      <w:bookmarkEnd w:id="32"/>
      <w:r w:rsidDel="00000000" w:rsidR="00000000" w:rsidRPr="00000000">
        <w:rPr>
          <w:sz w:val="24"/>
          <w:szCs w:val="24"/>
          <w:rtl w:val="0"/>
        </w:rPr>
        <w:t xml:space="preserve">The Role of Actor Choices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These alternatives were not theoretical—they hinged on real choices: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Belaúnde’s decision to uphold the military’s decree (despite no campaign promise to do so),</w:t>
      </w:r>
    </w:p>
    <w:p w:rsidR="00000000" w:rsidDel="00000000" w:rsidP="00000000" w:rsidRDefault="00000000" w:rsidRPr="00000000" w14:paraId="0000018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The coalition’s refusal to accept CODECOP as sufficient,</w:t>
      </w:r>
    </w:p>
    <w:p w:rsidR="00000000" w:rsidDel="00000000" w:rsidP="00000000" w:rsidRDefault="00000000" w:rsidRPr="00000000" w14:paraId="0000018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12" w:lineRule="auto"/>
        <w:ind w:left="720" w:right="1140" w:hanging="360"/>
        <w:jc w:val="both"/>
        <w:rPr>
          <w:sz w:val="24"/>
          <w:szCs w:val="24"/>
          <w:u w:val="none"/>
        </w:rPr>
      </w:pPr>
      <w:r w:rsidDel="00000000" w:rsidR="00000000" w:rsidRPr="00000000">
        <w:rPr>
          <w:sz w:val="24"/>
          <w:szCs w:val="24"/>
          <w:rtl w:val="0"/>
        </w:rPr>
        <w:t xml:space="preserve">The strategic timing of the 1980 Lima press conference that nationalized the demand.</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As Manuel Vásquez Valera testified: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&gt; “The decree was already on the president’s desk… but they delayed.”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&gt; (Interview, April 21, 2022)</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This delay reveals strategic uncertainty—not path dependence. Had Belaúnde yielded to Loreto’s congressional delegation, the department might have vanished.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u w:val="single"/>
        </w:rPr>
      </w:pPr>
      <w:r w:rsidDel="00000000" w:rsidR="00000000" w:rsidRPr="00000000">
        <w:rPr>
          <w:sz w:val="24"/>
          <w:szCs w:val="24"/>
          <w:u w:val="single"/>
          <w:rtl w:val="0"/>
        </w:rPr>
        <w:t xml:space="preserve">A Contingent Rupture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The Pucallpazo did not unfold in a vacuum of structure or agency. It occurred at the intersection of historical predisposition and contingent choice. The center–periphery cleavage (critical antecedent) made rupture plausible; the legitimation crisis (permissive condition) opened the window; decentralized mobilization (productive condition) seized it; and the SSE criteria confirm its institutional depth. But without the counterfactual plausibility of repression, co-optation, or reversal, we could not claim this was a critical juncture—only a deterministic outcome. The evidence shows that multiple paths were open, and the one taken was selected, not scripted.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sz w:val="24"/>
          <w:szCs w:val="24"/>
          <w:rtl w:val="0"/>
        </w:rPr>
        <w:t xml:space="preserve">Table 5. Counterfactual Plausibility: Contingency, Not Inevitability</w:t>
      </w:r>
    </w:p>
    <w:tbl>
      <w:tblPr>
        <w:tblStyle w:val="Table7"/>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5"/>
        <w:gridCol w:w="5655"/>
        <w:tblGridChange w:id="0">
          <w:tblGrid>
            <w:gridCol w:w="3105"/>
            <w:gridCol w:w="56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97">
            <w:pPr>
              <w:rPr>
                <w:sz w:val="18"/>
                <w:szCs w:val="18"/>
              </w:rPr>
            </w:pPr>
            <w:r w:rsidDel="00000000" w:rsidR="00000000" w:rsidRPr="00000000">
              <w:rPr>
                <w:sz w:val="18"/>
                <w:szCs w:val="18"/>
                <w:rtl w:val="0"/>
              </w:rPr>
              <w:t xml:space="preserve">Diagnostic 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98">
            <w:pPr>
              <w:rPr>
                <w:sz w:val="18"/>
                <w:szCs w:val="18"/>
              </w:rPr>
            </w:pPr>
            <w:r w:rsidDel="00000000" w:rsidR="00000000" w:rsidRPr="00000000">
              <w:rPr>
                <w:sz w:val="18"/>
                <w:szCs w:val="18"/>
                <w:rtl w:val="0"/>
              </w:rPr>
              <w:t xml:space="preserve">Counterfactual plausibility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99">
            <w:pPr>
              <w:rPr>
                <w:sz w:val="18"/>
                <w:szCs w:val="18"/>
              </w:rPr>
            </w:pPr>
            <w:r w:rsidDel="00000000" w:rsidR="00000000" w:rsidRPr="00000000">
              <w:rPr>
                <w:sz w:val="18"/>
                <w:szCs w:val="18"/>
                <w:rtl w:val="0"/>
              </w:rPr>
              <w:t xml:space="preserve">Theoretical 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9A">
            <w:pPr>
              <w:rPr>
                <w:sz w:val="18"/>
                <w:szCs w:val="18"/>
              </w:rPr>
            </w:pPr>
            <w:r w:rsidDel="00000000" w:rsidR="00000000" w:rsidRPr="00000000">
              <w:rPr>
                <w:sz w:val="18"/>
                <w:szCs w:val="18"/>
                <w:rtl w:val="0"/>
              </w:rPr>
              <w:t xml:space="preserve">Capoccia &amp; Kelemen (2007)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9B">
            <w:pPr>
              <w:rPr>
                <w:sz w:val="18"/>
                <w:szCs w:val="18"/>
              </w:rPr>
            </w:pPr>
            <w:r w:rsidDel="00000000" w:rsidR="00000000" w:rsidRPr="00000000">
              <w:rPr>
                <w:sz w:val="18"/>
                <w:szCs w:val="18"/>
                <w:rtl w:val="0"/>
              </w:rPr>
              <w:t xml:space="preserve">Test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9C">
            <w:pPr>
              <w:rPr>
                <w:sz w:val="18"/>
                <w:szCs w:val="18"/>
              </w:rPr>
            </w:pPr>
            <w:r w:rsidDel="00000000" w:rsidR="00000000" w:rsidRPr="00000000">
              <w:rPr>
                <w:sz w:val="18"/>
                <w:szCs w:val="18"/>
                <w:rtl w:val="0"/>
              </w:rPr>
              <w:t xml:space="preserve">Doubly-decisive test (confirms contingency and eliminates determinism)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9D">
            <w:pPr>
              <w:rPr>
                <w:sz w:val="18"/>
                <w:szCs w:val="18"/>
              </w:rPr>
            </w:pPr>
            <w:r w:rsidDel="00000000" w:rsidR="00000000" w:rsidRPr="00000000">
              <w:rPr>
                <w:sz w:val="18"/>
                <w:szCs w:val="18"/>
                <w:rtl w:val="0"/>
              </w:rPr>
              <w:t xml:space="preserve">Required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9E">
            <w:pPr>
              <w:rPr>
                <w:sz w:val="18"/>
                <w:szCs w:val="18"/>
              </w:rPr>
            </w:pPr>
            <w:r w:rsidDel="00000000" w:rsidR="00000000" w:rsidRPr="00000000">
              <w:rPr>
                <w:sz w:val="18"/>
                <w:szCs w:val="18"/>
                <w:rtl w:val="0"/>
              </w:rPr>
              <w:t xml:space="preserve">Multiple feasible alternatives existed; outcome was not structurally predetermined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9F">
            <w:pPr>
              <w:rPr>
                <w:sz w:val="18"/>
                <w:szCs w:val="18"/>
              </w:rPr>
            </w:pPr>
            <w:r w:rsidDel="00000000" w:rsidR="00000000" w:rsidRPr="00000000">
              <w:rPr>
                <w:sz w:val="18"/>
                <w:szCs w:val="18"/>
                <w:rtl w:val="0"/>
              </w:rPr>
              <w:t xml:space="preserve">Empirical Support from Pucallpazo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tcPr>
          <w:p w:rsidR="00000000" w:rsidDel="00000000" w:rsidP="00000000" w:rsidRDefault="00000000" w:rsidRPr="00000000" w14:paraId="000001A0">
            <w:pPr>
              <w:rPr>
                <w:sz w:val="18"/>
                <w:szCs w:val="18"/>
              </w:rPr>
            </w:pPr>
            <w:r w:rsidDel="00000000" w:rsidR="00000000" w:rsidRPr="00000000">
              <w:rPr>
                <w:sz w:val="18"/>
                <w:szCs w:val="18"/>
                <w:rtl w:val="0"/>
              </w:rPr>
              <w:t xml:space="preserve">Three plausible alternatives existed: </w:t>
            </w:r>
          </w:p>
          <w:p w:rsidR="00000000" w:rsidDel="00000000" w:rsidP="00000000" w:rsidRDefault="00000000" w:rsidRPr="00000000" w14:paraId="000001A1">
            <w:pPr>
              <w:rPr>
                <w:sz w:val="18"/>
                <w:szCs w:val="18"/>
              </w:rPr>
            </w:pPr>
            <w:r w:rsidDel="00000000" w:rsidR="00000000" w:rsidRPr="00000000">
              <w:rPr>
                <w:sz w:val="18"/>
                <w:szCs w:val="18"/>
                <w:rtl w:val="0"/>
              </w:rPr>
              <w:t xml:space="preserve">(a) Repression (as in 1974 teacher crackdown), </w:t>
            </w:r>
          </w:p>
          <w:p w:rsidR="00000000" w:rsidDel="00000000" w:rsidP="00000000" w:rsidRDefault="00000000" w:rsidRPr="00000000" w14:paraId="000001A2">
            <w:pPr>
              <w:rPr>
                <w:sz w:val="18"/>
                <w:szCs w:val="18"/>
              </w:rPr>
            </w:pPr>
            <w:r w:rsidDel="00000000" w:rsidR="00000000" w:rsidRPr="00000000">
              <w:rPr>
                <w:sz w:val="18"/>
                <w:szCs w:val="18"/>
                <w:rtl w:val="0"/>
              </w:rPr>
              <w:t xml:space="preserve">(b) Co-optation without autonomy (1977 cheque with no follow-through), </w:t>
            </w:r>
          </w:p>
          <w:p w:rsidR="00000000" w:rsidDel="00000000" w:rsidP="00000000" w:rsidRDefault="00000000" w:rsidRPr="00000000" w14:paraId="000001A3">
            <w:pPr>
              <w:rPr>
                <w:sz w:val="18"/>
                <w:szCs w:val="18"/>
              </w:rPr>
            </w:pPr>
            <w:r w:rsidDel="00000000" w:rsidR="00000000" w:rsidRPr="00000000">
              <w:rPr>
                <w:sz w:val="18"/>
                <w:szCs w:val="18"/>
                <w:rtl w:val="0"/>
              </w:rPr>
              <w:t xml:space="preserve">(c) Reversal (1981 Congress returning Ucayali province to Loreto). Belaúnde’s 1980 ratification and 1982 institutionalization were contingent choices. The 1983 referendum (3,097 vs. 2,829) showed narrow legitimacy—and the 1984 Senate archiving proved fragility. Rupture was not overdetermined (M. Vásquez Valera, interview, 2022).</w:t>
            </w:r>
            <w:r w:rsidDel="00000000" w:rsidR="00000000" w:rsidRPr="00000000">
              <w:rPr>
                <w:rtl w:val="0"/>
              </w:rPr>
            </w:r>
          </w:p>
        </w:tc>
      </w:tr>
    </w:tbl>
    <w:p w:rsidR="00000000" w:rsidDel="00000000" w:rsidP="00000000" w:rsidRDefault="00000000" w:rsidRPr="00000000" w14:paraId="000001A4">
      <w:pPr>
        <w:spacing w:line="312" w:lineRule="auto"/>
        <w:ind w:right="1140"/>
        <w:jc w:val="both"/>
        <w:rPr>
          <w:sz w:val="24"/>
          <w:szCs w:val="24"/>
        </w:rPr>
      </w:pPr>
      <w:r w:rsidDel="00000000" w:rsidR="00000000" w:rsidRPr="00000000">
        <w:rPr>
          <w:rtl w:val="0"/>
        </w:rPr>
      </w:r>
    </w:p>
    <w:p w:rsidR="00000000" w:rsidDel="00000000" w:rsidP="00000000" w:rsidRDefault="00000000" w:rsidRPr="00000000" w14:paraId="000001A5">
      <w:pPr>
        <w:spacing w:line="312" w:lineRule="auto"/>
        <w:ind w:right="1140"/>
        <w:jc w:val="both"/>
        <w:rPr>
          <w:sz w:val="24"/>
          <w:szCs w:val="24"/>
        </w:rPr>
      </w:pPr>
      <w:r w:rsidDel="00000000" w:rsidR="00000000" w:rsidRPr="00000000">
        <w:rPr>
          <w:rtl w:val="0"/>
        </w:rPr>
      </w:r>
    </w:p>
    <w:p w:rsidR="00000000" w:rsidDel="00000000" w:rsidP="00000000" w:rsidRDefault="00000000" w:rsidRPr="00000000" w14:paraId="000001A6">
      <w:pPr>
        <w:spacing w:line="312" w:lineRule="auto"/>
        <w:ind w:right="1140"/>
        <w:jc w:val="both"/>
        <w:rPr>
          <w:sz w:val="24"/>
          <w:szCs w:val="24"/>
        </w:rPr>
      </w:pPr>
      <w:r w:rsidDel="00000000" w:rsidR="00000000" w:rsidRPr="00000000">
        <w:rPr>
          <w:rtl w:val="0"/>
        </w:rPr>
      </w:r>
    </w:p>
    <w:p w:rsidR="00000000" w:rsidDel="00000000" w:rsidP="00000000" w:rsidRDefault="00000000" w:rsidRPr="00000000" w14:paraId="000001A7">
      <w:pPr>
        <w:spacing w:line="312" w:lineRule="auto"/>
        <w:ind w:right="1140"/>
        <w:jc w:val="both"/>
        <w:rPr>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140" w:firstLine="0"/>
        <w:jc w:val="both"/>
        <w:rPr>
          <w:sz w:val="24"/>
          <w:szCs w:val="24"/>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480" w:lineRule="auto"/>
        <w:ind w:left="0" w:right="1140" w:firstLine="0"/>
        <w:jc w:val="both"/>
        <w:rPr>
          <w:sz w:val="24"/>
          <w:szCs w:val="24"/>
        </w:rPr>
      </w:pPr>
      <w:r w:rsidDel="00000000" w:rsidR="00000000" w:rsidRPr="00000000">
        <w:rPr>
          <w:rtl w:val="0"/>
        </w:rPr>
      </w:r>
    </w:p>
    <w:sectPr>
      <w:type w:val="nextPage"/>
      <w:pgSz w:h="16840" w:w="11910" w:orient="portrait"/>
      <w:pgMar w:bottom="1040" w:top="1360" w:left="1275" w:right="708" w:header="0" w:footer="84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2878595</wp:posOffset>
              </wp:positionH>
              <wp:positionV relativeFrom="paragraph">
                <wp:posOffset>10011094</wp:posOffset>
              </wp:positionV>
              <wp:extent cx="184150" cy="226695"/>
              <wp:effectExtent b="0" l="0" r="0" t="0"/>
              <wp:wrapNone/>
              <wp:docPr id="1" name=""/>
              <a:graphic>
                <a:graphicData uri="http://schemas.microsoft.com/office/word/2010/wordprocessingShape">
                  <wps:wsp>
                    <wps:cNvSpPr/>
                    <wps:cNvPr id="2" name="Shape 2"/>
                    <wps:spPr>
                      <a:xfrm>
                        <a:off x="5258688" y="3671415"/>
                        <a:ext cx="174625" cy="217170"/>
                      </a:xfrm>
                      <a:prstGeom prst="rect">
                        <a:avLst/>
                      </a:prstGeom>
                      <a:noFill/>
                      <a:ln>
                        <a:noFill/>
                      </a:ln>
                    </wps:spPr>
                    <wps:txbx>
                      <w:txbxContent>
                        <w:p w:rsidR="00000000" w:rsidDel="00000000" w:rsidP="00000000" w:rsidRDefault="00000000" w:rsidRPr="00000000">
                          <w:pPr>
                            <w:spacing w:after="0" w:before="20.999999046325684"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2878595</wp:posOffset>
              </wp:positionH>
              <wp:positionV relativeFrom="paragraph">
                <wp:posOffset>10011094</wp:posOffset>
              </wp:positionV>
              <wp:extent cx="184150" cy="22669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84150" cy="226695"/>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9">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term </w:t>
      </w:r>
      <w:r w:rsidDel="00000000" w:rsidR="00000000" w:rsidRPr="00000000">
        <w:rPr>
          <w:sz w:val="20"/>
          <w:szCs w:val="20"/>
          <w:rtl w:val="0"/>
        </w:rPr>
        <w:t xml:space="preserve">sobrecanon</w:t>
      </w:r>
      <w:r w:rsidDel="00000000" w:rsidR="00000000" w:rsidRPr="00000000">
        <w:rPr>
          <w:sz w:val="20"/>
          <w:szCs w:val="20"/>
          <w:rtl w:val="0"/>
        </w:rPr>
        <w:t xml:space="preserve"> refers to a supplementary revenue-sharing mechanism through which Peruvian subnational governments receive an additional share of income derived directly from natural resource extraction, beyond the standard “canon” based on corporate tax proceeds. It functions as a compensatory fiscal transfer for jurisdictions where extraction occurs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615" w:hanging="474"/>
      </w:pPr>
      <w:rPr>
        <w:rFonts w:ascii="Times New Roman" w:cs="Times New Roman" w:eastAsia="Times New Roman" w:hAnsi="Times New Roman"/>
        <w:b w:val="1"/>
        <w:bCs w:val="1"/>
        <w:i w:val="0"/>
        <w:iCs w:val="0"/>
        <w:sz w:val="28"/>
        <w:szCs w:val="28"/>
      </w:rPr>
    </w:lvl>
    <w:lvl w:ilvl="1">
      <w:start w:val="1"/>
      <w:numFmt w:val="decimal"/>
      <w:lvlText w:val="%1.%2"/>
      <w:lvlJc w:val="left"/>
      <w:pPr>
        <w:ind w:left="860" w:hanging="719"/>
      </w:pPr>
      <w:rPr>
        <w:rFonts w:ascii="Times New Roman" w:cs="Times New Roman" w:eastAsia="Times New Roman" w:hAnsi="Times New Roman"/>
        <w:b w:val="1"/>
        <w:bCs w:val="1"/>
        <w:i w:val="0"/>
        <w:iCs w:val="0"/>
        <w:sz w:val="28"/>
        <w:szCs w:val="28"/>
      </w:rPr>
    </w:lvl>
    <w:lvl w:ilvl="2">
      <w:start w:val="1"/>
      <w:numFmt w:val="decimal"/>
      <w:lvlText w:val="%1.%2.%3"/>
      <w:lvlJc w:val="left"/>
      <w:pPr>
        <w:ind w:left="964" w:hanging="822"/>
      </w:pPr>
      <w:rPr>
        <w:rFonts w:ascii="Times New Roman" w:cs="Times New Roman" w:eastAsia="Times New Roman" w:hAnsi="Times New Roman"/>
        <w:b w:val="1"/>
        <w:bCs w:val="1"/>
        <w:i w:val="0"/>
        <w:iCs w:val="0"/>
        <w:sz w:val="24"/>
        <w:szCs w:val="24"/>
      </w:rPr>
    </w:lvl>
    <w:lvl w:ilvl="3">
      <w:start w:val="0"/>
      <w:numFmt w:val="bullet"/>
      <w:lvlText w:val="•"/>
      <w:lvlJc w:val="left"/>
      <w:pPr>
        <w:ind w:left="727" w:hanging="235"/>
      </w:pPr>
      <w:rPr>
        <w:rFonts w:ascii="Times New Roman" w:cs="Times New Roman" w:eastAsia="Times New Roman" w:hAnsi="Times New Roman"/>
        <w:b w:val="0"/>
        <w:bCs w:val="0"/>
        <w:i w:val="0"/>
        <w:iCs w:val="0"/>
        <w:sz w:val="24"/>
        <w:szCs w:val="24"/>
      </w:rPr>
    </w:lvl>
    <w:lvl w:ilvl="4">
      <w:start w:val="0"/>
      <w:numFmt w:val="bullet"/>
      <w:lvlText w:val="•"/>
      <w:lvlJc w:val="left"/>
      <w:pPr>
        <w:ind w:left="2240" w:hanging="235"/>
      </w:pPr>
      <w:rPr/>
    </w:lvl>
    <w:lvl w:ilvl="5">
      <w:start w:val="0"/>
      <w:numFmt w:val="bullet"/>
      <w:lvlText w:val="•"/>
      <w:lvlJc w:val="left"/>
      <w:pPr>
        <w:ind w:left="3520" w:hanging="235"/>
      </w:pPr>
      <w:rPr/>
    </w:lvl>
    <w:lvl w:ilvl="6">
      <w:start w:val="0"/>
      <w:numFmt w:val="bullet"/>
      <w:lvlText w:val="•"/>
      <w:lvlJc w:val="left"/>
      <w:pPr>
        <w:ind w:left="4801" w:hanging="235"/>
      </w:pPr>
      <w:rPr/>
    </w:lvl>
    <w:lvl w:ilvl="7">
      <w:start w:val="0"/>
      <w:numFmt w:val="bullet"/>
      <w:lvlText w:val="•"/>
      <w:lvlJc w:val="left"/>
      <w:pPr>
        <w:ind w:left="6081" w:hanging="235"/>
      </w:pPr>
      <w:rPr/>
    </w:lvl>
    <w:lvl w:ilvl="8">
      <w:start w:val="0"/>
      <w:numFmt w:val="bullet"/>
      <w:lvlText w:val="•"/>
      <w:lvlJc w:val="left"/>
      <w:pPr>
        <w:ind w:left="7361" w:hanging="235"/>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d1d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d1d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860" w:hanging="718"/>
    </w:pPr>
    <w:rPr>
      <w:rFonts w:ascii="Times New Roman" w:cs="Times New Roman" w:eastAsia="Times New Roman" w:hAnsi="Times New Roman"/>
      <w:b w:val="1"/>
      <w:bCs w:val="1"/>
      <w:sz w:val="28"/>
      <w:szCs w:val="28"/>
    </w:rPr>
  </w:style>
  <w:style w:type="paragraph" w:styleId="Heading2">
    <w:name w:val="heading 2"/>
    <w:basedOn w:val="Normal"/>
    <w:next w:val="Normal"/>
    <w:pPr>
      <w:ind w:left="964" w:hanging="822"/>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422" w:lineRule="auto"/>
      <w:ind w:left="577" w:right="1141" w:hanging="2.0000000000000284"/>
      <w:jc w:val="center"/>
    </w:pPr>
    <w:rPr>
      <w:rFonts w:ascii="Times New Roman" w:cs="Times New Roman" w:eastAsia="Times New Roman" w:hAnsi="Times New Roman"/>
      <w:sz w:val="41"/>
      <w:szCs w:val="4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zotero.org/google-docs/?FRc0xS" TargetMode="External"/><Relationship Id="rId10" Type="http://schemas.openxmlformats.org/officeDocument/2006/relationships/footer" Target="footer1.xml"/><Relationship Id="rId13" Type="http://schemas.openxmlformats.org/officeDocument/2006/relationships/hyperlink" Target="https://www.zotero.org/google-docs/?R7MbtY" TargetMode="External"/><Relationship Id="rId12" Type="http://schemas.openxmlformats.org/officeDocument/2006/relationships/hyperlink" Target="https://www.zotero.org/google-docs/?aOOJR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zotero.org/google-docs/?ISX4mu" TargetMode="External"/><Relationship Id="rId15" Type="http://schemas.openxmlformats.org/officeDocument/2006/relationships/hyperlink" Target="https://www.zotero.org/google-docs/?By1nCF" TargetMode="External"/><Relationship Id="rId14" Type="http://schemas.openxmlformats.org/officeDocument/2006/relationships/hyperlink" Target="https://www.zotero.org/google-docs/?VLoAEM" TargetMode="External"/><Relationship Id="rId17" Type="http://schemas.openxmlformats.org/officeDocument/2006/relationships/hyperlink" Target="https://www.zotero.org/google-docs/?aHbvtm" TargetMode="External"/><Relationship Id="rId16" Type="http://schemas.openxmlformats.org/officeDocument/2006/relationships/hyperlink" Target="https://www.zotero.org/google-docs/?FDsg4u" TargetMode="External"/><Relationship Id="rId5" Type="http://schemas.openxmlformats.org/officeDocument/2006/relationships/numbering" Target="numbering.xml"/><Relationship Id="rId19" Type="http://schemas.openxmlformats.org/officeDocument/2006/relationships/hyperlink" Target="https://www.zotero.org/google-docs/?broken=yeO8Zh" TargetMode="External"/><Relationship Id="rId6" Type="http://schemas.openxmlformats.org/officeDocument/2006/relationships/styles" Target="styles.xml"/><Relationship Id="rId18" Type="http://schemas.openxmlformats.org/officeDocument/2006/relationships/hyperlink" Target="https://www.zotero.org/google-docs/?broken=Y0ilZm" TargetMode="External"/><Relationship Id="rId7" Type="http://schemas.openxmlformats.org/officeDocument/2006/relationships/hyperlink" Target="https://www.zotero.org/google-docs/?qe8Ekd" TargetMode="External"/><Relationship Id="rId8" Type="http://schemas.openxmlformats.org/officeDocument/2006/relationships/hyperlink" Target="https://www.zotero.org/google-docs/?lkIdDz"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2025-11-14T00:00:00Z</vt:lpwstr>
  </property>
  <property fmtid="{D5CDD505-2E9C-101B-9397-08002B2CF9AE}" pid="3" name="Creator">
    <vt:lpwstr>TeX</vt:lpwstr>
  </property>
  <property fmtid="{D5CDD505-2E9C-101B-9397-08002B2CF9AE}" pid="4" name="LastSaved">
    <vt:lpwstr>2025-11-14T00:00:00Z</vt:lpwstr>
  </property>
  <property fmtid="{D5CDD505-2E9C-101B-9397-08002B2CF9AE}" pid="5" name="PTEX.Fullbanner">
    <vt:lpwstr>This is pdfTeX, Version 3.141592653-2.6-1.40.28 (TeX Live 2025) kpathsea version 6.4.1</vt:lpwstr>
  </property>
  <property fmtid="{D5CDD505-2E9C-101B-9397-08002B2CF9AE}" pid="6" name="Producer">
    <vt:lpwstr>pdfTeX-1.40.28</vt:lpwstr>
  </property>
</Properties>
</file>