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jc w:val="center"/>
      </w:pPr>
      <w:r>
        <w:rPr>
          <w:rFonts w:ascii="Times New Roman" w:cs="Times New Roman" w:eastAsia="Times New Roman" w:hAnsi="Times New Roman"/>
          <w:b/>
          <w:bCs/>
          <w:sz w:val="24"/>
          <w:szCs w:val="24"/>
        </w:rPr>
        <w:t xml:space="preserve">Self-Organized Rupture: The Pucallpazo and Emergent Subnational</w:t>
      </w:r>
    </w:p>
    <w:p>
      <w:pPr>
        <w:spacing w:line="480" w:before="0" w:after="0"/>
        <w:jc w:val="center"/>
      </w:pPr>
      <w:r>
        <w:rPr>
          <w:rFonts w:ascii="Times New Roman" w:cs="Times New Roman" w:eastAsia="Times New Roman" w:hAnsi="Times New Roman"/>
          <w:b/>
          <w:bCs/>
          <w:sz w:val="24"/>
          <w:szCs w:val="24"/>
        </w:rPr>
        <w:t xml:space="preserve">Democratization in the Peruvian Amazon (1978–1981)</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Abstract</w:t>
      </w:r>
    </w:p>
    <w:p>
      <w:pPr>
        <w:spacing w:line="480" w:before="0" w:after="0"/>
        <w:ind w:firstLine="720"/>
        <w:jc w:val="left"/>
      </w:pPr>
      <w:r>
        <w:rPr>
          <w:rFonts w:ascii="Times New Roman" w:cs="Times New Roman" w:eastAsia="Times New Roman" w:hAnsi="Times New Roman"/>
          <w:sz w:val="24"/>
          <w:szCs w:val="24"/>
        </w:rPr>
        <w:t>In 1978, a mass mobilization known as the Pucallpazo erupted in Pucallpa, a provincial Amazonian city in Peru, and within three years compelled the central state to create the Department of Ucayali—the only instance in Peruvian history of a civic movement successfully founding a new department from below. This article argues that the Pucallpazo constitutes a subnational critical juncture: a discontinuous, self-organized rupture rooted in a center–periphery cleavage that produced durable institutional change. Using a two-stage diagnostic process tracing design, we first rule out gradual institutional evolution and then demonstrate that the mobilization satisfies all criteria for a critical juncture: critical antecedents, permissive and productive conditions, SSE attributes (significant, swift, and encompassing change), and counterfactual plausibility. Comparative evidence from Brazil, Bolivia, Mexico, Argentina, and Chile confirms the case's analytical distinctiveness: unlike movements that expand participation without redesigning state structures, the Pucallpazo achieved permanent territorial rescaling through emergent, leaderless, cross-sectoral coalitional action.</w:t>
      </w:r>
    </w:p>
    <w:p>
      <w:pPr>
        <w:spacing w:line="480"/>
      </w:pPr>
      <w:r>
        <w:rPr>
          <w:rFonts w:ascii="Times New Roman" w:cs="Times New Roman" w:eastAsia="Times New Roman" w:hAnsi="Times New Roman"/>
          <w:sz w:val="24"/>
          <w:szCs w:val="24"/>
        </w:rPr>
        <w:t xml:space="preserve"/>
      </w:r>
    </w:p>
    <w:p>
      <w:pPr>
        <w:spacing w:line="480" w:before="0" w:after="0"/>
        <w:ind w:firstLine="720"/>
        <w:jc w:val="left"/>
      </w:pPr>
      <w:r>
        <w:rPr>
          <w:rFonts w:ascii="Times New Roman" w:cs="Times New Roman" w:eastAsia="Times New Roman" w:hAnsi="Times New Roman"/>
          <w:i/>
          <w:iCs/>
          <w:sz w:val="24"/>
          <w:szCs w:val="24"/>
        </w:rPr>
        <w:t>Keywords: critical junctures; subnational democratization; institutional change; Peru; bottom-up mobilization.</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Introduction</w:t>
      </w:r>
    </w:p>
    <w:p>
      <w:pPr>
        <w:spacing w:line="480" w:before="0" w:after="0"/>
        <w:ind w:firstLine="720"/>
        <w:jc w:val="left"/>
      </w:pPr>
      <w:r>
        <w:rPr>
          <w:rFonts w:ascii="Times New Roman" w:cs="Times New Roman" w:eastAsia="Times New Roman" w:hAnsi="Times New Roman"/>
          <w:sz w:val="24"/>
          <w:szCs w:val="24"/>
        </w:rPr>
        <w:t>In October 1978, an indefinite general strike paralyzed Pucallpa, a rapidly growing Amazonian city that was then a province of Peru's vast Department of Loreto. What began as a protest against broken government promises escalated into a sustained civic confrontation with the central state. Within three years, it produced the legal creation of the Department of Ucayali—permanently altering Peru's territorial architecture. This remains the only instance in Peruvian history in which a city-level movement successfully founded a new department. How should such an outcome be understood in terms of institutional change?</w:t>
      </w:r>
    </w:p>
    <w:p>
      <w:pPr>
        <w:spacing w:line="480" w:before="0" w:after="0"/>
        <w:ind w:firstLine="720"/>
        <w:jc w:val="left"/>
      </w:pPr>
      <w:r>
        <w:rPr>
          <w:rFonts w:ascii="Times New Roman" w:cs="Times New Roman" w:eastAsia="Times New Roman" w:hAnsi="Times New Roman"/>
          <w:sz w:val="24"/>
          <w:szCs w:val="24"/>
        </w:rPr>
        <w:t>The question is not merely historical. The literature on democratization and institutional change in Latin America has long been anchored in top-down frameworks emphasizing elite pacts, negotiated transitions, and centrally managed reform (O'Donnell and Schmitter 1986; Huntington 1991). More recent scholarship has shifted attention to subnational and mobilization-driven processes, documenting how grassroots collective action can challenge centralized authority and expand civic participation (Tilly 2004; Abers 2000; Postero 2017; Silva 2009). Yet this literature consistently reaches a sobering conclusion: bottom-up movements rarely cross the threshold from participation expansion to durable, structural redesign of state institutions. Concessions are won, agendas shift, but the architecture of the state remains largely intact.</w:t>
      </w:r>
    </w:p>
    <w:p>
      <w:pPr>
        <w:spacing w:line="480" w:before="0" w:after="0"/>
        <w:ind w:firstLine="720"/>
        <w:jc w:val="left"/>
      </w:pPr>
      <w:r>
        <w:rPr>
          <w:rFonts w:ascii="Times New Roman" w:cs="Times New Roman" w:eastAsia="Times New Roman" w:hAnsi="Times New Roman"/>
          <w:sz w:val="24"/>
          <w:szCs w:val="24"/>
        </w:rPr>
        <w:t>The Pucallpazo crossed that threshold. This article argues that it constitutes a subnational critical juncture—a discontinuous institutional rupture generated from below, without party leadership or elite design, that permanently reconfigured Peru's political geography. This characterization matters analytically. It rules out explanations based on gradual institutional evolution (layering, conversion, drift, or displacement) and demands instead an account of how a heterogeneous, leaderless coalition operating under high uncertainty managed to self-organize and force an irreversible change in state territorial authority.</w:t>
      </w:r>
    </w:p>
    <w:p>
      <w:pPr>
        <w:spacing w:line="480" w:before="0" w:after="0"/>
        <w:ind w:firstLine="720"/>
        <w:jc w:val="left"/>
      </w:pPr>
      <w:r>
        <w:rPr>
          <w:rFonts w:ascii="Times New Roman" w:cs="Times New Roman" w:eastAsia="Times New Roman" w:hAnsi="Times New Roman"/>
          <w:sz w:val="24"/>
          <w:szCs w:val="24"/>
        </w:rPr>
        <w:t>To develop this argument, we integrate the critical juncture framework of Collier and Munck (2022) with causal refinements from Slater and Simmons (2010), Soifer (2012), Capoccia and Kelemen (2007), and Hogan (2006), and draw on Complex Adaptive Systems theory (Miller and Page 2007) to explain the emergent, non-linear character of the mobilization. Empirically, the analysis combines process tracing of archival sources and official documents with hermeneutic reconstruction of oral histories from participants across the three Pucallpazo cycles (1978, 1980, 1981). The article proceeds as follows: Section 2 develops the theoretical framework; Section 3 presents the research design; Section 4 applies the diagnostic framework to the empirical case; Section 5 situates the Pucallpazo in comparative Latin American perspective; and Section 6 draws conclusions and implications for future research.</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Theoretical Framework</w:t>
      </w:r>
    </w:p>
    <w:p>
      <w:pPr>
        <w:spacing w:line="480" w:before="0" w:after="0"/>
        <w:ind w:firstLine="720"/>
        <w:jc w:val="left"/>
      </w:pPr>
      <w:r>
        <w:rPr>
          <w:rFonts w:ascii="Times New Roman" w:cs="Times New Roman" w:eastAsia="Times New Roman" w:hAnsi="Times New Roman"/>
          <w:sz w:val="24"/>
          <w:szCs w:val="24"/>
        </w:rPr>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The Locus of Agency: From Elite Pacts to Subnational Emergence</w:t>
      </w:r>
    </w:p>
    <w:p>
      <w:pPr>
        <w:spacing w:line="480" w:before="240" w:after="0"/>
        <w:ind w:firstLine="0"/>
        <w:jc w:val="left"/>
      </w:pPr>
      <w:r>
        <w:rPr>
          <w:rFonts w:ascii="Times New Roman" w:cs="Times New Roman" w:eastAsia="Times New Roman" w:hAnsi="Times New Roman"/>
          <w:b/>
          <w:bCs/>
          <w:sz w:val="24"/>
          <w:szCs w:val="24"/>
        </w:rPr>
        <w:t xml:space="preserve">A longstanding divide in democratization theory concerns whether institutional change is driven by top-down elite strategies or bottom-up popular mobilization. Elite-centered accounts dominate much of the Latin American literature: Huntington (1991), O'Donnell and Schmitter (1986), and Mainwaring and Shugart (1997) portray democratization as typically managed by incumbent elites or structured through negotiated pacts, with institutional change coordinated from above. The bottom-up tradition, by contrast, argues that collective action from the margins of the state can force durable consequences. Tocqueville (1835) showed that civic associations and local self-governance could reshape political authority independent of elite design; Tilly (2004, 2008) deepened this insight by demonstrating how contentious collective action—strikes, protests, demonstrations—often produces unintended yet lasting institutional consequences.</w:t>
      </w:r>
    </w:p>
    <w:p>
      <w:pPr>
        <w:spacing w:line="480" w:before="240" w:after="0"/>
        <w:ind w:firstLine="0"/>
        <w:jc w:val="left"/>
      </w:pPr>
      <w:r>
        <w:rPr>
          <w:rFonts w:ascii="Times New Roman" w:cs="Times New Roman" w:eastAsia="Times New Roman" w:hAnsi="Times New Roman"/>
          <w:b/>
          <w:bCs/>
          <w:sz w:val="24"/>
          <w:szCs w:val="24"/>
        </w:rPr>
        <w:t xml:space="preserve">Yet both traditions struggle with the same analytical problem: neither adequately explains how decentralized, heterogeneous, and leaderless mobilizations—without a party, a program, or a coordinating center—can produce coherent and durable institutional redesign. To address this, we incorporate Complex Adaptive Systems (CAS) theory (Miller and Page 2007). From this perspective, subnational democratization does not require a planning vanguard. Instead, it is an emergent process: heterogeneous actors interact under high uncertainty and, through local self-organization, generate macroscopic patterns that are new and surprising even for their own protagonists. The Pucallpazo is precisely such a case—a coalition of truck drivers, teachers, journalists, and priests with divergent ideologies that produced a coherent and irreversible institutional outcome without anyone having designed it.</w:t>
      </w:r>
    </w:p>
    <w:p>
      <w:pPr>
        <w:spacing w:line="480" w:before="0" w:after="0"/>
        <w:ind w:firstLine="720"/>
        <w:jc w:val="left"/>
      </w:pPr>
      <w:r>
        <w:rPr>
          <w:rFonts w:ascii="Times New Roman" w:cs="Times New Roman" w:eastAsia="Times New Roman" w:hAnsi="Times New Roman"/>
          <w:sz w:val="24"/>
          <w:szCs w:val="24"/>
        </w:rPr>
      </w:r>
    </w:p>
    <w:p>
      <w:pPr>
        <w:spacing w:line="480" w:before="0" w:after="0"/>
        <w:ind w:firstLine="720"/>
        <w:jc w:val="left"/>
      </w:pPr>
      <w:r>
        <w:rPr>
          <w:rFonts w:ascii="Times New Roman" w:cs="Times New Roman" w:eastAsia="Times New Roman" w:hAnsi="Times New Roman"/>
          <w:sz w:val="24"/>
          <w:szCs w:val="24"/>
        </w:rPr>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Gradual versus Discontinuous Institutional Change</w:t>
      </w:r>
    </w:p>
    <w:p>
      <w:pPr>
        <w:spacing w:line="480" w:before="0" w:after="0"/>
        <w:ind w:firstLine="720"/>
        <w:jc w:val="left"/>
      </w:pPr>
      <w:r>
        <w:rPr>
          <w:rFonts w:ascii="Times New Roman" w:cs="Times New Roman" w:eastAsia="Times New Roman" w:hAnsi="Times New Roman"/>
          <w:sz w:val="24"/>
          <w:szCs w:val="24"/>
        </w:rPr>
        <w:t>Streeck and Thelen (2005) and Mahoney and Thelen (2010) established that institutions frequently evolve through endogenous incremental mechanisms: layering (adding new rules alongside old ones), conversion (redirecting existing institutions to new purposes), drift (producing new outcomes through non-adaptation), displacement (activation of dormant alternatives), and exhaustion (internal erosion). These mechanisms constitute the analytical baseline for this study: if the observed transformation can be fully explained by any of them, there is no rupture and no critical juncture.</w:t>
        <w:br/>
        <w:br/>
        <w:t>When incremental mechanisms are insufficient, we enter the domain of discontinuous change. A critical juncture is a specific form of transformative discontinuity in which the choices of political actors carry unusually high causal weight during a relatively short and historically bounded period (Collier and Munck 2022; Collier and Collier 1991). Two complementary criteria define this category. First, following Hogan (2006), a critical juncture produces change that is Significant (core authority relations are reconfigured), Swift (the transformation unfolds within a compressed temporal window), and Encompassing (it spreads across adjacent institutional arenas). Second, following Capoccia and Kelemen (2007), the episode must exhibit heightened contingency: the observed outcome must be demonstrably one among multiple plausible alternatives, not a structurally inevitable evolution. This counterfactual requirement is essential—it ensures that discontinuous change is not mistaken for accelerated gradualism.</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The Causal Architecture of a Critical Juncture</w:t>
      </w:r>
    </w:p>
    <w:p>
      <w:pPr>
        <w:spacing w:line="480" w:before="0" w:after="0"/>
        <w:ind w:firstLine="720"/>
        <w:jc w:val="left"/>
      </w:pPr>
      <w:r>
        <w:rPr>
          <w:rFonts w:ascii="Times New Roman" w:cs="Times New Roman" w:eastAsia="Times New Roman" w:hAnsi="Times New Roman"/>
          <w:sz w:val="24"/>
          <w:szCs w:val="24"/>
        </w:rPr>
        <w:t>Critical junctures do not result from a single shock but from a configurational sequence of causally distinct components (Collier and Collier 1991; Soifer 2012). We propose a three-component architecture. Critical antecedents are long-term, historically variable structural conditions that generate what Slater and Simmons (2010) call 'difference before divergence': they build the cleavage and condition how actors interpret opportunities, but do not independently trigger rupture. The permissive condition is the crisis or structural relaxation that loosens constraints on agency and opens a window of heightened contingency—necessary but insufficient for rupture (Soifer 2012). The productive condition is the contingent strategic action—decentralized mobilization, cross-sectoral coalition formation, activation of latent cleavages—that operates within the permissive window to directly generate institutional change.</w:t>
        <w:br/>
        <w:br/>
        <w:t>A critical juncture emerges only when these three components align: antecedents structure interpretation and mobilizational capacities; the permissive condition relaxes structural constraints; and the productive condition converts that window into a durable institutional reconfiguration that satisfies the SSE criteria of Hogan (2006) and the contingency test of Capoccia and Kelemen (2007). This integrated architecture is what distinguishes a genuine critical juncture from both slow-moving drift and non-transformative instability—and it is precisely this architecture that we trace in the Pucallpazo.</w:t>
      </w:r>
    </w:p>
    <w:p>
      <w:pPr>
        <w:spacing w:line="480" w:before="0" w:after="0"/>
        <w:ind w:firstLine="720"/>
        <w:jc w:val="left"/>
      </w:pPr>
      <w:r>
        <w:rPr>
          <w:rFonts w:ascii="Times New Roman" w:cs="Times New Roman" w:eastAsia="Times New Roman" w:hAnsi="Times New Roman"/>
          <w:sz w:val="24"/>
          <w:szCs w:val="24"/>
        </w:rPr>
      </w:r>
    </w:p>
    <w:p>
      <w:pPr>
        <w:spacing w:line="480" w:before="0" w:after="0"/>
        <w:ind w:firstLine="720"/>
        <w:jc w:val="left"/>
      </w:pPr>
      <w:r>
        <w:rPr>
          <w:rFonts w:ascii="Times New Roman" w:cs="Times New Roman" w:eastAsia="Times New Roman" w:hAnsi="Times New Roman"/>
          <w:sz w:val="24"/>
          <w:szCs w:val="24"/>
        </w:rPr>
      </w:r>
    </w:p>
    <w:p>
      <w:pPr>
        <w:spacing w:line="480" w:before="0" w:after="0"/>
        <w:ind w:firstLine="720"/>
        <w:jc w:val="left"/>
      </w:pPr>
      <w:r>
        <w:rPr>
          <w:rFonts w:ascii="Times New Roman" w:cs="Times New Roman" w:eastAsia="Times New Roman" w:hAnsi="Times New Roman"/>
          <w:sz w:val="24"/>
          <w:szCs w:val="24"/>
        </w:rPr>
      </w:r>
    </w:p>
    <w:p>
      <w:pPr>
        <w:spacing w:line="480" w:before="0" w:after="0"/>
        <w:ind w:firstLine="720"/>
        <w:jc w:val="left"/>
      </w:pPr>
      <w:r>
        <w:rPr>
          <w:rFonts w:ascii="Times New Roman" w:cs="Times New Roman" w:eastAsia="Times New Roman" w:hAnsi="Times New Roman"/>
          <w:sz w:val="24"/>
          <w:szCs w:val="24"/>
        </w:rPr>
      </w:r>
    </w:p>
    <w:p>
      <w:pPr>
        <w:spacing w:line="480" w:before="0" w:after="0"/>
        <w:ind w:firstLine="720"/>
        <w:jc w:val="left"/>
      </w:pPr>
      <w:r>
        <w:rPr>
          <w:rFonts w:ascii="Times New Roman" w:cs="Times New Roman" w:eastAsia="Times New Roman" w:hAnsi="Times New Roman"/>
          <w:sz w:val="24"/>
          <w:szCs w:val="24"/>
        </w:rPr>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Research Design and Methodology</w:t>
      </w:r>
    </w:p>
    <w:p>
      <w:pPr>
        <w:spacing w:line="480" w:before="0" w:after="0"/>
        <w:ind w:firstLine="720"/>
        <w:jc w:val="left"/>
      </w:pPr>
      <w:r>
        <w:rPr>
          <w:rFonts w:ascii="Times New Roman" w:cs="Times New Roman" w:eastAsia="Times New Roman" w:hAnsi="Times New Roman"/>
          <w:sz w:val="24"/>
          <w:szCs w:val="24"/>
        </w:rPr>
        <w:t>This study employs a single-case, process-tracing design to assess whether the Pucallpazo constitutes a subnational critical juncture. Single-case designs do not enable statistical generalization, but they are well suited for theory testing, causal mechanism identification, and reconstruction of contingent historical sequences—tasks essential for distinguishing gradual institutional adaptation from discontinuous rupture (George and Bennett 2005; Flyvbjerg 2006). Within historical institutionalism, process tracing is particularly effective for evaluating causal necessity, counterfactual plausibility, and bounded temporal dynamics (Capoccia and Kelemen 2007; Soifer 2012).</w:t>
        <w:br/>
        <w:br/>
        <w:t>The Pucallpazo is selected as a most-likely case for bottom-up institutional rupture in a highly centralized state. It represents the only documented instance in Peruvian history in which a subnational civic mobilization demanded and achieved the creation of a new department, combining a territorially rooted structural cleavage, sustained cross-sectoral mobilization, and a concrete institutional objective. This maximally favorable configuration makes it a critical test: if institutional rupture cannot be confirmed here, it is unlikely to occur under less propitious conditions. Importantly, this design prioritizes analytical over statistical generalizability—the goal is to clarify the scope conditions under which bottom-up mobilization can trigger institutional rupture, not to estimate its frequency.</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Two-Stage Diagnostic Procedure</w:t>
      </w:r>
    </w:p>
    <w:p>
      <w:pPr>
        <w:spacing w:line="480" w:before="0" w:after="0"/>
        <w:ind w:firstLine="720"/>
        <w:jc w:val="left"/>
      </w:pPr>
      <w:r>
        <w:rPr>
          <w:rFonts w:ascii="Times New Roman" w:cs="Times New Roman" w:eastAsia="Times New Roman" w:hAnsi="Times New Roman"/>
          <w:sz w:val="24"/>
          <w:szCs w:val="24"/>
        </w:rPr>
        <w:t>To avoid confirmation bias, the empirical analysis follows a two-stage diagnostic procedure. Stage 1 rules out gradual institutional change by evaluating whether the creation of Ucayali can be fully explained by any of the five endogenous mechanisms identified by Streeck and Thelen (2005): displacement, layering, drift, conversion, or exhaustion. These are treated as the null hypothesis—if any mechanism provides a complete explanation, rupture is ruled out. Only when all five mechanisms are demonstrably insufficient does the analysis proceed to Stage 2, which applies a conjunctural test: the episode qualifies as a critical juncture only if it jointly satisfies all five analytical criteria—critical antecedents, permissive condition, productive condition, SSE attributes, and counterfactual plausibility.</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Empirical Strategy: Process Tracing and Hermeneutic Reconstruction</w:t>
      </w:r>
    </w:p>
    <w:p>
      <w:pPr>
        <w:spacing w:line="480" w:before="0" w:after="0"/>
        <w:ind w:firstLine="720"/>
        <w:jc w:val="left"/>
      </w:pPr>
      <w:r>
        <w:rPr>
          <w:rFonts w:ascii="Times New Roman" w:cs="Times New Roman" w:eastAsia="Times New Roman" w:hAnsi="Times New Roman"/>
          <w:sz w:val="24"/>
          <w:szCs w:val="24"/>
        </w:rPr>
        <w:t>Within each stage, we apply mechanism-testing process tracing (Bennett 2010) with three types of inferential tests aligned to their logical role. Hoop tests evaluate necessary conditions: failure disqualifies the hypothesis, but passage alone does not confirm it. We apply these to the critical antecedents and the permissive condition—both must be present, but their presence does not establish causation. Smoking gun tests provide strong confirmatory leverage for the productive condition: the documented evidence of decentralized coalition formation and strategic non-violence constitutes the causal mechanism linking the permissive window to institutional change. Doubly-decisive tests—which both confirm the hypothesis and eliminate alternatives—are applied to counterfactual plausibility, where the documented existence of alternative paths (repression, co-optation, reversal) is essential for establishing contingency.</w:t>
        <w:br/>
        <w:br/>
        <w:t>Evidence is triangulated across four source types: archival sources and official documents (national and regional government records, 1977–1982); congressional debates and presidential decrees; press coverage from Lima- and Pucallpa-based newspapers; and ten semi-structured oral history interviews conducted with union leaders, local officials, journalists, and historians in 2022. Participants are identified by name with their informed consent.</w:t>
      </w:r>
    </w:p>
    <w:p>
      <w:pPr>
        <w:spacing w:line="480" w:before="0" w:after="0"/>
        <w:ind w:firstLine="720"/>
        <w:jc w:val="left"/>
      </w:pPr>
      <w:r>
        <w:rPr>
          <w:rFonts w:ascii="Times New Roman" w:cs="Times New Roman" w:eastAsia="Times New Roman" w:hAnsi="Times New Roman"/>
          <w:sz w:val="24"/>
          <w:szCs w:val="24"/>
        </w:rPr>
        <w:t>A methodological note on conflicting testimonies: rather than treating contradictions among sources as error or bias to be resolved, we interpret them hermeneutically as constitutive evidence of the mobilization's emergent and decentralized character. When Julio Flores (Sindicato de Choferes) claims the drivers initiated the coalition and Fernando Alfaro Venturo (bank workers' union) credits his sector, these competing narratives do not cancel each other out—they demonstrate that no single actor controlled the process. The absence of a shared founding myth is itself diagnostic: it is precisely what distinguishes a self-organized rupture from an elite-managed reform. Oral accounts are cross-checked against contemporaneous documents to reduce retrospective bias, and all sources are contextualized by the speaker's institutional position and historical role.</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Empirical Analysis: The Pucallpazo as Institutional Rupture</w:t>
      </w:r>
    </w:p>
    <w:p>
      <w:pPr>
        <w:spacing w:line="480" w:before="0" w:after="0"/>
        <w:ind w:firstLine="720"/>
        <w:jc w:val="left"/>
      </w:pPr>
      <w:r>
        <w:rPr>
          <w:rFonts w:ascii="Times New Roman" w:cs="Times New Roman" w:eastAsia="Times New Roman" w:hAnsi="Times New Roman"/>
          <w:sz w:val="24"/>
          <w:szCs w:val="24"/>
        </w:rPr>
        <w:t>The analysis proceeds in two stages. Stage 1 rules out gradual institutional change; Stage 2 applies the full critical juncture test. Throughout, we distinguish between slow-accumulating background conditions—the critical antecedents—and the disruptive sequence of events that constituted the juncture itself.</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Critical Antecedents: 'Difference Before Divergence' (1943–1978)</w:t>
      </w:r>
    </w:p>
    <w:p>
      <w:pPr>
        <w:spacing w:line="480" w:before="0" w:after="0"/>
        <w:ind w:firstLine="720"/>
        <w:jc w:val="left"/>
      </w:pPr>
      <w:r>
        <w:rPr>
          <w:rFonts w:ascii="Times New Roman" w:cs="Times New Roman" w:eastAsia="Times New Roman" w:hAnsi="Times New Roman"/>
          <w:sz w:val="24"/>
          <w:szCs w:val="24"/>
        </w:rPr>
        <w:t>Before the mobilizations erupted, Pucallpa had undergone transformations that generated the precise configuration Slater and Simmons (2010) identify as constitutive of a critical antecedent: a structure of accumulated grievance that made rupture possible without making it inevitable.</w:t>
      </w:r>
    </w:p>
    <w:p>
      <w:pPr>
        <w:spacing w:line="480" w:before="0" w:after="0"/>
        <w:ind w:firstLine="720"/>
        <w:jc w:val="left"/>
      </w:pPr>
      <w:r>
        <w:rPr>
          <w:rFonts w:ascii="Times New Roman" w:cs="Times New Roman" w:eastAsia="Times New Roman" w:hAnsi="Times New Roman"/>
          <w:sz w:val="24"/>
          <w:szCs w:val="24"/>
        </w:rPr>
        <w:t>The completion of the Federico Basadre Highway in 1943 ended Pucallpa's fluvial isolation and triggered demographic growth unlike any other Amazonian city. The population surged from 2,368 in 1940 to 26,391 in 1961—an annual rate of 12.2%, far exceeding Iquitos' 2.9% over the same period (INEI 1981). By 1981, Coronel Portillo province had 163,000 residents. Yet this dynamism collided with rigid institutional subordination. Administrative decisions emanated from Iquitos (400 km away), judicial appeals were routed to Huánuco (a different department), and educational policy was dictated from Huancayo. In 1981, Iquitos received 43% of Loreto's public investment; Pucallpa, only 11.7% (Vivanco Pimentel and Benzaquén Rengifo 1997, 246). Drivers' union leader Julio Flores captured the grievance plainly: 'To study, our children had to go to Huánuco, to Iquitos, to Tingo María. And why couldn't we have a university here?' (interview, October 18, 2022).</w:t>
      </w:r>
    </w:p>
    <w:p>
      <w:pPr>
        <w:spacing w:line="480" w:before="0" w:after="0"/>
        <w:ind w:firstLine="720"/>
        <w:jc w:val="left"/>
      </w:pPr>
      <w:r>
        <w:rPr>
          <w:rFonts w:ascii="Times New Roman" w:cs="Times New Roman" w:eastAsia="Times New Roman" w:hAnsi="Times New Roman"/>
          <w:sz w:val="24"/>
          <w:szCs w:val="24"/>
        </w:rPr>
        <w:t>This structural mismatch between urban dynamism and political subordination was discursively articulated through the local press. From the 1950s onward, newspapers like Rumbos Amazónicos and Sideral explicitly advocated for a Department of Ucayali, forging a regional identity that framed institutional exclusion as territorial injustice rather than administrative inconvenience (Matos Tuesta 2005). Alongside the press, a heterogeneous civic infrastructure consolidated: the Sindicato de Choferes with pragmatic-conservative leanings, SUTEP teachers and bank workers with left-wing tendencies, the Catholic Church through figures like Father Ángel Saboya, and the Septentrionista network of intellectuals and businessmen. This ideological diversity was not a weakness—it was the structural precondition for a broad coalition that no single faction could claim or control.</w:t>
      </w:r>
    </w:p>
    <w:p>
      <w:pPr>
        <w:spacing w:line="480" w:before="0" w:after="0"/>
        <w:ind w:firstLine="720"/>
        <w:jc w:val="left"/>
      </w:pPr>
      <w:r>
        <w:rPr>
          <w:rFonts w:ascii="Times New Roman" w:cs="Times New Roman" w:eastAsia="Times New Roman" w:hAnsi="Times New Roman"/>
          <w:sz w:val="24"/>
          <w:szCs w:val="24"/>
        </w:rPr>
        <w:t>At the macro-political level, the military government under Morales Bermúdez entered a legitimacy crisis from 1976 onward, exhausted by national strikes and unable to deliver on its own promises. This eroded its capacity to manage peripheral discontent through repression or co-optation—the structural relaxation that would open the permissive window.</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Critical Antecedent</w:t>
            </w:r>
          </w:p>
        </w:tc>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Historical Reference</w:t>
            </w:r>
          </w:p>
        </w:tc>
        <w:tc>
          <w:tcPr>
            <w:tcW w:type="dxa" w:w="27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Causal Role</w:t>
            </w:r>
          </w:p>
        </w:tc>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Diagnostic Test</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Demographic explosion + institutional asphyxia</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Highway (1943); Census data 1940–1981</w:t>
            </w:r>
          </w:p>
        </w:tc>
        <w:tc>
          <w:tcPr>
            <w:tcW w:type="dxa" w:w="2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Generates acute misfit between urban weight and political subordination</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Hoop test: passed</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Regionalist press (1950s–60s)</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Rumbos Amazónicos; Sideral; Matos Tuesta (2005)</w:t>
            </w:r>
          </w:p>
        </w:tc>
        <w:tc>
          <w:tcPr>
            <w:tcW w:type="dxa" w:w="2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Converts diffuse discontent into structured political narrative</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Hoop test: passed</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Heterogeneous sindicalismo (1970s)</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SUTEP; Sindicato de Choferes; FEB/STBN</w:t>
            </w:r>
          </w:p>
        </w:tc>
        <w:tc>
          <w:tcPr>
            <w:tcW w:type="dxa" w:w="2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Ensures cross-sectoral base; conditions productive conditions</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Hoop test: passed</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Church + Liberation Theology</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Father Ángel Saboya; Vicariato Apostólico</w:t>
            </w:r>
          </w:p>
        </w:tc>
        <w:tc>
          <w:tcPr>
            <w:tcW w:type="dxa" w:w="2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Provides moral legitimacy and community infrastructure</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Straw-in-the-wind: passed</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Military regime legitimacy crisis</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National strikes 1976–1977; Morales Bermúdez</w:t>
            </w:r>
          </w:p>
        </w:tc>
        <w:tc>
          <w:tcPr>
            <w:tcW w:type="dxa" w:w="2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Relaxes central state control; opens permissive window</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Smoking gun: passed</w:t>
            </w:r>
          </w:p>
        </w:tc>
      </w:tr>
    </w:tbl>
    <w:p>
      <w:pPr>
        <w:spacing w:line="480" w:before="0" w:after="0"/>
        <w:ind/>
        <w:jc w:val="left"/>
      </w:pPr>
      <w:r>
        <w:rPr>
          <w:rFonts w:ascii="Times New Roman" w:cs="Times New Roman" w:eastAsia="Times New Roman" w:hAnsi="Times New Roman"/>
          <w:i/>
          <w:iCs/>
          <w:sz w:val="20"/>
          <w:szCs w:val="20"/>
        </w:rPr>
        <w:t xml:space="preserve">Table 1. Critical Antecedents: 'Difference Before Divergence'</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r>
    </w:p>
    <w:p>
      <w:pPr>
        <w:spacing w:line="480" w:before="0" w:after="0"/>
        <w:ind w:firstLine="720"/>
        <w:jc w:val="left"/>
      </w:pPr>
      <w:r>
        <w:rPr>
          <w:rFonts w:ascii="Times New Roman" w:cs="Times New Roman" w:eastAsia="Times New Roman" w:hAnsi="Times New Roman"/>
          <w:sz w:val="24"/>
          <w:szCs w:val="24"/>
        </w:rPr>
        <w:t>Permissive Condition: The Broken Social Contract (1976–1978)</w:t>
        <w:br/>
        <w:br/>
        <w:t>The permissive condition was not a single event but a cumulative process of betrayal that collapsed the local social contract. During his November 1976 visit to Pucallpa, President Morales Bermúdez pledged road paving and petroleum royalties. The funds were delayed a year, then the projects stalled entirely. This was the third broken promise in four years—following the repression of teacher mobilizations in 1974 and the hollow creation of FIDUP in 1975. Each episode reinforced a shared narrative: the state extracts but does not invest; it promises but does not deliver. As Julio Flores recalled: 'We kept asking for basic things—roads, electricity—and they kept saying next year. But next year never came' (interview, October 18, 2022).</w:t>
        <w:br/>
        <w:br/>
        <w:t>By mid-1978, the institutional equilibrium had become politically unsustainable. Citizens no longer asked what they lacked—they demanded to know who denied it. This shift from distributive grievance to territorial sovereignty transformed a structural tension into an actionable political claim, creating the window of heightened contingency that a productive condition could seize.</w:t>
      </w:r>
    </w:p>
    <w:p>
      <w:pPr>
        <w:spacing w:line="480" w:before="0" w:after="0"/>
        <w:ind w:firstLine="720"/>
        <w:jc w:val="left"/>
      </w:pPr>
      <w:r>
        <w:rPr>
          <w:rFonts w:ascii="Times New Roman" w:cs="Times New Roman" w:eastAsia="Times New Roman" w:hAnsi="Times New Roman"/>
          <w:sz w:val="24"/>
          <w:szCs w:val="24"/>
        </w:rPr>
        <w:t>Productive Condition: Decentralized Mobilization as Causal Mechanism (1978–1981)</w:t>
        <w:br/>
        <w:br/>
        <w:t>The productive condition was not a tidal force but a specific causal mechanism: a decentralized, multi-sectoral civic mobilization that converted shared territorial injustice into a concrete institutional demand. Crucially, no single group dominated the coalition. Competing testimonies reveal the depth of this decentralization: Fernando Alfaro Venturo (bank workers' union) asserted that his sector made the first unifying call, while Julio Flores insisted that 'without the Sindicato de Choferes, there would have been no Pucallpazo' (interview, October 18, 2022). These contradictions are not noise—they are diagnostic evidence of self-organization without hierarchy.</w:t>
      </w:r>
    </w:p>
    <w:p>
      <w:pPr>
        <w:spacing w:line="480" w:before="0" w:after="0"/>
        <w:ind w:firstLine="720"/>
        <w:jc w:val="left"/>
      </w:pPr>
      <w:r>
        <w:rPr>
          <w:rFonts w:ascii="Times New Roman" w:cs="Times New Roman" w:eastAsia="Times New Roman" w:hAnsi="Times New Roman"/>
          <w:sz w:val="24"/>
          <w:szCs w:val="24"/>
        </w:rPr>
        <w:t>Faced with deep ideological tensions between anti-communist transport workers and left-wing teachers, the coalition avoided formal centralized leadership and sustained unity through informal mechanisms: community kitchens (ollas comunes), popular masses, shared radio broadcasts, and the moral authority of the Church. Julio Flores recalled: 'There were ideological disagreements—but people donated cattle and plantains for the communal kitchens. The masses and the kitchens kept the strike going without sadness' (interview, October 18, 2022). This civic infrastructure of trust enabled the movement to absorb internal conflict without fracturing—a hallmark of an emergent productive condition.</w:t>
      </w:r>
    </w:p>
    <w:p>
      <w:pPr>
        <w:spacing w:line="480" w:before="0" w:after="0"/>
        <w:ind w:firstLine="720"/>
        <w:jc w:val="left"/>
      </w:pPr>
      <w:r>
        <w:rPr>
          <w:rFonts w:ascii="Times New Roman" w:cs="Times New Roman" w:eastAsia="Times New Roman" w:hAnsi="Times New Roman"/>
          <w:sz w:val="24"/>
          <w:szCs w:val="24"/>
        </w:rPr>
        <w:t>The coalition also made a critical strategic choice: deliberate nonviolence. Leaders explicitly rejected confrontational tactics, framing their demands as territorial rights rather than revolutionary politics. Eulogio Medina Ortiz (choferes union) stated: 'The leftists wanted blood—we told them no' (interview, 2022). This choice prevented the state repression that had crushed the 1974 teacher mobilization, mobilized broad public support including the business sector and the Church, and created sustained but uncompromising pressure: a 17-day general strike in 1978, repeated in 1980. The result was three cycles of civic paralysis—without a single fatality—that the central state could neither repress nor ignore. On June 18, 1980, Decree Law 23099 officially created the Department of Ucayali.</w:t>
      </w:r>
    </w:p>
    <w:p>
      <w:pPr>
        <w:spacing w:line="480" w:before="0" w:after="0"/>
        <w:ind w:firstLine="720"/>
        <w:jc w:val="left"/>
      </w:pPr>
      <w:r>
        <w:rPr>
          <w:rFonts w:ascii="Times New Roman" w:cs="Times New Roman" w:eastAsia="Times New Roman" w:hAnsi="Times New Roman"/>
          <w:sz w:val="24"/>
          <w:szCs w:val="24"/>
        </w:rPr>
        <w:t>The juncture did not close in 1980. Under pressure from Iquitos and Contamana (which voted 63.7% to return to Loreto), the new democratic Congress issued DL 23331 in December 1981, provisionally dismembering the new department. Pucallpa responded by paralyzing the city during the year-end holidays—the Third Pucallpazo—forcing President Belaúnde to call a binding referendum. The democratic government's hesitation was not accidental: it had inherited a 'de-authorized democracy,' constrained by pacts with the armed forces that limited its capacity to reverse military decrees without opening a new conflict front.</w:t>
      </w:r>
    </w:p>
    <w:p>
      <w:pPr>
        <w:spacing w:line="480" w:before="0" w:after="0"/>
        <w:ind w:firstLine="720"/>
        <w:jc w:val="left"/>
      </w:pPr>
      <w:r>
        <w:rPr>
          <w:rFonts w:ascii="Times New Roman" w:cs="Times New Roman" w:eastAsia="Times New Roman" w:hAnsi="Times New Roman"/>
          <w:sz w:val="24"/>
          <w:szCs w:val="24"/>
        </w:rPr>
        <w:t>In 1983, Pucallpa narrowly won the referendum (3,097 vs. 2,829 votes) to maintain autonomy. The Executive created three new provinces (Atalaya, Padre Abad, Purús) to compensate the territorial structure. Nevertheless, in 1984 the Senate archived the final ratification law, leaving the department in legal limbo—a situation that survived purely through continued social mobilization, confirming that the legacy's durability depended not on institutional lock-in but on ongoing civic pressure from below.</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Stage 1: Ruling Out Gradual Institutional Change</w:t>
      </w:r>
    </w:p>
    <w:p>
      <w:pPr>
        <w:spacing w:line="480" w:before="0" w:after="0"/>
        <w:ind w:firstLine="720"/>
        <w:jc w:val="left"/>
      </w:pPr>
      <w:r>
        <w:rPr>
          <w:rFonts w:ascii="Times New Roman" w:cs="Times New Roman" w:eastAsia="Times New Roman" w:hAnsi="Times New Roman"/>
          <w:sz w:val="24"/>
          <w:szCs w:val="24"/>
        </w:rPr>
        <w:t>Table 2 demonstrates that none of the five mechanisms of gradual change can account for the creation of Ucayali. Layering is ruled out because the mobilization did not seek to add parallel institutions but to replace Loretan authority entirely through departmentalization. Conversion is ruled out because Loreto's rules were not reinterpreted—they were expelled and substituted by a new administrative, educational, and health architecture. Drift is insufficient because, while fiscal asphyxia reflected prolonged inattention, the change required a direct frontal challenge to the state, not passive neglect. Displacement is ruled out because three indefinite general strikes broke the existing order abruptly rather than through the gradual activation of alternatives. Exhaustion fails because the state had not self-undermined—it required external civic pressure to yield territorial authority.</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60"/>
        <w:gridCol w:w="1800"/>
      </w:tblGrid>
      <w:tr>
        <w:trPr>
          <w:tblHeader/>
        </w:trPr>
        <w:tc>
          <w:tcPr>
            <w:tcW w:type="dxa" w:w="1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Gradual Mechanism</w:t>
            </w:r>
          </w:p>
        </w:tc>
        <w:tc>
          <w:tcPr>
            <w:tcW w:type="dxa" w:w="2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Historical Reference</w:t>
            </w:r>
          </w:p>
        </w:tc>
        <w:tc>
          <w:tcPr>
            <w:tcW w:type="dxa" w:w="31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Assessment</w:t>
            </w:r>
          </w:p>
        </w:tc>
        <w:tc>
          <w:tcPr>
            <w:tcW w:type="dxa" w:w="1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Verdict</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Layering</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Milestone 3</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The mobilization did not seek to add parallel institutions; it demanded and achieved replacing Loretan authority through departmentalization.</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Ruled out</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Conversion</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Milestones 3, 5</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Loreto's rules were not reinterpreted—they were expelled and replaced by a new administrative, health, and educational architecture.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Ruled out</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Drift</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Antecedent 1; Milestone 1</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Though fiscal asphyxia reflected prolonged structural inattention, the change required a direct frontal challenge to the state.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Ruled out</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Displacement</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Milestones 2, 3, 4</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There was no gradual abandonment of institutional order—three indefinite general strikes abruptly broke the existing arrangement.</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Ruled out</w:t>
            </w:r>
          </w:p>
        </w:tc>
      </w:tr>
      <w:tr>
        <w:trPr>
          <w:tblHeader w:val="false"/>
        </w:trP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Exhaustion</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Milestones 1–3</w:t>
            </w:r>
          </w:p>
        </w:tc>
        <w:tc>
          <w:tcPr>
            <w:tcW w:type="dxa" w:w="3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The state had not self-undermined; it required external civic pressure to yield territorial authority.</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Ruled out</w:t>
            </w:r>
          </w:p>
        </w:tc>
      </w:tr>
    </w:tbl>
    <w:p>
      <w:pPr>
        <w:spacing w:line="480" w:before="0" w:after="0"/>
        <w:ind/>
        <w:jc w:val="left"/>
      </w:pPr>
      <w:r>
        <w:rPr>
          <w:rFonts w:ascii="Times New Roman" w:cs="Times New Roman" w:eastAsia="Times New Roman" w:hAnsi="Times New Roman"/>
          <w:i/>
          <w:iCs/>
          <w:sz w:val="20"/>
          <w:szCs w:val="20"/>
        </w:rPr>
        <w:t xml:space="preserve">Table 2. Evaluation of Gradual Institutional Change Mechanisms</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Stage 2: The Critical Juncture Test</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Macrohistorical Sequence (Collier and Munck 2022)</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Step</w:t>
            </w:r>
          </w:p>
        </w:tc>
        <w:tc>
          <w:tcPr>
            <w:tcW w:type="dxa" w:w="2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Historical Reference</w:t>
            </w:r>
          </w:p>
        </w:tc>
        <w:tc>
          <w:tcPr>
            <w:tcW w:type="dxa" w:w="51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Interpretation in the Pucallpazo</w:t>
            </w:r>
          </w:p>
        </w:tc>
      </w:tr>
      <w:tr>
        <w:trPr>
          <w:tblHeader w:val="false"/>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1. Antecedents</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Antecedents 1–5</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Rapid demographic growth against fiscal asphyxia; gradual civic articulation via press, elites, and heterogeneous unions.</w:t>
            </w:r>
          </w:p>
        </w:tc>
      </w:tr>
      <w:tr>
        <w:trPr>
          <w:tblHeader w:val="false"/>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2. Shock / Cleavage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Antecedent 6; Milestone 1</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National legitimacy crisis of the dictatorship and broken promises of the 1977 bounced check fracture the local social contract.</w:t>
            </w:r>
          </w:p>
        </w:tc>
      </w:tr>
      <w:tr>
        <w:trPr>
          <w:tblHeader w:val="false"/>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3. Critical Juncture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Milestones 2, 3</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The concentrated innovation: indefinite general strikes (1978 and 1980) force the military government to decree the new department.</w:t>
            </w:r>
          </w:p>
        </w:tc>
      </w:tr>
      <w:tr>
        <w:trPr>
          <w:tblHeader w:val="false"/>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4. Aftermath</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Antecedent 7; Milestone 4</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Reactions and counter-reactions: trapped in a 'de-authorized democracy,' the new Congress attempts to dismember Ucayali (DL 23331).</w:t>
            </w:r>
          </w:p>
        </w:tc>
      </w:tr>
      <w:tr>
        <w:trPr>
          <w:tblHeader w:val="false"/>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5. Legacy</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Milestone 5</w:t>
            </w:r>
          </w:p>
        </w:tc>
        <w:tc>
          <w:tcPr>
            <w:tcW w:type="dxa" w:w="51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Durable outcome: autonomy sustained through referendum (1983); expanded with new provinces and the university.</w:t>
            </w:r>
          </w:p>
        </w:tc>
      </w:tr>
    </w:tbl>
    <w:p>
      <w:pPr>
        <w:spacing w:line="480" w:before="0" w:after="0"/>
        <w:ind/>
        <w:jc w:val="left"/>
      </w:pPr>
      <w:r>
        <w:rPr>
          <w:rFonts w:ascii="Times New Roman" w:cs="Times New Roman" w:eastAsia="Times New Roman" w:hAnsi="Times New Roman"/>
          <w:i/>
          <w:iCs/>
          <w:sz w:val="20"/>
          <w:szCs w:val="20"/>
        </w:rPr>
        <w:t xml:space="preserve">Table 3. Five-Step Template (Collier and Munck 2022)</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SSE Attributes (Hogan 2006)</w:t>
      </w:r>
    </w:p>
    <w:p>
      <w:pPr>
        <w:spacing w:line="480" w:before="0" w:after="0"/>
        <w:ind w:firstLine="720"/>
        <w:jc w:val="left"/>
      </w:pPr>
      <w:r>
        <w:rPr>
          <w:rFonts w:ascii="Times New Roman" w:cs="Times New Roman" w:eastAsia="Times New Roman" w:hAnsi="Times New Roman"/>
          <w:sz w:val="24"/>
          <w:szCs w:val="24"/>
        </w:rPr>
        <w:t>The macrohistorical sequence (Table 3) confirms that the Pucallpazo follows the five-step template of Collier and Munck (2022): antecedents (1943–1977) structured grievance and mobilizational capacity; the broken social contract (1976–1978) constituted the shock; the two general strikes (1978, 1980) were the concentrated innovation of the juncture; the Third Pucallpazo (1981) and congressional reversal attempt were the aftermath; and the referendum victory (1983) and expanded provincial structure the durable legacy.</w:t>
        <w:br/>
        <w:br/>
        <w:t>On SSE criteria, the transformation was Significant: it replaced, not reformed, the existing arrangement—granting Pucallpa autonomous administrative status, direct congressional representation, and control over its own budget and services. As Julio Flores stated: 'Before, we didn't even decide who got a driver's license. After 1980, we decided everything' (interview, October 18, 2022).</w:t>
      </w:r>
    </w:p>
    <w:p>
      <w:pPr>
        <w:spacing w:line="480" w:before="0" w:after="0"/>
        <w:ind w:firstLine="720"/>
        <w:jc w:val="left"/>
      </w:pPr>
      <w:r>
        <w:rPr>
          <w:rFonts w:ascii="Times New Roman" w:cs="Times New Roman" w:eastAsia="Times New Roman" w:hAnsi="Times New Roman"/>
          <w:sz w:val="24"/>
          <w:szCs w:val="24"/>
        </w:rPr>
        <w:t>It was Swift: the entire sequence from first strike to referendum confirmation unfolded in under five years—a compressed window against Peru's territorial stasis since the nineteenth century.</w:t>
      </w:r>
    </w:p>
    <w:p>
      <w:pPr>
        <w:spacing w:line="480" w:before="0" w:after="0"/>
        <w:ind w:firstLine="720"/>
        <w:jc w:val="left"/>
      </w:pPr>
      <w:r>
        <w:rPr>
          <w:rFonts w:ascii="Times New Roman" w:cs="Times New Roman" w:eastAsia="Times New Roman" w:hAnsi="Times New Roman"/>
          <w:sz w:val="24"/>
          <w:szCs w:val="24"/>
        </w:rPr>
        <w:t>And it was Encompassing: the rupture cascaded across political (new department, three new provinces), educational (Universidad Nacional de Ucayali, 1979), and health domains (IPSS Hospital built in direct response to the 1978 pliego), while Ucayali gained its own congressional delegation, breaking Loreto's monopoly on Amazonian representation.</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Counterfactual Plausibility (Capoccia and Kelemen 2007)</w:t>
      </w:r>
    </w:p>
    <w:p>
      <w:pPr>
        <w:spacing w:line="480" w:before="0" w:after="0"/>
        <w:ind w:firstLine="720"/>
        <w:jc w:val="left"/>
      </w:pPr>
      <w:r>
        <w:rPr>
          <w:rFonts w:ascii="Times New Roman" w:cs="Times New Roman" w:eastAsia="Times New Roman" w:hAnsi="Times New Roman"/>
          <w:sz w:val="24"/>
          <w:szCs w:val="24"/>
        </w:rPr>
        <w:t>Three alternative paths were viable, and their closure depended on actor choices rather than structural inevitability. The state had a demonstrated capacity for repression (1974 teacher crackdown)—its decision not to deploy it in 1978 was a contingent strategic calculation based on the coalition's broad legitimacy and the regime's own weakness. The government attempted co-optation through CODECOP (1978), a consultative body with no real power; the coalition's refusal to accept this substitute forced genuine institutional concession. And even after the 1980 decree, reversal remained plausible: the Congress issued DL 23331 in 1981 dismembering the new department, and the Senate archived the final ratification law in 1984. That Ucayali survived was not structural lock-in—it was the product of a Third Pucallpazo that overwhelmed the political calculus of a government operating, as Manuel Vásquez Valera testified, under sustained uncertainty: 'The decree was already on the president's desk… but they delayed' (interview, April 21, 2022).</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Alternative Path</w:t>
            </w:r>
          </w:p>
        </w:tc>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Historical Reference</w:t>
            </w:r>
          </w:p>
        </w:tc>
        <w:tc>
          <w:tcPr>
            <w:tcW w:type="dxa" w:w="45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360"/>
              <w:ind w:firstLine="0"/>
            </w:pPr>
            <w:r>
              <w:rPr>
                <w:rFonts w:ascii="Times New Roman" w:cs="Times New Roman" w:eastAsia="Times New Roman" w:hAnsi="Times New Roman"/>
                <w:b/>
                <w:bCs/>
                <w:sz w:val="20"/>
                <w:szCs w:val="20"/>
              </w:rPr>
              <w:t xml:space="preserve">Why It Did Not Occur</w:t>
            </w:r>
          </w:p>
        </w:tc>
      </w:tr>
      <w:tr>
        <w:trPr>
          <w:tblHeader w:val="false"/>
        </w:trP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Repression and demobilization</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Antecedent 6; Milestone 2</w:t>
            </w:r>
          </w:p>
        </w:tc>
        <w:tc>
          <w:tcPr>
            <w:tcW w:type="dxa" w:w="4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The state had a clear precedent for repression (1974 teacher crackdown). The coalition's tactical adoption of strategic nonviolence—combined with the dictaorship's weakness—blocked this path. The state's decision not to repress was a contingent strategic choice.</w:t>
            </w:r>
          </w:p>
        </w:tc>
      </w:tr>
      <w:tr>
        <w:trPr>
          <w:tblHeader w:val="false"/>
        </w:trP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Co-optation without institutional change</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Milestone 2</w:t>
            </w:r>
          </w:p>
        </w:tc>
        <w:tc>
          <w:tcPr>
            <w:tcW w:type="dxa" w:w="4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The government offered CODECOP (1978) as a symbolic consultative body. The coalition rejected technocratic containment and demanded departmental creation. The concession was a response to non-negotiable sustained pressure.</w:t>
            </w:r>
          </w:p>
        </w:tc>
      </w:tr>
      <w:tr>
        <w:trPr>
          <w:tblHeader w:val="false"/>
        </w:trP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Reversal by incoming democracy</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Antecedent 7; Milestones 4, 5</w:t>
            </w:r>
          </w:p>
        </w:tc>
        <w:tc>
          <w:tcPr>
            <w:tcW w:type="dxa" w:w="4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60"/>
              <w:ind w:firstLine="0"/>
            </w:pPr>
            <w:r>
              <w:rPr>
                <w:rFonts w:ascii="Times New Roman" w:cs="Times New Roman" w:eastAsia="Times New Roman" w:hAnsi="Times New Roman"/>
                <w:b w:val="false"/>
                <w:bCs w:val="false"/>
                <w:sz w:val="20"/>
                <w:szCs w:val="20"/>
              </w:rPr>
              <w:t xml:space="preserve">The new Congress attempted dissolution in 1981 under Loretan pressure. The executive—trapped in a 'de-authorized democracy'—was constrained by pacts with the armed forces. Ucayali survived only because the Third Pucallpazo overwhelmed this political calculus.</w:t>
            </w:r>
          </w:p>
        </w:tc>
      </w:tr>
    </w:tbl>
    <w:p>
      <w:pPr>
        <w:spacing w:line="480" w:before="0" w:after="0"/>
        <w:ind/>
        <w:jc w:val="left"/>
      </w:pPr>
      <w:r>
        <w:rPr>
          <w:rFonts w:ascii="Times New Roman" w:cs="Times New Roman" w:eastAsia="Times New Roman" w:hAnsi="Times New Roman"/>
          <w:i/>
          <w:iCs/>
          <w:sz w:val="20"/>
          <w:szCs w:val="20"/>
        </w:rPr>
        <w:t xml:space="preserve">Table 4. Counterfactual Plausibility: Contingency, Not Inevitability</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Comparative Discussion: The Pucallpazo and Latin American Trajectories</w:t>
      </w:r>
    </w:p>
    <w:p>
      <w:pPr>
        <w:spacing w:line="480" w:before="0" w:after="0"/>
        <w:ind w:firstLine="720"/>
        <w:jc w:val="left"/>
      </w:pPr>
      <w:r>
        <w:rPr>
          <w:rFonts w:ascii="Times New Roman" w:cs="Times New Roman" w:eastAsia="Times New Roman" w:hAnsi="Times New Roman"/>
          <w:sz w:val="24"/>
          <w:szCs w:val="24"/>
        </w:rPr>
        <w:t>The Pucallpazo's analytical distinctiveness becomes fully visible only through comparison. When set against other documented trajectories of institutional and territorial change in Latin America, the case reveals not merely an empirical anomaly but a theoretically distinct configuration: one in which all three constitutive elements of a bottom-up critical juncture—intense territorial cleavage, total absence of elite design, and successful translation of civic pressure into permanent state rescaling—converge simultaneously. No other case in the recent regional literature presents this combination.</w:t>
      </w:r>
    </w:p>
    <w:p>
      <w:pPr>
        <w:spacing w:line="480" w:before="0" w:after="0"/>
        <w:ind w:firstLine="720"/>
        <w:jc w:val="left"/>
      </w:pPr>
      <w:r>
        <w:rPr>
          <w:rFonts w:ascii="Times New Roman" w:cs="Times New Roman" w:eastAsia="Times New Roman" w:hAnsi="Times New Roman"/>
          <w:sz w:val="24"/>
          <w:szCs w:val="24"/>
        </w:rPr>
        <w:t>The most instructive contrast is with Porto Alegre's Participatory Budget, the paradigmatic case of successful subnational democratization in Latin America (Abers 2000). Porto Alegre achieved genuine civic participation and durable institutional innovation—but through a fundamentally different logic. The process was designed and implemented from above by the Workers' Party, a progressive local elite with a clear program, institutional resources, and partisan coordination. Rules were set in advance, leadership was identifiable, and the outcome was intended. In the Pucallpazo, by contrast, local authorities were appointed by the dictatorship and entirely passive; the mobilization had no party sponsor, no prior design, and no agreed-upon blueprint. Democratization was strictly emergent—a product of self-organization, not deliberate construction. The comparison demonstrates that bottom-up and top-down subnational democratization are not points on a single continuum but qualitatively distinct causal pathways.</w:t>
      </w:r>
    </w:p>
    <w:p>
      <w:pPr>
        <w:spacing w:line="480" w:before="0" w:after="0"/>
        <w:ind w:firstLine="720"/>
        <w:jc w:val="left"/>
      </w:pPr>
      <w:r>
        <w:rPr>
          <w:rFonts w:ascii="Times New Roman" w:cs="Times New Roman" w:eastAsia="Times New Roman" w:hAnsi="Times New Roman"/>
          <w:sz w:val="24"/>
          <w:szCs w:val="24"/>
        </w:rPr>
        <w:t>The cases of Argentina's 2001 crisis (Silva 2009) and Chile's 2019 social uprising (Somma and Donoso 2022) are instructive in a different way: they demonstrate the normal ceiling of bottom-up mobilization. Both episodes generated extraordinary civic energy, forced government concessions, and altered political agendas—but neither produced a permanent reconfiguration of state authority. In Chile, the constitutional process that the uprising initiated eventually failed at referendum. Bolivia (Postero 2017) appears to go further: indigenous destituting mobilization did produce a profound transformation of the state, culminating in the 2009 plurinational constitution. But its consolidation required the rapid capture and channeling of civic energy by a hegemonic national party, the MAS. The Pucallpazo achieved what these cases could not: permanent institutional redesign without party mediation, without national reach, and without a subsequent process of elite recapture.</w:t>
      </w:r>
    </w:p>
    <w:p>
      <w:pPr>
        <w:spacing w:line="480" w:before="0" w:after="0"/>
        <w:ind w:firstLine="720"/>
        <w:jc w:val="left"/>
      </w:pPr>
      <w:r>
        <w:rPr>
          <w:rFonts w:ascii="Times New Roman" w:cs="Times New Roman" w:eastAsia="Times New Roman" w:hAnsi="Times New Roman"/>
          <w:sz w:val="24"/>
          <w:szCs w:val="24"/>
        </w:rPr>
        <w:t>A comparison with the Zapatista movement in Chiapas (Leyva Solano 2005) illuminates a further dimension: the direction of the demanded change. Both cases share emergent organization, activation of a center–periphery cleavage, and subaltern agency. But they diverge sharply in what they demanded from the state. Chiapas sought to build autonomy outside or alongside central state institutions—a withdrawal from the terms of national citizenship. The Pucallpazo moved in the opposite direction: Pucallpa demanded greater state presence on equal civic terms. Its claims—a proper department, a public university, a social security hospital—were demands for full inclusion in the national institutional order, not exit from it. This contrast reveals that the center–periphery cleavage can be activated in radically different directions, and that integrative democratization from the periphery is analytically distinct from separatist or autonomist mobilization.</w:t>
      </w:r>
    </w:p>
    <w:p>
      <w:pPr>
        <w:spacing w:line="480" w:before="0" w:after="0"/>
        <w:ind w:firstLine="720"/>
        <w:jc w:val="left"/>
      </w:pPr>
      <w:r>
        <w:rPr>
          <w:rFonts w:ascii="Times New Roman" w:cs="Times New Roman" w:eastAsia="Times New Roman" w:hAnsi="Times New Roman"/>
          <w:sz w:val="24"/>
          <w:szCs w:val="24"/>
        </w:rPr>
        <w:t>Finally, the Pucallpazo inverts the dominant theoretical expectation in the subnational politics literature. Gibson (2005) and Giraudy (2010) have shown how, in Argentina and Mexico, subnational political dynamics frequently function as mechanisms of authoritarian reproduction: local elites encapsulate their territories, resist national democratization, and perpetuate exclusionary enclaves. From this perspective, subnational politics tends toward democratic deficit, not democratic innovation. The Pucallpazo reverses this logic entirely: faced with a national authoritarian state and a centralist institutional order, the subnational periphery became the primary agent of democratization. Rather than encapsulation and resistance, Pucallpa produced expansion and integration—generating democratic pressure from the margins of the state rather than its center.</w:t>
      </w:r>
    </w:p>
    <w:p>
      <w:pPr>
        <w:spacing w:line="480" w:before="0" w:after="0"/>
        <w:ind w:firstLine="720"/>
        <w:jc w:val="left"/>
      </w:pPr>
      <w:r>
        <w:rPr>
          <w:rFonts w:ascii="Times New Roman" w:cs="Times New Roman" w:eastAsia="Times New Roman" w:hAnsi="Times New Roman"/>
          <w:sz w:val="24"/>
          <w:szCs w:val="24"/>
        </w:rPr>
        <w:t>Taken together, these comparisons confirm that the Pucallpazo is not simply another episode in Latin America's rich history of popular mobilization. It occupies a distinct theoretical position: a strictly emergent, leaderless, integrative rupture that achieved permanent state rescaling from below. Understanding its conditions—and the conditions under which such convergence fails—is precisely what the analytical framework developed in this article is designed to address.</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Conclusions</w:t>
      </w:r>
    </w:p>
    <w:p>
      <w:pPr>
        <w:spacing w:line="480" w:before="0" w:after="0"/>
        <w:ind w:firstLine="720"/>
        <w:jc w:val="left"/>
      </w:pPr>
      <w:r>
        <w:rPr>
          <w:rFonts w:ascii="Times New Roman" w:cs="Times New Roman" w:eastAsia="Times New Roman" w:hAnsi="Times New Roman"/>
          <w:sz w:val="24"/>
          <w:szCs w:val="24"/>
        </w:rPr>
        <w:t>The Pucallpazo offers a theoretically generative case precisely because it is anomalous. It achieved what the comparative literature on Latin American mobilization consistently treats as structurally improbable: permanent, leaderless, bottom-up state rescaling. Understanding how this happened—and what conditions made it possible—is the central contribution of this article. Three conclusions follow.</w:t>
      </w:r>
    </w:p>
    <w:p>
      <w:pPr>
        <w:spacing w:line="480" w:before="0" w:after="0"/>
        <w:ind w:firstLine="720"/>
        <w:jc w:val="left"/>
      </w:pPr>
      <w:r>
        <w:rPr>
          <w:rFonts w:ascii="Times New Roman" w:cs="Times New Roman" w:eastAsia="Times New Roman" w:hAnsi="Times New Roman"/>
          <w:sz w:val="24"/>
          <w:szCs w:val="24"/>
        </w:rPr>
        <w:t>First, the article extends the critical juncture framework to the subnational scale and demonstrates that it can travel. Critical junctures have typically been theorized at the national level—regime transitions, labor incorporation, constitutional moments. The Pucallpazo shows that the same configurational logic—critical antecedents structuring grievance, a permissive condition opening a window, a productive condition seizing it—operates within the territorial architecture of the state, at the level of cities and provinces rather than nations. This extension is not merely empirical: it suggests that the mechanisms producing rupture are scale-independent, and that the study of subnational politics stands to gain from engaging more directly with the historical institutionalist tradition on discontinuous change.</w:t>
      </w:r>
    </w:p>
    <w:p>
      <w:pPr>
        <w:spacing w:line="480" w:before="0" w:after="0"/>
        <w:ind w:firstLine="720"/>
        <w:jc w:val="left"/>
      </w:pPr>
      <w:r>
        <w:rPr>
          <w:rFonts w:ascii="Times New Roman" w:cs="Times New Roman" w:eastAsia="Times New Roman" w:hAnsi="Times New Roman"/>
          <w:sz w:val="24"/>
          <w:szCs w:val="24"/>
        </w:rPr>
        <w:t>Second, the article demonstrates that Complex Adaptive Systems theory and historical institutionalism are not competing frameworks but complementary ones. Historical institutionalism provides the causal architecture—the sequence of antecedents, conditions, and legacies. CAS explains the mechanism within the productive condition: why a coalition without a vanguard, a program, or a party could nonetheless produce a coherent and irreversible institutional outcome. The Pucallpazo's heterogeneous coalition—truck drivers, left-wing teachers, priests, businessmen, Freemasons—did not succeed despite its diversity but through it. Ideological plurality prevented any single faction from monopolizing the movement, forced informal solidarity mechanisms (community kitchens, shared radio, popular masses), and made the coalition resilient to both internal conflict and external co-optation. Integrating emergence into the study of critical junctures opens a productive research agenda: under what conditions does heterogeneity strengthen rather than fragment mobilization?</w:t>
      </w:r>
    </w:p>
    <w:p>
      <w:pPr>
        <w:spacing w:line="480" w:before="0" w:after="0"/>
        <w:ind w:firstLine="720"/>
        <w:jc w:val="left"/>
      </w:pPr>
      <w:r>
        <w:rPr>
          <w:rFonts w:ascii="Times New Roman" w:cs="Times New Roman" w:eastAsia="Times New Roman" w:hAnsi="Times New Roman"/>
          <w:sz w:val="24"/>
          <w:szCs w:val="24"/>
        </w:rPr>
      </w:r>
    </w:p>
    <w:p>
      <w:pPr>
        <w:spacing w:line="480" w:before="0" w:after="0"/>
        <w:ind w:firstLine="720"/>
        <w:jc w:val="left"/>
      </w:pPr>
      <w:r>
        <w:rPr>
          <w:rFonts w:ascii="Times New Roman" w:cs="Times New Roman" w:eastAsia="Times New Roman" w:hAnsi="Times New Roman"/>
          <w:sz w:val="24"/>
          <w:szCs w:val="24"/>
        </w:rPr>
      </w:r>
    </w:p>
    <w:p>
      <w:pPr>
        <w:spacing w:line="480" w:before="0" w:after="0"/>
        <w:ind w:firstLine="720"/>
        <w:jc w:val="left"/>
      </w:pPr>
      <w:r>
        <w:rPr>
          <w:rFonts w:ascii="Times New Roman" w:cs="Times New Roman" w:eastAsia="Times New Roman" w:hAnsi="Times New Roman"/>
          <w:sz w:val="24"/>
          <w:szCs w:val="24"/>
        </w:rPr>
        <w:t>Third, the case raises a question that the literature on subnational politics has not adequately addressed: what enables peripheral mobilization to achieve juridical translation—the conversion of street pressure into codified institutional change—without party mediation? In the Pucallpazo, this translation required three elements that operated in sequence: a technical coalition (the Septentrionista network) that converted territorial demands into a legally viable departmental blueprint; a strategic choice of nonviolence that preserved legitimacy and prevented repression; and a moment of state weakness that made concession less costly than continued confrontation. Identifying these conditions comparatively—across other subnational territorial claims in Latin America and beyond—is the most direct avenue for future research.</w:t>
      </w:r>
    </w:p>
    <w:p>
      <w:pPr>
        <w:spacing w:line="480" w:before="0" w:after="0"/>
        <w:ind w:firstLine="720"/>
        <w:jc w:val="left"/>
      </w:pPr>
      <w:r>
        <w:rPr>
          <w:rFonts w:ascii="Times New Roman" w:cs="Times New Roman" w:eastAsia="Times New Roman" w:hAnsi="Times New Roman"/>
          <w:sz w:val="24"/>
          <w:szCs w:val="24"/>
        </w:rPr>
        <w:t>Methodologically, Agent-Based Modeling (ABM) offers a promising complement to the process-tracing approach developed here. ABM would allow simulation of how subnational actors with simple interaction rules—mobilize if grievance exceeds threshold, defect if repression rises, coordinate if trust is sufficient—generate or fail to generate the macroscopic pattern of institutional rupture under varying structural configurations. This would enable systematic counterfactual exploration of the conditions under which peripheral contention crystallizes into new institutional arrangements, moving from the reconstruction of a single historical sequence to the identification of generative mechanisms across cases. The Pucallpazo teaches us that state redesign is often built—emergently, contingently, but durably—from the territorial fissures of power. The task ahead is to understand when those fissures open, and when they close.</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References</w:t>
      </w:r>
    </w:p>
    <w:p>
      <w:pPr>
        <w:spacing w:line="480" w:before="0" w:after="0"/>
        <w:ind/>
        <w:jc w:val="left"/>
      </w:pPr>
      <w:r>
        <w:rPr>
          <w:rFonts w:ascii="Times New Roman" w:cs="Times New Roman" w:eastAsia="Times New Roman" w:hAnsi="Times New Roman"/>
          <w:sz w:val="24"/>
          <w:szCs w:val="24"/>
        </w:rPr>
        <w:t xml:space="preserve">Abers, Rebecca N. 2000. Inventing Local Democracy: Grassroots Politics in Brazil. Boulder: Lynne Rienner.</w:t>
      </w:r>
    </w:p>
    <w:p>
      <w:pPr>
        <w:spacing w:line="480" w:before="0" w:after="0"/>
        <w:ind/>
        <w:jc w:val="left"/>
      </w:pPr>
      <w:r>
        <w:rPr>
          <w:rFonts w:ascii="Times New Roman" w:cs="Times New Roman" w:eastAsia="Times New Roman" w:hAnsi="Times New Roman"/>
          <w:sz w:val="24"/>
          <w:szCs w:val="24"/>
        </w:rPr>
        <w:t xml:space="preserve">Bennett, Andrew. 2010. 'Process Tracing and Causal Inference.' In Rethinking Social Inquiry, edited by Henry Brady and David Collier. Lanham: Rowman &amp; Littlefield.</w:t>
      </w:r>
    </w:p>
    <w:p>
      <w:pPr>
        <w:spacing w:line="480" w:before="0" w:after="0"/>
        <w:ind/>
        <w:jc w:val="left"/>
      </w:pPr>
      <w:r>
        <w:rPr>
          <w:rFonts w:ascii="Times New Roman" w:cs="Times New Roman" w:eastAsia="Times New Roman" w:hAnsi="Times New Roman"/>
          <w:sz w:val="24"/>
          <w:szCs w:val="24"/>
        </w:rPr>
        <w:t xml:space="preserve">Capoccia, Giovanni, and R. Daniel Kelemen. 2007. 'The Study of Critical Junctures: Theory, Narrative, and Counterfactuals in Historical Institutionalism.' World Politics 59 (3): 341–369.</w:t>
      </w:r>
    </w:p>
    <w:p>
      <w:pPr>
        <w:spacing w:line="480" w:before="0" w:after="0"/>
        <w:ind/>
        <w:jc w:val="left"/>
      </w:pPr>
      <w:r>
        <w:rPr>
          <w:rFonts w:ascii="Times New Roman" w:cs="Times New Roman" w:eastAsia="Times New Roman" w:hAnsi="Times New Roman"/>
          <w:sz w:val="24"/>
          <w:szCs w:val="24"/>
        </w:rPr>
      </w:r>
    </w:p>
    <w:p>
      <w:pPr>
        <w:spacing w:line="480" w:before="0" w:after="0"/>
        <w:ind/>
        <w:jc w:val="left"/>
      </w:pPr>
      <w:r>
        <w:rPr>
          <w:rFonts w:ascii="Times New Roman" w:cs="Times New Roman" w:eastAsia="Times New Roman" w:hAnsi="Times New Roman"/>
          <w:sz w:val="24"/>
          <w:szCs w:val="24"/>
        </w:rPr>
        <w:t xml:space="preserve">Collier, David, and Gerardo L. Munck, eds. 2022. Critical Junctures and Historical Legacies: Insights and Methods for Comparative Social Science. Lanham: Rowman &amp; Littlefield.</w:t>
      </w:r>
    </w:p>
    <w:p>
      <w:pPr>
        <w:spacing w:line="480" w:before="0" w:after="0"/>
        <w:ind/>
        <w:jc w:val="left"/>
      </w:pPr>
      <w:r>
        <w:rPr>
          <w:rFonts w:ascii="Times New Roman" w:cs="Times New Roman" w:eastAsia="Times New Roman" w:hAnsi="Times New Roman"/>
          <w:sz w:val="24"/>
          <w:szCs w:val="24"/>
        </w:rPr>
        <w:t xml:space="preserve">Collier, Ruth Berins, and David Collier. 1991. Shaping the Political Arena: Critical Junctures, the Labor Movement, and Regime Dynamics in Latin America. Princeton: Princeton University Press.</w:t>
      </w:r>
    </w:p>
    <w:p>
      <w:pPr>
        <w:spacing w:line="480" w:before="0" w:after="0"/>
        <w:ind/>
        <w:jc w:val="left"/>
      </w:pPr>
      <w:r>
        <w:rPr>
          <w:rFonts w:ascii="Times New Roman" w:cs="Times New Roman" w:eastAsia="Times New Roman" w:hAnsi="Times New Roman"/>
          <w:sz w:val="24"/>
          <w:szCs w:val="24"/>
        </w:rPr>
        <w:t xml:space="preserve">George, Alexander L., and Andrew Bennett. 2005. Case Studies and Theory Development in the Social Sciences. Cambridge: MIT Press.</w:t>
      </w:r>
    </w:p>
    <w:p>
      <w:pPr>
        <w:spacing w:line="480" w:before="0" w:after="0"/>
        <w:ind/>
        <w:jc w:val="left"/>
      </w:pPr>
      <w:r>
        <w:rPr>
          <w:rFonts w:ascii="Times New Roman" w:cs="Times New Roman" w:eastAsia="Times New Roman" w:hAnsi="Times New Roman"/>
          <w:sz w:val="24"/>
          <w:szCs w:val="24"/>
        </w:rPr>
        <w:t xml:space="preserve">Flyvbjerg, Bent. 2006. 'Five Misunderstandings About Case-Study Research.' Qualitative Inquiry 12 (2): 219–245.</w:t>
      </w:r>
    </w:p>
    <w:p>
      <w:pPr>
        <w:spacing w:line="480" w:before="0" w:after="0"/>
        <w:ind/>
        <w:jc w:val="left"/>
      </w:pPr>
      <w:r>
        <w:rPr>
          <w:rFonts w:ascii="Times New Roman" w:cs="Times New Roman" w:eastAsia="Times New Roman" w:hAnsi="Times New Roman"/>
          <w:sz w:val="24"/>
          <w:szCs w:val="24"/>
        </w:rPr>
        <w:t xml:space="preserve">Gibson, Edward L. 2005. 'Boundary Control: Subnational Authoritarianism in Democratic Countries.' World Politics 58 (1): 101–132.</w:t>
      </w:r>
    </w:p>
    <w:p>
      <w:pPr>
        <w:spacing w:line="480" w:before="0" w:after="0"/>
        <w:ind/>
        <w:jc w:val="left"/>
      </w:pPr>
      <w:r>
        <w:rPr>
          <w:rFonts w:ascii="Times New Roman" w:cs="Times New Roman" w:eastAsia="Times New Roman" w:hAnsi="Times New Roman"/>
          <w:sz w:val="24"/>
          <w:szCs w:val="24"/>
        </w:rPr>
        <w:t xml:space="preserve">Giraudy, Agustina. 2010. 'The Politics of Subnational Undemocratic Regime Reproduction in Argentina and Mexico.' Journal of Politics in Latin America 2 (2): 53–84.</w:t>
      </w:r>
    </w:p>
    <w:p>
      <w:pPr>
        <w:spacing w:line="480" w:before="0" w:after="0"/>
        <w:ind/>
        <w:jc w:val="left"/>
      </w:pPr>
      <w:r>
        <w:rPr>
          <w:rFonts w:ascii="Times New Roman" w:cs="Times New Roman" w:eastAsia="Times New Roman" w:hAnsi="Times New Roman"/>
          <w:sz w:val="24"/>
          <w:szCs w:val="24"/>
        </w:rPr>
        <w:t xml:space="preserve">Hogan, John. 2006. 'Remoulding the Critical Junctures Approach.' Canadian Journal of Political Science 39 (3): 657–679.</w:t>
      </w:r>
    </w:p>
    <w:p>
      <w:pPr>
        <w:spacing w:line="480" w:before="0" w:after="0"/>
        <w:ind/>
        <w:jc w:val="left"/>
      </w:pPr>
      <w:r>
        <w:rPr>
          <w:rFonts w:ascii="Times New Roman" w:cs="Times New Roman" w:eastAsia="Times New Roman" w:hAnsi="Times New Roman"/>
          <w:sz w:val="24"/>
          <w:szCs w:val="24"/>
        </w:rPr>
        <w:t xml:space="preserve">Huntington, Samuel P. 1991. The Third Wave: Democratization in the Late Twentieth Century. Norman: University of Oklahoma Press.</w:t>
      </w:r>
    </w:p>
    <w:p>
      <w:pPr>
        <w:spacing w:line="480" w:before="0" w:after="0"/>
        <w:ind/>
        <w:jc w:val="left"/>
      </w:pPr>
      <w:r>
        <w:rPr>
          <w:rFonts w:ascii="Times New Roman" w:cs="Times New Roman" w:eastAsia="Times New Roman" w:hAnsi="Times New Roman"/>
          <w:sz w:val="24"/>
          <w:szCs w:val="24"/>
        </w:rPr>
        <w:t xml:space="preserve">INEI. 1981. Censos Nacionales 1981—VIII de Población y III de Vivienda. Lima: Instituto Nacional de Estadística e Informática.</w:t>
      </w:r>
    </w:p>
    <w:p>
      <w:pPr>
        <w:spacing w:line="480" w:before="0" w:after="0"/>
        <w:ind/>
        <w:jc w:val="left"/>
      </w:pPr>
      <w:r>
        <w:rPr>
          <w:rFonts w:ascii="Times New Roman" w:cs="Times New Roman" w:eastAsia="Times New Roman" w:hAnsi="Times New Roman"/>
          <w:sz w:val="24"/>
          <w:szCs w:val="24"/>
        </w:rPr>
        <w:t xml:space="preserve">Leyva Solano, Xochitl. 2005. 'Indigenismo, Indianismo and Ethnic Citizenship in Chiapas.' Journal of Peasant Studies 32 (3–4): 555–583.</w:t>
      </w:r>
    </w:p>
    <w:p>
      <w:pPr>
        <w:spacing w:line="480" w:before="0" w:after="0"/>
        <w:ind/>
        <w:jc w:val="left"/>
      </w:pPr>
      <w:r>
        <w:rPr>
          <w:rFonts w:ascii="Times New Roman" w:cs="Times New Roman" w:eastAsia="Times New Roman" w:hAnsi="Times New Roman"/>
          <w:sz w:val="24"/>
          <w:szCs w:val="24"/>
        </w:rPr>
      </w:r>
    </w:p>
    <w:p>
      <w:pPr>
        <w:spacing w:line="480" w:before="0" w:after="0"/>
        <w:ind/>
        <w:jc w:val="left"/>
      </w:pPr>
      <w:r>
        <w:rPr>
          <w:rFonts w:ascii="Times New Roman" w:cs="Times New Roman" w:eastAsia="Times New Roman" w:hAnsi="Times New Roman"/>
          <w:sz w:val="24"/>
          <w:szCs w:val="24"/>
        </w:rPr>
        <w:t xml:space="preserve">Mahoney, James, and Kathleen Thelen, eds. 2010. Explaining Institutional Change: Ambiguity, Agency, and Power. Cambridge: Cambridge University Press.</w:t>
      </w:r>
    </w:p>
    <w:p>
      <w:pPr>
        <w:spacing w:line="480" w:before="0" w:after="0"/>
        <w:ind/>
        <w:jc w:val="left"/>
      </w:pPr>
      <w:r>
        <w:rPr>
          <w:rFonts w:ascii="Times New Roman" w:cs="Times New Roman" w:eastAsia="Times New Roman" w:hAnsi="Times New Roman"/>
          <w:sz w:val="24"/>
          <w:szCs w:val="24"/>
        </w:rPr>
        <w:t xml:space="preserve">Mainwaring, Scott, and Matthew Soberg Shugart, eds. 1997. Presidentialism and Democracy in Latin America. Cambridge: Cambridge University Press.</w:t>
      </w:r>
    </w:p>
    <w:p>
      <w:pPr>
        <w:spacing w:line="480" w:before="0" w:after="0"/>
        <w:ind/>
        <w:jc w:val="left"/>
      </w:pPr>
      <w:r>
        <w:rPr>
          <w:rFonts w:ascii="Times New Roman" w:cs="Times New Roman" w:eastAsia="Times New Roman" w:hAnsi="Times New Roman"/>
          <w:sz w:val="24"/>
          <w:szCs w:val="24"/>
        </w:rPr>
      </w:r>
    </w:p>
    <w:p>
      <w:pPr>
        <w:spacing w:line="480" w:before="0" w:after="0"/>
        <w:ind/>
        <w:jc w:val="left"/>
      </w:pPr>
      <w:r>
        <w:rPr>
          <w:rFonts w:ascii="Times New Roman" w:cs="Times New Roman" w:eastAsia="Times New Roman" w:hAnsi="Times New Roman"/>
          <w:sz w:val="24"/>
          <w:szCs w:val="24"/>
        </w:rPr>
        <w:t xml:space="preserve">Matos Tuesta, James. 2005. Apuntes para una historia de la prensa en Pucallpa (1945–1980). Lima: Fondo Editorial UNMSM.</w:t>
      </w:r>
    </w:p>
    <w:p>
      <w:pPr>
        <w:spacing w:line="480" w:before="0" w:after="0"/>
        <w:ind/>
        <w:jc w:val="left"/>
      </w:pPr>
      <w:r>
        <w:rPr>
          <w:rFonts w:ascii="Times New Roman" w:cs="Times New Roman" w:eastAsia="Times New Roman" w:hAnsi="Times New Roman"/>
          <w:sz w:val="24"/>
          <w:szCs w:val="24"/>
        </w:rPr>
        <w:t xml:space="preserve">Miller, John H., and Scott E. Page. 2007. Complex Adaptive Systems: An Introduction to Computational Models of Social Life. Princeton: Princeton University Press.</w:t>
      </w:r>
    </w:p>
    <w:p>
      <w:pPr>
        <w:spacing w:line="480" w:before="0" w:after="0"/>
        <w:ind/>
        <w:jc w:val="left"/>
      </w:pPr>
      <w:r>
        <w:rPr>
          <w:rFonts w:ascii="Times New Roman" w:cs="Times New Roman" w:eastAsia="Times New Roman" w:hAnsi="Times New Roman"/>
          <w:sz w:val="24"/>
          <w:szCs w:val="24"/>
        </w:rPr>
        <w:t xml:space="preserve">O'Donnell, Guillermo A., and Philippe C. Schmitter. 1986. Transitions from Authoritarian Rule: Tentative Conclusions about Uncertain Democracies. Baltimore: Johns Hopkins University Press.</w:t>
      </w:r>
    </w:p>
    <w:p>
      <w:pPr>
        <w:spacing w:line="480" w:before="0" w:after="0"/>
        <w:ind/>
        <w:jc w:val="left"/>
      </w:pPr>
      <w:r>
        <w:rPr>
          <w:rFonts w:ascii="Times New Roman" w:cs="Times New Roman" w:eastAsia="Times New Roman" w:hAnsi="Times New Roman"/>
          <w:sz w:val="24"/>
          <w:szCs w:val="24"/>
        </w:rPr>
        <w:t xml:space="preserve">Postero, Nancy. 2017. The Indigenous State: Race, Politics, and Performance in Plurinational Bolivia. Berkeley: University of California Press.</w:t>
      </w:r>
    </w:p>
    <w:p>
      <w:pPr>
        <w:spacing w:line="480" w:before="0" w:after="0"/>
        <w:ind/>
        <w:jc w:val="left"/>
      </w:pPr>
      <w:r>
        <w:rPr>
          <w:rFonts w:ascii="Times New Roman" w:cs="Times New Roman" w:eastAsia="Times New Roman" w:hAnsi="Times New Roman"/>
          <w:sz w:val="24"/>
          <w:szCs w:val="24"/>
        </w:rPr>
      </w:r>
    </w:p>
    <w:p>
      <w:pPr>
        <w:spacing w:line="480" w:before="0" w:after="0"/>
        <w:ind/>
        <w:jc w:val="left"/>
      </w:pPr>
      <w:r>
        <w:rPr>
          <w:rFonts w:ascii="Times New Roman" w:cs="Times New Roman" w:eastAsia="Times New Roman" w:hAnsi="Times New Roman"/>
          <w:sz w:val="24"/>
          <w:szCs w:val="24"/>
        </w:rPr>
        <w:t xml:space="preserve">Silva, Eduardo. 2009. Challenging Neoliberalism in Latin America. Cambridge: Cambridge University Press.</w:t>
      </w:r>
    </w:p>
    <w:p>
      <w:pPr>
        <w:spacing w:line="480" w:before="0" w:after="0"/>
        <w:ind/>
        <w:jc w:val="left"/>
      </w:pPr>
      <w:r>
        <w:rPr>
          <w:rFonts w:ascii="Times New Roman" w:cs="Times New Roman" w:eastAsia="Times New Roman" w:hAnsi="Times New Roman"/>
          <w:sz w:val="24"/>
          <w:szCs w:val="24"/>
        </w:rPr>
        <w:t xml:space="preserve">Slater, Dan, and Erica Simmons. 2010. 'Informative Regress: Critical Antecedents in Comparative Politics.' Comparative Political Studies 43 (7): 886–917.</w:t>
      </w:r>
    </w:p>
    <w:p>
      <w:pPr>
        <w:spacing w:line="480" w:before="0" w:after="0"/>
        <w:ind/>
        <w:jc w:val="left"/>
      </w:pPr>
      <w:r>
        <w:rPr>
          <w:rFonts w:ascii="Times New Roman" w:cs="Times New Roman" w:eastAsia="Times New Roman" w:hAnsi="Times New Roman"/>
          <w:sz w:val="24"/>
          <w:szCs w:val="24"/>
        </w:rPr>
        <w:t xml:space="preserve">Soifer, Hillel David. 2012. 'The Causal Logic of Critical Junctures.' Comparative Political Studies 45 (12): 1572–1597.</w:t>
      </w:r>
    </w:p>
    <w:p>
      <w:pPr>
        <w:spacing w:line="480" w:before="0" w:after="0"/>
        <w:ind/>
        <w:jc w:val="left"/>
      </w:pPr>
      <w:r>
        <w:rPr>
          <w:rFonts w:ascii="Times New Roman" w:cs="Times New Roman" w:eastAsia="Times New Roman" w:hAnsi="Times New Roman"/>
          <w:sz w:val="24"/>
          <w:szCs w:val="24"/>
        </w:rPr>
        <w:t xml:space="preserve">Somma, Nicolás M., and Sofia Donoso. 2022. Renovando la arena política: Estallido social, cambio constitucional y nuevo gobierno en Chile. Santiago: Ediciones UC.</w:t>
      </w:r>
    </w:p>
    <w:p>
      <w:pPr>
        <w:spacing w:line="480" w:before="0" w:after="0"/>
        <w:ind/>
        <w:jc w:val="left"/>
      </w:pPr>
      <w:r>
        <w:rPr>
          <w:rFonts w:ascii="Times New Roman" w:cs="Times New Roman" w:eastAsia="Times New Roman" w:hAnsi="Times New Roman"/>
          <w:sz w:val="24"/>
          <w:szCs w:val="24"/>
        </w:rPr>
        <w:t xml:space="preserve">Streeck, Wolfgang, and Kathleen Thelen, eds. 2005. Beyond Continuity: Institutional Change in Advanced Political Economies. Oxford: Oxford University Press.</w:t>
      </w:r>
    </w:p>
    <w:p>
      <w:pPr>
        <w:spacing w:line="480" w:before="0" w:after="0"/>
        <w:ind/>
        <w:jc w:val="left"/>
      </w:pPr>
      <w:r>
        <w:rPr>
          <w:rFonts w:ascii="Times New Roman" w:cs="Times New Roman" w:eastAsia="Times New Roman" w:hAnsi="Times New Roman"/>
          <w:sz w:val="24"/>
          <w:szCs w:val="24"/>
        </w:rPr>
      </w:r>
    </w:p>
    <w:p>
      <w:pPr>
        <w:spacing w:line="480" w:before="0" w:after="0"/>
        <w:ind/>
        <w:jc w:val="left"/>
      </w:pPr>
      <w:r>
        <w:rPr>
          <w:rFonts w:ascii="Times New Roman" w:cs="Times New Roman" w:eastAsia="Times New Roman" w:hAnsi="Times New Roman"/>
          <w:sz w:val="24"/>
          <w:szCs w:val="24"/>
        </w:rPr>
        <w:t xml:space="preserve">Tilly, Charles. 2004. Social Movements, 1768–2004. Boulder: Paradigm.</w:t>
      </w:r>
    </w:p>
    <w:p>
      <w:pPr>
        <w:spacing w:line="480" w:before="0" w:after="0"/>
        <w:ind/>
        <w:jc w:val="left"/>
      </w:pPr>
      <w:r>
        <w:rPr>
          <w:rFonts w:ascii="Times New Roman" w:cs="Times New Roman" w:eastAsia="Times New Roman" w:hAnsi="Times New Roman"/>
          <w:sz w:val="24"/>
          <w:szCs w:val="24"/>
        </w:rPr>
        <w:t>Tilly, Charles. 2008. Contentious Performances. Cambridge: Cambridge University Press.</w:t>
      </w:r>
    </w:p>
    <w:p>
      <w:pPr>
        <w:spacing w:line="480" w:before="0" w:after="0"/>
        <w:ind/>
        <w:jc w:val="left"/>
      </w:pPr>
      <w:r>
        <w:rPr>
          <w:rFonts w:ascii="Times New Roman" w:cs="Times New Roman" w:eastAsia="Times New Roman" w:hAnsi="Times New Roman"/>
          <w:sz w:val="24"/>
          <w:szCs w:val="24"/>
        </w:rPr>
        <w:t xml:space="preserve">Tocqueville, Alexis de. 1835/1840. Democracy in America. Translated by Harvey Mansfield and Delba Winthrop. Chicago: University of Chicago Press, 2000.</w:t>
      </w:r>
    </w:p>
    <w:p>
      <w:pPr>
        <w:spacing w:line="480" w:before="0" w:after="0"/>
        <w:ind/>
        <w:jc w:val="left"/>
      </w:pPr>
      <w:r>
        <w:rPr>
          <w:rFonts w:ascii="Times New Roman" w:cs="Times New Roman" w:eastAsia="Times New Roman" w:hAnsi="Times New Roman"/>
          <w:sz w:val="24"/>
          <w:szCs w:val="24"/>
        </w:rPr>
        <w:t xml:space="preserve">Vivanco Pimentel, Luis, and Elías Benzaquén Rengifo. 1997. Gran enciclopedia de la región Ucayali. 4th ed. Pucallpa: Videoriente editores.</w:t>
      </w:r>
    </w:p>
    <w:p>
      <w:pPr>
        <w:spacing w:line="480"/>
      </w:pPr>
      <w:r>
        <w:rPr>
          <w:rFonts w:ascii="Times New Roman" w:cs="Times New Roman" w:eastAsia="Times New Roman" w:hAnsi="Times New Roman"/>
          <w:sz w:val="24"/>
          <w:szCs w:val="24"/>
        </w:rPr>
        <w:t xml:space="preserve"/>
      </w:r>
    </w:p>
    <w:p>
      <w:pPr>
        <w:spacing w:line="480" w:before="240" w:after="0"/>
        <w:ind w:firstLine="0"/>
        <w:jc w:val="left"/>
      </w:pPr>
      <w:r>
        <w:rPr>
          <w:rFonts w:ascii="Times New Roman" w:cs="Times New Roman" w:eastAsia="Times New Roman" w:hAnsi="Times New Roman"/>
          <w:b/>
          <w:bCs/>
          <w:sz w:val="24"/>
          <w:szCs w:val="24"/>
        </w:rPr>
        <w:t xml:space="preserve">Oral Sources</w:t>
      </w:r>
    </w:p>
    <w:p>
      <w:pPr>
        <w:spacing w:line="480" w:before="0" w:after="0"/>
        <w:ind/>
        <w:jc w:val="left"/>
      </w:pPr>
      <w:r>
        <w:rPr>
          <w:rFonts w:ascii="Times New Roman" w:cs="Times New Roman" w:eastAsia="Times New Roman" w:hAnsi="Times New Roman"/>
          <w:sz w:val="24"/>
          <w:szCs w:val="24"/>
        </w:rPr>
        <w:t xml:space="preserve">Alfaro Venturo, Fernando. 2022. Interview by Gabriela Rengifo Briceño. Phone, April 2022.</w:t>
      </w:r>
    </w:p>
    <w:p>
      <w:pPr>
        <w:spacing w:line="480" w:before="0" w:after="0"/>
        <w:ind/>
        <w:jc w:val="left"/>
      </w:pPr>
      <w:r>
        <w:rPr>
          <w:rFonts w:ascii="Times New Roman" w:cs="Times New Roman" w:eastAsia="Times New Roman" w:hAnsi="Times New Roman"/>
          <w:sz w:val="24"/>
          <w:szCs w:val="24"/>
        </w:rPr>
        <w:t xml:space="preserve">Flores, Julio. 2022. Interview by Gabriela Rengifo Briceño. Phone, October 18, 2022.</w:t>
      </w:r>
    </w:p>
    <w:p>
      <w:pPr>
        <w:spacing w:line="480" w:before="0" w:after="0"/>
        <w:ind/>
        <w:jc w:val="left"/>
      </w:pPr>
      <w:r>
        <w:rPr>
          <w:rFonts w:ascii="Times New Roman" w:cs="Times New Roman" w:eastAsia="Times New Roman" w:hAnsi="Times New Roman"/>
          <w:sz w:val="24"/>
          <w:szCs w:val="24"/>
        </w:rPr>
        <w:t xml:space="preserve">Medina Ortiz, Eulogio. 2022. Interview by Gabriela Rengifo Briceño. 2022.</w:t>
      </w:r>
    </w:p>
    <w:p>
      <w:pPr>
        <w:spacing w:line="480" w:before="0" w:after="0"/>
        <w:ind/>
        <w:jc w:val="left"/>
      </w:pPr>
      <w:r>
        <w:rPr>
          <w:rFonts w:ascii="Times New Roman" w:cs="Times New Roman" w:eastAsia="Times New Roman" w:hAnsi="Times New Roman"/>
          <w:sz w:val="24"/>
          <w:szCs w:val="24"/>
        </w:rPr>
        <w:t xml:space="preserve">Vásquez Valera, Manuel. 2022. Interview by Gabriela Rengifo Briceño. Phone, April 21, 2022.</w:t>
      </w:r>
    </w:p>
    <w:p>
      <w:pPr>
        <w:spacing w:line="480" w:before="0" w:after="0"/>
        <w:ind/>
        <w:jc w:val="left"/>
      </w:pPr>
      <w:r>
        <w:rPr>
          <w:rFonts w:ascii="Times New Roman" w:cs="Times New Roman" w:eastAsia="Times New Roman" w:hAnsi="Times New Roman"/>
          <w:sz w:val="24"/>
          <w:szCs w:val="24"/>
        </w:rPr>
        <w:t xml:space="preserve">Villa, Humberto. 2022. Interview by Gabriela Rengifo Briceño. Videoconference, October 15,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2026-03-10T00:45:40.536Z</dcterms:created>
  <dcterms:modified xsi:type="dcterms:W3CDTF">2026-03-10T00:45:40.536Z</dcterms:modified>
</cp:coreProperties>
</file>

<file path=docProps/custom.xml><?xml version="1.0" encoding="utf-8"?>
<Properties xmlns="http://schemas.openxmlformats.org/officeDocument/2006/custom-properties" xmlns:vt="http://schemas.openxmlformats.org/officeDocument/2006/docPropsVTypes"/>
</file>