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7 October 2026</w:t>
      </w:r>
    </w:p>
    <w:p/>
    <w:p>
      <w:r>
        <w:rPr>
          <w:b/>
        </w:rPr>
        <w:t>Editors</w:t>
        <w:br/>
      </w:r>
      <w:r>
        <w:t>Journal of Forecasting</w:t>
        <w:br/>
        <w:t>John Wiley &amp; Sons</w:t>
      </w:r>
    </w:p>
    <w:p/>
    <w:p>
      <w:r>
        <w:t>Dear Editors,</w:t>
      </w:r>
    </w:p>
    <w:p>
      <w:pPr>
        <w:spacing w:after="140" w:line="240" w:lineRule="auto"/>
      </w:pPr>
      <w:r>
        <w:t>Please consider our manuscript, “Forecast Evaluation with Constructed High-Frequency Targets: Information-Set Leakage and an African Gross Domestic Product Application,” for publication in the Journal of Forecasting.</w:t>
      </w:r>
    </w:p>
    <w:p>
      <w:pPr>
        <w:spacing w:after="140" w:line="240" w:lineRule="auto"/>
      </w:pPr>
      <w:r>
        <w:t>The paper examines a forecast-evaluation problem that arises when a monthly or quarterly target is constructed from lower-frequency data. A final reconstructed path can be appropriate for scoring a forecast after the fact, while still containing benchmark information that was not available when the forecast was made. The paper states an information-set condition for this case and works out the result for additive first-difference Denton.</w:t>
      </w:r>
    </w:p>
    <w:p>
      <w:pPr>
        <w:spacing w:after="140" w:line="240" w:lineRule="auto"/>
      </w:pPr>
      <w:r>
        <w:t>For Denton, the influence of neighboring annual benchmarks follows an alternating geometric tail, with the absolute weight falling by about 0.2647 after the first off-diagonal term. Monte Carlo experiments show that the resulting ranking distortion can go in either direction. In the application to 54 African economies, respecting publication timing changes the 12-month relative RMSFE from 0.9961 to 1.0048 and reverses the ranking of the news-augmented model and its benchmark. Most of the change comes from correcting the lagged GDP history.</w:t>
      </w:r>
    </w:p>
    <w:p>
      <w:pPr>
        <w:spacing w:after="140" w:line="240" w:lineRule="auto"/>
      </w:pPr>
      <w:r>
        <w:t>We believe the paper fits the Journal of Forecasting because it is directly about forecast evaluation, historical information sets, recursive forecasting, model comparison, and the treatment of data available at the forecast origin. The application is used to show the practical consequence of the design issue rather than to make a broad claim that news predicts African GDP.</w:t>
      </w:r>
    </w:p>
    <w:p>
      <w:pPr>
        <w:spacing w:after="140" w:line="240" w:lineRule="auto"/>
      </w:pPr>
      <w:r>
        <w:t>The manuscript is original, has not been published, and is not under consideration elsewhere. All authors have approved the submission. The authors declare no conflict of interest. The data and replication materials supporting the reported results are available from the corresponding author upon reasonable request; the underlying news-article archive cannot be redistributed because it contains third-party copyrighted material.</w:t>
      </w:r>
    </w:p>
    <w:p>
      <w:pPr>
        <w:spacing w:after="140" w:line="240" w:lineRule="auto"/>
      </w:pPr>
      <w:r>
        <w:t>Thank you for considering the manuscript. I would be pleased to provide any additional information needed during the review process.</w:t>
      </w:r>
    </w:p>
    <w:p>
      <w:r>
        <w:t>Sincerely,</w:t>
      </w:r>
    </w:p>
    <w:p>
      <w:r>
        <w:rPr>
          <w:b/>
        </w:rPr>
        <w:t>Emmanuel Akande</w:t>
      </w:r>
      <w:r>
        <w:br/>
        <w:t>Corresponding Author</w:t>
      </w:r>
      <w:r>
        <w:br/>
        <w:t>CAPE Economic Research and Consulting</w:t>
      </w:r>
      <w:r>
        <w:br/>
        <w:t>11120 Godwit Ln, Charlotte, NC 28278, USA</w:t>
      </w:r>
      <w:r>
        <w:br/>
        <w:t>Email: eakande@capeeconomicconsult.com</w:t>
      </w:r>
      <w:r>
        <w:br/>
        <w:t>ORCID: 0000-0002-8201-4072</w:t>
      </w:r>
      <w:r>
        <w:br/>
        <w:t>On behalf of the coauthors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