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C65" w:rsidRPr="00F75C65" w:rsidRDefault="00F75C65" w:rsidP="00F75C65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5C65">
        <w:rPr>
          <w:rFonts w:ascii="Segoe UI" w:eastAsia="Times New Roman" w:hAnsi="Segoe UI" w:cs="Segoe UI"/>
          <w:color w:val="0F1115"/>
          <w:sz w:val="24"/>
          <w:szCs w:val="24"/>
        </w:rPr>
        <w:t>Monthly GDP series constructed with the Denton method are suitable for ex-post forecast evaluation but not as historical inputs, because each month incorporates annual totals not yet published at the forecast date.</w:t>
      </w:r>
    </w:p>
    <w:p w:rsidR="00F75C65" w:rsidRPr="00F75C65" w:rsidRDefault="00F75C65" w:rsidP="00F75C65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5C65">
        <w:rPr>
          <w:rFonts w:ascii="Segoe UI" w:eastAsia="Times New Roman" w:hAnsi="Segoe UI" w:cs="Segoe UI"/>
          <w:color w:val="0F1115"/>
          <w:sz w:val="24"/>
          <w:szCs w:val="24"/>
        </w:rPr>
        <w:t>For first-difference Denton, the influence of annual totals decays by about 0.2647 per year and alternates in sign; two additional years retain about 7% of the influence, and four retain less than 0.5%.</w:t>
      </w:r>
    </w:p>
    <w:p w:rsidR="00F75C65" w:rsidRPr="00F75C65" w:rsidRDefault="00F75C65" w:rsidP="00F75C65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5C65">
        <w:rPr>
          <w:rFonts w:ascii="Segoe UI" w:eastAsia="Times New Roman" w:hAnsi="Segoe UI" w:cs="Segoe UI"/>
          <w:color w:val="0F1115"/>
          <w:sz w:val="24"/>
          <w:szCs w:val="24"/>
        </w:rPr>
        <w:t>Simulations show tha</w:t>
      </w:r>
      <w:bookmarkStart w:id="0" w:name="_GoBack"/>
      <w:bookmarkEnd w:id="0"/>
      <w:r w:rsidRPr="00F75C65">
        <w:rPr>
          <w:rFonts w:ascii="Segoe UI" w:eastAsia="Times New Roman" w:hAnsi="Segoe UI" w:cs="Segoe UI"/>
          <w:color w:val="0F1115"/>
          <w:sz w:val="24"/>
          <w:szCs w:val="24"/>
        </w:rPr>
        <w:t>t information-set leakage can obscure a small short-horizon gain and, under high persistence, create a false long-horizon gain; a pure-noise control remains near 1.</w:t>
      </w:r>
    </w:p>
    <w:p w:rsidR="00F75C65" w:rsidRPr="00F75C65" w:rsidRDefault="00F75C65" w:rsidP="00F75C65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5C65">
        <w:rPr>
          <w:rFonts w:ascii="Segoe UI" w:eastAsia="Times New Roman" w:hAnsi="Segoe UI" w:cs="Segoe UI"/>
          <w:color w:val="0F1115"/>
          <w:sz w:val="24"/>
          <w:szCs w:val="24"/>
        </w:rPr>
        <w:t>The application covers 54 African economies from 2015 to 2025 and 21.3 million news articles from 851 outlets; the Growth/Real Economy signal uses fixed word lists for recession, slowdown, contraction, unemployment, and layoffs in English, French, and Portuguese.</w:t>
      </w:r>
    </w:p>
    <w:p w:rsidR="00F75C65" w:rsidRPr="00F75C65" w:rsidRDefault="00F75C65" w:rsidP="00F75C65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5C65">
        <w:rPr>
          <w:rFonts w:ascii="Segoe UI" w:eastAsia="Times New Roman" w:hAnsi="Segoe UI" w:cs="Segoe UI"/>
          <w:color w:val="0F1115"/>
          <w:sz w:val="24"/>
          <w:szCs w:val="24"/>
        </w:rPr>
        <w:t>With leakage, the news signal appears to improve 12-month forecasts (ratio 0.9961); using only annual GDP data available at the forecast date eliminates the advantage (ratio 1.0048), with about 79% of the change attributable to correcting the GDP history.</w:t>
      </w:r>
    </w:p>
    <w:p w:rsidR="00F75C65" w:rsidRPr="00F75C65" w:rsidRDefault="00F75C65" w:rsidP="00F75C65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5C65">
        <w:rPr>
          <w:rFonts w:ascii="Segoe UI" w:eastAsia="Times New Roman" w:hAnsi="Segoe UI" w:cs="Segoe UI"/>
          <w:color w:val="0F1115"/>
          <w:sz w:val="24"/>
          <w:szCs w:val="24"/>
        </w:rPr>
        <w:t>Excluding 2020 and 2021 does not alter the conclusion (0.9976 with leakage; 1.0133 without).</w:t>
      </w:r>
    </w:p>
    <w:p w:rsidR="00F75C65" w:rsidRPr="00F75C65" w:rsidRDefault="00F75C65" w:rsidP="00F75C65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5C65">
        <w:rPr>
          <w:rFonts w:ascii="Segoe UI" w:eastAsia="Times New Roman" w:hAnsi="Segoe UI" w:cs="Segoe UI"/>
          <w:color w:val="0F1115"/>
          <w:sz w:val="24"/>
          <w:szCs w:val="24"/>
        </w:rPr>
        <w:t>A one-month gain survives: about 0.36% lower RMSE, about 1% lower absolute error, and better performance in 33 of 54 economies; the gain is larger in 2022–2025 (0.9926).</w:t>
      </w:r>
    </w:p>
    <w:p w:rsidR="00F75C65" w:rsidRPr="00F75C65" w:rsidRDefault="00F75C65" w:rsidP="00F75C65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5C65">
        <w:rPr>
          <w:rFonts w:ascii="Segoe UI" w:eastAsia="Times New Roman" w:hAnsi="Segoe UI" w:cs="Segoe UI"/>
          <w:color w:val="0F1115"/>
          <w:sz w:val="24"/>
          <w:szCs w:val="24"/>
        </w:rPr>
        <w:t>This one-month gain is not statistically robust: the bootstrap interval spans roughly −0.5% to +1.4%, and the gain nearly disappears against a benchmark of 159 macroeconomic series (0.9987, not significant).</w:t>
      </w:r>
    </w:p>
    <w:p w:rsidR="00F75C65" w:rsidRPr="00F75C65" w:rsidRDefault="00F75C65" w:rsidP="00F75C65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5C65">
        <w:rPr>
          <w:rFonts w:ascii="Segoe UI" w:eastAsia="Times New Roman" w:hAnsi="Segoe UI" w:cs="Segoe UI"/>
          <w:color w:val="0F1115"/>
          <w:sz w:val="24"/>
          <w:szCs w:val="24"/>
        </w:rPr>
        <w:t>Annual GDP data are final-vintage, so the exercise is publication-lagged rather than real-time; May, July, and November release dates are assumptions.</w:t>
      </w:r>
    </w:p>
    <w:p w:rsidR="00F75C65" w:rsidRPr="00F75C65" w:rsidRDefault="00F75C65" w:rsidP="00F75C65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5C65">
        <w:rPr>
          <w:rFonts w:ascii="Segoe UI" w:eastAsia="Times New Roman" w:hAnsi="Segoe UI" w:cs="Segoe UI"/>
          <w:color w:val="0F1115"/>
          <w:sz w:val="24"/>
          <w:szCs w:val="24"/>
        </w:rPr>
        <w:t>Constructed monthly targets should be used for scoring only after historical inputs are rebuilt from information available at each forecast date; results should be reported under both specifications.</w:t>
      </w:r>
    </w:p>
    <w:p w:rsidR="0099077C" w:rsidRPr="004C36FF" w:rsidRDefault="0099077C">
      <w:pPr>
        <w:spacing w:after="110" w:line="264" w:lineRule="auto"/>
        <w:rPr>
          <w:rFonts w:ascii="Times New Roman" w:hAnsi="Times New Roman" w:cs="Times New Roman"/>
          <w:sz w:val="24"/>
          <w:szCs w:val="24"/>
        </w:rPr>
      </w:pPr>
    </w:p>
    <w:sectPr w:rsidR="0099077C" w:rsidRPr="004C36FF">
      <w:pgSz w:w="12240" w:h="15840"/>
      <w:pgMar w:top="108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E7A36"/>
    <w:multiLevelType w:val="hybridMultilevel"/>
    <w:tmpl w:val="62CEEF0E"/>
    <w:lvl w:ilvl="0" w:tplc="74740A64">
      <w:start w:val="1"/>
      <w:numFmt w:val="bullet"/>
      <w:lvlText w:val="●"/>
      <w:lvlJc w:val="left"/>
      <w:pPr>
        <w:ind w:left="720" w:hanging="360"/>
      </w:pPr>
    </w:lvl>
    <w:lvl w:ilvl="1" w:tplc="E796EC32">
      <w:start w:val="1"/>
      <w:numFmt w:val="bullet"/>
      <w:lvlText w:val="○"/>
      <w:lvlJc w:val="left"/>
      <w:pPr>
        <w:ind w:left="1440" w:hanging="360"/>
      </w:pPr>
    </w:lvl>
    <w:lvl w:ilvl="2" w:tplc="D2C67CD8">
      <w:start w:val="1"/>
      <w:numFmt w:val="bullet"/>
      <w:lvlText w:val="■"/>
      <w:lvlJc w:val="left"/>
      <w:pPr>
        <w:ind w:left="2160" w:hanging="360"/>
      </w:pPr>
    </w:lvl>
    <w:lvl w:ilvl="3" w:tplc="EB00E144">
      <w:start w:val="1"/>
      <w:numFmt w:val="bullet"/>
      <w:lvlText w:val="●"/>
      <w:lvlJc w:val="left"/>
      <w:pPr>
        <w:ind w:left="2880" w:hanging="360"/>
      </w:pPr>
    </w:lvl>
    <w:lvl w:ilvl="4" w:tplc="A78662D8">
      <w:start w:val="1"/>
      <w:numFmt w:val="bullet"/>
      <w:lvlText w:val="○"/>
      <w:lvlJc w:val="left"/>
      <w:pPr>
        <w:ind w:left="3600" w:hanging="360"/>
      </w:pPr>
    </w:lvl>
    <w:lvl w:ilvl="5" w:tplc="71FAEFC2">
      <w:start w:val="1"/>
      <w:numFmt w:val="bullet"/>
      <w:lvlText w:val="■"/>
      <w:lvlJc w:val="left"/>
      <w:pPr>
        <w:ind w:left="4320" w:hanging="360"/>
      </w:pPr>
    </w:lvl>
    <w:lvl w:ilvl="6" w:tplc="995270FC">
      <w:start w:val="1"/>
      <w:numFmt w:val="bullet"/>
      <w:lvlText w:val="●"/>
      <w:lvlJc w:val="left"/>
      <w:pPr>
        <w:ind w:left="5040" w:hanging="360"/>
      </w:pPr>
    </w:lvl>
    <w:lvl w:ilvl="7" w:tplc="D1A6844C">
      <w:start w:val="1"/>
      <w:numFmt w:val="bullet"/>
      <w:lvlText w:val="●"/>
      <w:lvlJc w:val="left"/>
      <w:pPr>
        <w:ind w:left="5760" w:hanging="360"/>
      </w:pPr>
    </w:lvl>
    <w:lvl w:ilvl="8" w:tplc="ED0221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CF4505"/>
    <w:multiLevelType w:val="multilevel"/>
    <w:tmpl w:val="2BD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77C"/>
    <w:rsid w:val="004C36FF"/>
    <w:rsid w:val="0099077C"/>
    <w:rsid w:val="00F7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29D0D"/>
  <w15:docId w15:val="{829559B9-465F-4EA3-976F-16CF3C62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Normal"/>
    <w:rsid w:val="00F75C6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5C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0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122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005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Akande</cp:lastModifiedBy>
  <cp:revision>3</cp:revision>
  <dcterms:created xsi:type="dcterms:W3CDTF">2026-10-05T00:55:00Z</dcterms:created>
  <dcterms:modified xsi:type="dcterms:W3CDTF">2026-10-05T01:01:00Z</dcterms:modified>
</cp:coreProperties>
</file>