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CD34CA" w14:textId="77777777" w:rsidR="004515F3" w:rsidRDefault="003607A6" w:rsidP="00087194">
      <w:pPr>
        <w:pStyle w:val="Title"/>
        <w:jc w:val="both"/>
      </w:pPr>
      <w:r>
        <w:t>News-Based Inflation Risk and Price Dynamics</w:t>
      </w:r>
      <w:r>
        <w:br/>
        <w:t>in Africa: Evidence from a Panel VAR</w:t>
      </w:r>
    </w:p>
    <w:p w14:paraId="7C6EF189" w14:textId="77777777" w:rsidR="004515F3" w:rsidRDefault="003607A6" w:rsidP="00087194">
      <w:pPr>
        <w:pStyle w:val="Author"/>
        <w:jc w:val="both"/>
      </w:pPr>
      <w:r>
        <w:t>CAPE Economic Research and Consulting</w:t>
      </w:r>
    </w:p>
    <w:p w14:paraId="473511E6" w14:textId="77777777" w:rsidR="004515F3" w:rsidRDefault="003607A6" w:rsidP="00087194">
      <w:pPr>
        <w:pStyle w:val="Date"/>
        <w:jc w:val="both"/>
      </w:pPr>
      <w:r>
        <w:t>May 2026</w:t>
      </w:r>
    </w:p>
    <w:p w14:paraId="59FC8B94" w14:textId="77777777" w:rsidR="004515F3" w:rsidRDefault="003607A6" w:rsidP="00087194">
      <w:pPr>
        <w:pStyle w:val="AbstractTitle"/>
        <w:jc w:val="both"/>
      </w:pPr>
      <w:r>
        <w:t>Abstract</w:t>
      </w:r>
    </w:p>
    <w:p w14:paraId="4883A39A" w14:textId="77777777" w:rsidR="004515F3" w:rsidRDefault="003607A6" w:rsidP="00087194">
      <w:pPr>
        <w:pStyle w:val="Abstract"/>
        <w:jc w:val="both"/>
      </w:pPr>
      <w:r>
        <w:t>[Abstract to be supplied.]</w:t>
      </w:r>
    </w:p>
    <w:p w14:paraId="7D2827EE" w14:textId="77777777" w:rsidR="004515F3" w:rsidRDefault="003607A6" w:rsidP="00087194">
      <w:pPr>
        <w:pStyle w:val="FirstParagraph"/>
        <w:jc w:val="both"/>
      </w:pPr>
      <w:proofErr w:type="gramStart"/>
      <w:r>
        <w:rPr>
          <w:b/>
          <w:bCs/>
        </w:rPr>
        <w:t>Keywords:</w:t>
      </w:r>
      <w:r>
        <w:t>[</w:t>
      </w:r>
      <w:proofErr w:type="gramEnd"/>
      <w:r>
        <w:t>To</w:t>
      </w:r>
      <w:r w:rsidR="00087194">
        <w:t xml:space="preserve"> </w:t>
      </w:r>
      <w:r>
        <w:t>be</w:t>
      </w:r>
      <w:r w:rsidR="00087194">
        <w:t xml:space="preserve"> </w:t>
      </w:r>
      <w:r>
        <w:t>supplied]</w:t>
      </w:r>
      <w:r>
        <w:br/>
      </w:r>
      <w:r>
        <w:rPr>
          <w:b/>
          <w:bCs/>
        </w:rPr>
        <w:t>JEL:</w:t>
      </w:r>
      <w:r>
        <w:t xml:space="preserve"> [To be supplied]</w:t>
      </w:r>
    </w:p>
    <w:p w14:paraId="0890BF43" w14:textId="77777777" w:rsidR="004515F3" w:rsidRDefault="003607A6" w:rsidP="00087194">
      <w:pPr>
        <w:pStyle w:val="Heading1"/>
        <w:jc w:val="both"/>
      </w:pPr>
      <w:r>
        <w:t>Introduction</w:t>
      </w:r>
    </w:p>
    <w:p w14:paraId="34063319" w14:textId="77777777" w:rsidR="004515F3" w:rsidRDefault="003607A6" w:rsidP="00087194">
      <w:pPr>
        <w:pStyle w:val="FirstParagraph"/>
        <w:jc w:val="both"/>
      </w:pPr>
      <w:r>
        <w:t>Inflation prediction has been central to economic management over the years. The accuracy and effectiveness of the method employed is key to the strength of policy intervention. Approaches to investigating the drivers of inflation have mostly relied on backward-looking data sets, usually produced with a lag (Orphanides 2001). The drivers of inflation explored in literature typically include GDP, money supply, and interest rates (Malope et al. 2026). These data sets can take months from the point of policy action to be published, denying policymakers the ability to make timely decisions to curb inflation. This challenge is particularly more pronounced in Africa, where data infrastructure is less effective (Jerven 2013), and institutional limitations make it difficult to address these data needs for policymaking.</w:t>
      </w:r>
    </w:p>
    <w:p w14:paraId="6CE3240A" w14:textId="3552721B" w:rsidR="004515F3" w:rsidRDefault="003607A6" w:rsidP="00087194">
      <w:pPr>
        <w:pStyle w:val="BodyText"/>
        <w:jc w:val="both"/>
      </w:pPr>
      <w:r>
        <w:t>Several surveys have been introduced as proxies for lagged inflation measurement. The most prominent of these</w:t>
      </w:r>
      <w:r w:rsidR="00865C04">
        <w:t xml:space="preserve"> </w:t>
      </w:r>
      <w:r>
        <w:t>the Michigan Survey of Consumers,</w:t>
      </w:r>
      <w:r w:rsidR="00865C04">
        <w:t xml:space="preserve"> </w:t>
      </w:r>
      <w:r>
        <w:t>the Survey of Professional Forecasters</w:t>
      </w:r>
      <w:r w:rsidR="00865C04">
        <w:t xml:space="preserve"> and others </w:t>
      </w:r>
      <w:r>
        <w:t>have been evaluated for their forecasting performance and rationality (Thomas 1999). However, these surveys still come with structural delays and are mostly monthly, reflecting sentiments gathered over the preceding weeks rather than present moments. A similar pattern holds in Africa: the Central Bank of Nigeria’s Inflation Expectation Survey report (Central Bank of Nigeria 2025) samples thousands of businesses and is likewise released on a monthly basis. The usefulness of such surveys is limited, as they lack the ability to track rapid shifts in inflation dynamics as they occur.</w:t>
      </w:r>
    </w:p>
    <w:p w14:paraId="60EA8B4B" w14:textId="4FA7E595" w:rsidR="004515F3" w:rsidRDefault="003607A6" w:rsidP="00087194">
      <w:pPr>
        <w:pStyle w:val="BodyText"/>
        <w:jc w:val="both"/>
      </w:pPr>
      <w:r>
        <w:t xml:space="preserve">Recent technological developments have introduced machine learning approaches to inflation prediction. Neural networks were used by Nakamura (2005), who forecast quarterly US CPI and found the model outperformed autoregressive benchmarks at short horizons. However, results have been mixed; Choudhary and Haider (2012) found autoregressive models performed better in some countries while artificial neural networks performed better in others. A further limitation is that the drivers behind these predictions often cannot be </w:t>
      </w:r>
      <w:proofErr w:type="spellStart"/>
      <w:proofErr w:type="gramStart"/>
      <w:r>
        <w:t>ascertained</w:t>
      </w:r>
      <w:r w:rsidR="00865C04">
        <w:t>,</w:t>
      </w:r>
      <w:r>
        <w:t>machine</w:t>
      </w:r>
      <w:proofErr w:type="spellEnd"/>
      <w:proofErr w:type="gramEnd"/>
      <w:r>
        <w:t xml:space="preserve"> learning models are often characterised as black boxes </w:t>
      </w:r>
      <w:r>
        <w:lastRenderedPageBreak/>
        <w:t>because, although they outperform traditional methods in certain instances by capturing complex nonlinear relationships, they do not reveal the variables that drive such predictions (Araujo and Gaglianone 2023).</w:t>
      </w:r>
    </w:p>
    <w:p w14:paraId="20EE993C" w14:textId="77777777" w:rsidR="004515F3" w:rsidRDefault="003607A6" w:rsidP="00087194">
      <w:pPr>
        <w:pStyle w:val="BodyText"/>
        <w:jc w:val="both"/>
      </w:pPr>
      <w:r>
        <w:t>Information analysis has been introduced into the analysis of price dynamics. Attempts include the analysis of social media data to construct real-time indicators for inflation perception, and results show that the data obtained tracked actual inflation and survey-based expectations. News is not just information but holds the power to frame the perception of economic agents and influence their decisions (Tetlock 2007), while also anchoring their expectations for future trends (Carroll 2003). News has similarly been applied to the study of macroeconomic variables such as GDP, with Elshendy and Fronzetti Colladon (2017) finding that macroeconomic news is an important predictor of GDP. The focus of this paper, however, is the information embedded in news reports as a real-time source for indicating shifts in price dynamics.</w:t>
      </w:r>
    </w:p>
    <w:p w14:paraId="7C79563B" w14:textId="77777777" w:rsidR="004515F3" w:rsidRDefault="003607A6" w:rsidP="00087194">
      <w:pPr>
        <w:pStyle w:val="BodyText"/>
        <w:jc w:val="both"/>
      </w:pPr>
      <w:r>
        <w:t>News offers information at no additional cost; it also captures economic sentiment in real time (Angelico et al. 2022). This is important on a resource-constrained continent like Africa, where the data availability gap has motivated the use of alternative high-frequency sources to support timely policymaking (Buell et al. 2021).</w:t>
      </w:r>
    </w:p>
    <w:p w14:paraId="55EE018E" w14:textId="77777777" w:rsidR="004515F3" w:rsidRDefault="003607A6" w:rsidP="00087194">
      <w:pPr>
        <w:pStyle w:val="BodyText"/>
        <w:jc w:val="both"/>
      </w:pPr>
      <w:r>
        <w:t>This paper proposes a news-based inflation risk index for Africa that is traceable, monotonic, and has volume comparability across countries, to ensure countries with lower volumes of articles do not reflect low risk due to this characteristic. The African Inflation Risk Index (AIRI) was derived by subjecting news articles to layers of traceable processes to ensure reproducibility and clarity, addressing the “black box” limitation of machine learning approaches to forecasting inflation (Araujo and Gaglianone 2023). These processes include screening each article through a dictionary-based economic relevance filter, similar to lexicon-based approaches built specifically for scoring economic and financial news text (Shapiro, Sudhof, and Wilson 2020), and then, based on how this language was framed, assigning a severity tier to each article. A confidence weight was also assigned according to the credibility of the signal. In all, article scores are summed over the inflation-tagged subset of the corpus and divided by the total article count for the period.</w:t>
      </w:r>
    </w:p>
    <w:p w14:paraId="26BE829F" w14:textId="77777777" w:rsidR="004515F3" w:rsidRDefault="003607A6" w:rsidP="00087194">
      <w:pPr>
        <w:pStyle w:val="BodyText"/>
        <w:jc w:val="both"/>
      </w:pPr>
      <w:r>
        <w:t>To investigate the ability of the index to predict inflation, we conduct a Panel Vector Autoregressive analysis on all 46 African countries to check if the AIRI is statistically related to realised inflation after controlling for other factors. Also, because we expect the variability to differ by country characteristics, we investigate the difference in its predictive strength in low-inflation and high-inflation countries, and lastly, we check the forecast value of the generated index by comparing its forecast error to baseline AR models and models that include other macroeconomic variables.</w:t>
      </w:r>
    </w:p>
    <w:p w14:paraId="75A5E606" w14:textId="77777777" w:rsidR="004515F3" w:rsidRDefault="003607A6" w:rsidP="00087194">
      <w:pPr>
        <w:pStyle w:val="BodyText"/>
        <w:jc w:val="both"/>
      </w:pPr>
      <w:r>
        <w:t>The remainder of this paper is organized as follows: Section 2 reviews the relevant literature. Section 3 describes the data sources and methodology used to construct the African Inflation Risk Index, presents the panel VAR specification and estimation strategy, and outlines the forecast evaluation framework. Section 4 discusses the empirical results. Section 5 concludes with implications for policy.</w:t>
      </w:r>
    </w:p>
    <w:p w14:paraId="78767354" w14:textId="77777777" w:rsidR="004515F3" w:rsidRDefault="003607A6" w:rsidP="00087194">
      <w:pPr>
        <w:pStyle w:val="Heading1"/>
        <w:jc w:val="both"/>
      </w:pPr>
      <w:r>
        <w:lastRenderedPageBreak/>
        <w:t>Literature Review</w:t>
      </w:r>
    </w:p>
    <w:p w14:paraId="73336728" w14:textId="77777777" w:rsidR="004515F3" w:rsidRDefault="003607A6" w:rsidP="00087194">
      <w:pPr>
        <w:pStyle w:val="Heading2"/>
        <w:jc w:val="both"/>
      </w:pPr>
      <w:r>
        <w:t>The Evolution of Inflation Measurement</w:t>
      </w:r>
    </w:p>
    <w:p w14:paraId="16095D4C" w14:textId="15D0E7B1" w:rsidR="004515F3" w:rsidRDefault="003607A6" w:rsidP="00087194">
      <w:pPr>
        <w:pStyle w:val="FirstParagraph"/>
        <w:jc w:val="both"/>
      </w:pPr>
      <w:r>
        <w:t xml:space="preserve">Conventional inflation measurement relies on </w:t>
      </w:r>
      <w:proofErr w:type="spellStart"/>
      <w:r>
        <w:t>realised</w:t>
      </w:r>
      <w:proofErr w:type="spellEnd"/>
      <w:r>
        <w:t xml:space="preserve"> price </w:t>
      </w:r>
      <w:proofErr w:type="gramStart"/>
      <w:r>
        <w:t>indice</w:t>
      </w:r>
      <w:r w:rsidR="00FE2B3A">
        <w:t>s ,</w:t>
      </w:r>
      <w:r>
        <w:t>the</w:t>
      </w:r>
      <w:proofErr w:type="gramEnd"/>
      <w:r>
        <w:t xml:space="preserve"> Consumer Price Index and related measures</w:t>
      </w:r>
      <w:r w:rsidR="00FE2B3A">
        <w:t xml:space="preserve"> ,</w:t>
      </w:r>
      <w:r>
        <w:t>which record price changes only after they have occurred. This backward-looking character creates a structural information gap: the expectations driving pricing decisions are invisible to statistical agencies until they have materialised in observed transactions (Mishkin 2007). Knight (1921) and Keynes (1936) established that economic decisions are governed by forward-looking beliefs rather than realised outcomes, while Friedman (1968) and Phelps (1968) formalised this by anchoring inflation in expectations, a dimension price indices cannot capture.</w:t>
      </w:r>
    </w:p>
    <w:p w14:paraId="004CF884" w14:textId="77777777" w:rsidR="004515F3" w:rsidRDefault="003607A6" w:rsidP="00087194">
      <w:pPr>
        <w:pStyle w:val="BodyText"/>
        <w:jc w:val="both"/>
      </w:pPr>
      <w:r>
        <w:t>The empirical consequences are well documented. Mankiw and Reis (2002) and Sims (2003) showed that information disseminates slowly across agents, generating systematic gaps between actual and expected inflation. Coibion and Gorodnichenko (2012) and Coibion and Gorodnichenko (2015) demonstrated these gaps are predictable and persistent, while Coibion et al. (2023) provided experimental evidence that inflation expectations independently alter household behaviour even absent contemporaneous price changes. D’Acunto et al. (2022) further confirmed that subjective beliefs drive firm pricing strategies, establishing that the expectation-formation process causally precedes the price dynamics that indices eventually record. Forward-looking inflation surveillance therefore requires access to the information environment in which expectations form, not merely the price records that result.</w:t>
      </w:r>
    </w:p>
    <w:p w14:paraId="23E69381" w14:textId="77777777" w:rsidR="004515F3" w:rsidRDefault="003607A6" w:rsidP="00087194">
      <w:pPr>
        <w:pStyle w:val="BodyText"/>
        <w:jc w:val="both"/>
      </w:pPr>
      <w:r>
        <w:t>Shiller (2017) identified news media as the primary channel through which economically consequential narratives propagate and shape collective expectations. Tetlock (2007), García (2013), and Nyman, Kapadia, and Tuckett (2021) confirmed empirically that news-based signals contain forward-looking information about market conditions, economic activity, and systemic risk. Baker, Bloom, and Davis (2016) operationalised this insight through the Economic Policy Uncertainty (EPU) index, showing newspaper-based indicators are strongly associated with investment, employment, and output. Barbaglia, Consoli, and Manzan (2023) further demonstrated that topic-specific risk pillars outperform generic uncertainty indices for forecasting inflation, directly validating the pillar-level architecture of the African Inflation Risk Index (AIRI). Gentzkow, Kelly, and Taddy (2019) justified rule-based, interpretable construction over opaque machine-learning approaches for policy-relevant surveillance.</w:t>
      </w:r>
    </w:p>
    <w:p w14:paraId="5FB59481" w14:textId="77777777" w:rsidR="004515F3" w:rsidRDefault="003607A6" w:rsidP="00087194">
      <w:pPr>
        <w:pStyle w:val="BodyText"/>
        <w:jc w:val="both"/>
      </w:pPr>
      <w:r>
        <w:t xml:space="preserve">Despite this progress, the literature remains concentrated on advanced economies. The EPU covers fewer than fifteen African countries; the World Uncertainty Index (Ahir, Bloom, and Furceri 2018) relies on standardised reports rather than domestic corpora. No existing index provides a pillar-level inflation risk measure for Africa, and no study has formally tested whether such signals predict realised inflation across the continent using panel methods. This gap is consequential: African economies face structural data delays, commodity-driven inflation, rapid exchange rate pass-through, and weak monetary policy credibility—precisely the conditions under which narrative signals should most reliably precede realised price movements (Buell et al. 2021; Olamide, Ogujiuba, and Maredza 2022; Kasekende, </w:t>
      </w:r>
      <w:r>
        <w:lastRenderedPageBreak/>
        <w:t>Atingi-Ego, and Durevall 2018). This study addresses the gap by subjecting the AIRI inflation pillar to panel econometric testing, providing the first systematic evidence on whether news-based inflation risk narratives constitute a credible forward-looking indicator of realised inflation across African economies.</w:t>
      </w:r>
    </w:p>
    <w:p w14:paraId="540EFC84" w14:textId="77777777" w:rsidR="004515F3" w:rsidRDefault="003607A6" w:rsidP="00087194">
      <w:pPr>
        <w:pStyle w:val="Heading2"/>
        <w:jc w:val="both"/>
      </w:pPr>
      <w:r>
        <w:t>Inflation Measurement and Data Constraints in Africa</w:t>
      </w:r>
    </w:p>
    <w:p w14:paraId="5DFA441F" w14:textId="77777777" w:rsidR="004515F3" w:rsidRDefault="003607A6" w:rsidP="00087194">
      <w:pPr>
        <w:pStyle w:val="FirstParagraph"/>
        <w:jc w:val="both"/>
      </w:pPr>
      <w:r>
        <w:t>A shift in perspective from theory to the harsh structural realities and data constraints is necessary for research on inflation dynamics in Africa. Compared to industrialised countries, where demand-side pressures are more deeply embedded, inflation in Africa is far more vulnerable to supply-side shocks. These are mostly caused by major currency devaluations, shocks to the world’s food supply, and the impact of climate change on local agricultural output (Durevall and Sjö 2012).</w:t>
      </w:r>
    </w:p>
    <w:p w14:paraId="65142FE0" w14:textId="77777777" w:rsidR="004515F3" w:rsidRDefault="003607A6" w:rsidP="00087194">
      <w:pPr>
        <w:pStyle w:val="BodyText"/>
        <w:jc w:val="both"/>
      </w:pPr>
      <w:r>
        <w:t>A persistent issue that exacerbates structural instability is a lack of data. While African nations have been mostly reliant on the traditional Consumer Price Index (CPI), the developed world uses high-frequency administrative data infrastructure to track changes in the economy. The conventional indexes, however, are low frequency (usually monthly), have considerable reporting time delays, and are not sufficiently precise to reflect the localised character of price shocks (Blinder et al. 2024; Yeboah, Agyei, and Korsah 2025). Moreover, there has been considerable geographical diversity over the years. Long-run inflation series are severely data-limited, yet the inflation mechanisms and persistence vary dramatically throughout the continent, between resource-rich and non-resource-rich nations (Kelikume 2018; Phiri 2016). The environment is varied and data-poor, making it difficult to respond in real time with policies and challenging to use standard monetary policy processes such as inflation targeting.</w:t>
      </w:r>
    </w:p>
    <w:p w14:paraId="527DA3AD" w14:textId="77777777" w:rsidR="004515F3" w:rsidRDefault="003607A6" w:rsidP="00087194">
      <w:pPr>
        <w:pStyle w:val="BodyText"/>
        <w:jc w:val="both"/>
      </w:pPr>
      <w:r>
        <w:t>Researchers are consequently turning to other, higher-frequency digital indicators to overcome these limits. Nowcasting accuracy has been attained in other regions by utilising text-mining and natural language processing (NLP) techniques, ranging from basic lexicon-based models to cutting-edge Large Language Models (LLMs) such as InflaBERT, which are used to analyse real-time economic data from textual news and social media (Allard, Teiletche, and Zinebi 2024; D. P. Nguyen et al. 2025). It has also been established that the tone and attitude of central bank monetary policy announcements in Africa have a significant impact on inflation expectations (Odu, Aminu, and Ado 2024).</w:t>
      </w:r>
    </w:p>
    <w:p w14:paraId="38FD14FD" w14:textId="77777777" w:rsidR="004515F3" w:rsidRDefault="003607A6" w:rsidP="00087194">
      <w:pPr>
        <w:pStyle w:val="BodyText"/>
        <w:jc w:val="both"/>
      </w:pPr>
      <w:r>
        <w:t>However, despite this promise, traditional econometric techniques that are not text-based continue to predominate in economic research, and the use of news-based indicators in the empirical African literature remains quite restricted (Yeboah, Agyei, and Korsah 2025). There are clear methodological gaps at the national level. For instance, there is no automated text analysis of central bank communications for significant economies like Ghana or South Africa. Traditional CPI indicators are information-lagged; the use of news-based inflation risk indicators can therefore be a game-changer and a proactive tool to fill gaps in continental data and enable the collection of macroeconomic signals.</w:t>
      </w:r>
    </w:p>
    <w:p w14:paraId="601B1263" w14:textId="77777777" w:rsidR="004515F3" w:rsidRDefault="003607A6" w:rsidP="00087194">
      <w:pPr>
        <w:pStyle w:val="Heading2"/>
        <w:jc w:val="both"/>
      </w:pPr>
      <w:r>
        <w:lastRenderedPageBreak/>
        <w:t>Inflation Forecasting: Methods and Evolution</w:t>
      </w:r>
    </w:p>
    <w:p w14:paraId="099D5010" w14:textId="22B28437" w:rsidR="004515F3" w:rsidRDefault="003607A6" w:rsidP="00087194">
      <w:pPr>
        <w:pStyle w:val="FirstParagraph"/>
        <w:jc w:val="both"/>
      </w:pPr>
      <w:r>
        <w:t>The evolution of inflation forecasting methods cannot merely be described as an evolution from simple to more complex approaches, but rather a morphology through a search for the most effective and accurate approach as time and technology evolved. Starting with the Phillips curve, whose explanation of inflation rests on the unemployment gap, Phillips (1958) found an inverse relationship between unemployment and the rate of change of wages in the United Kingdom. Samuelson and Solow (1960) applied the approach to the United States and found the same inverse relationship between unemployment and inflation. Friedman (1968), however, argued that the relationship was unstable, positing that it worked only because workers and firms were assumed not to form expectations about future inflation. The expectations-augmented Phillips curve was subsequently introduced to address this concern, formalised empirically through the Non-Accelerating Inflation Rate of Unemployment (NAIRU)</w:t>
      </w:r>
      <w:r w:rsidR="00865C04">
        <w:t>,</w:t>
      </w:r>
      <w:r>
        <w:t>the unemployment rate consistent with stable inflation</w:t>
      </w:r>
      <w:r w:rsidR="00865C04">
        <w:t xml:space="preserve">, </w:t>
      </w:r>
      <w:r>
        <w:t>but the structural approach was further challenged by Lucas’s critique of econometric policy evaluation, which used the Phillips curve as its central illustration of how relationships can break down when agents adjust their expectations.</w:t>
      </w:r>
    </w:p>
    <w:p w14:paraId="73151F18" w14:textId="77777777" w:rsidR="004515F3" w:rsidRDefault="003607A6" w:rsidP="00087194">
      <w:pPr>
        <w:pStyle w:val="BodyText"/>
        <w:jc w:val="both"/>
      </w:pPr>
      <w:r>
        <w:t>Following the Phillips curve’s breakdown in the 1970s and failed replication attempts, Galí and Gertler (1999) argued that the failure stemmed from using the wrong measure of slack; by replacing the output gap with real marginal cost, they were able to restore the inflation relationship. Atkeson and Ohanian (2001) later compared the forecasting performance of NAIRU-based Phillips curve models against a naïve benchmark and found that none of the Phillips curve forecasts was more accurate than the naïve alternative.</w:t>
      </w:r>
    </w:p>
    <w:p w14:paraId="0C56DF25" w14:textId="77777777" w:rsidR="004515F3" w:rsidRDefault="003607A6" w:rsidP="00087194">
      <w:pPr>
        <w:pStyle w:val="BodyText"/>
        <w:jc w:val="both"/>
      </w:pPr>
      <w:r>
        <w:t>In response to the limitations of structural models, Sims (1980) proposed the Vector Autoregression, a less theoretically dependent and more data-driven framework, modelling macroeconomic variables jointly using their own past values rather than imposing structural restrictions. Stock and Watson (2001) applied a three-variable VAR of unemployment, interest rates, and inflation to US data and found it to be an effective forecasting tool. Cooley and LeRoy (1985), however, critiqued Sims (1980) for an identification problem, arguing that the VAR had hidden structure despite being presented as atheoretical; Sims himself acknowledged its constraint to a small number of variables, a problem he called “profligate parameterisation.”</w:t>
      </w:r>
    </w:p>
    <w:p w14:paraId="7BBB58FE" w14:textId="17EEB3B3" w:rsidR="004515F3" w:rsidRDefault="003607A6" w:rsidP="00087194">
      <w:pPr>
        <w:pStyle w:val="BodyText"/>
        <w:jc w:val="both"/>
      </w:pPr>
      <w:r>
        <w:t>Extensions that followed include: the Structural VAR, which added identification restrictions to improve interpretability (Blanchard and Quah 1989); the Bayesian VAR, which imposed discipline on coefficient estimates through priors (Litterman 1986); and the Factor-Augmented VAR, which enriched the information set with common factors extracted from large macroeconomic datasets (Bernanke, Boivin, and Eliasz 2005). Despite this evolution, Stock and Watson (1999) found that the simple autoregressive model performed as well as or better than many competing models across the G7 economies</w:t>
      </w:r>
      <w:r w:rsidR="00865C04">
        <w:t xml:space="preserve"> </w:t>
      </w:r>
      <w:r>
        <w:t>and the AR model has since become the standard benchmark for inflation forecasting evaluations, as further established by Stock and Watson (2007).</w:t>
      </w:r>
    </w:p>
    <w:p w14:paraId="5D51FE36" w14:textId="16709F85" w:rsidR="004515F3" w:rsidRDefault="003607A6" w:rsidP="00087194">
      <w:pPr>
        <w:pStyle w:val="BodyText"/>
        <w:jc w:val="both"/>
      </w:pPr>
      <w:r>
        <w:t xml:space="preserve">Following the global financial crisis of 2008 and the rapid development of machine learning tools, these methods have been applied to inflation forecasting. This approach has proven </w:t>
      </w:r>
      <w:r>
        <w:lastRenderedPageBreak/>
        <w:t>accurate, as demonstrated by Medeiros et al. (2021), who forecasted United States inflation using LASSO regression and random forest methods. Neural network models were similarly applied by Chakraborty and Joseph (2017), who showed that this approach performs better at forecasting during periods of structural breaks. However, a major challenge with machine learning is its opacity</w:t>
      </w:r>
      <w:r w:rsidR="00865C04">
        <w:t xml:space="preserve">, </w:t>
      </w:r>
      <w:r>
        <w:t>the main drivers of inflation cannot be readily identified, creating a tension between accuracy and interpretability. Gentzkow, Kelly, and Taddy (2019) note that models achieving strong forecasting performance through complex nonlinear relationships typically cannot explain what drives their predictions or why those predictions change over time.</w:t>
      </w:r>
    </w:p>
    <w:p w14:paraId="2D9233DC" w14:textId="77777777" w:rsidR="004515F3" w:rsidRDefault="003607A6" w:rsidP="00087194">
      <w:pPr>
        <w:pStyle w:val="BodyText"/>
        <w:jc w:val="both"/>
      </w:pPr>
      <w:r>
        <w:t>An emerging approach to inflation forecasting is the news-based framework, which carries the advantage of being forward-looking, though most evidence remains concentrated in advanced economies. Shapiro, Sudhof, and Wilson (2022) established the link between media narratives and price dynamics in the United States. In Norway, Larsen, Thorsrud, and Zhulanova (2021) used machine learning tools to demonstrate that media-reported topics are strong predictors of inflation. In Europe, Barbaglia, Consoli, and Manzan (2023) found that topic-specific sentiment indicators targeting inflation-related narratives substantially outperform both generic sentiment measures and standard AR benchmarks in out-of-sample forecasting, with predictive gains concentrated at horizons of three to six months. Different methods have also been explored in the African literature to forecast inflation.</w:t>
      </w:r>
    </w:p>
    <w:p w14:paraId="5CDC5B62" w14:textId="1F94E32B" w:rsidR="004515F3" w:rsidRDefault="003607A6" w:rsidP="00087194">
      <w:pPr>
        <w:pStyle w:val="BodyText"/>
        <w:jc w:val="both"/>
      </w:pPr>
      <w:r>
        <w:t>For Africa, A. D. M. Nguyen et al. (2017) employed a Global VAR to identify the drivers of inflation in Sub-Saharan Africa, while Alper, Hobdari, and Uppal (2016) investigated the heterogeneity of inflation dynamics across income groups in Sub-Saharan Africa. Both studies relied on backward-looking official data for their predictions. The literature on news-based approaches to inflation forecasting in Africa is scarce</w:t>
      </w:r>
      <w:r w:rsidR="00865C04">
        <w:t xml:space="preserve">, </w:t>
      </w:r>
      <w:r>
        <w:t>the closest attempt was by Salisu, Salisu, and Salisu (2024), who constructed an economic policy uncertainty index for Nigeria using newspaper text. However, this exercise was limited to a single country.</w:t>
      </w:r>
    </w:p>
    <w:p w14:paraId="0CAA9DFD" w14:textId="61DD59A0" w:rsidR="004515F3" w:rsidRDefault="003607A6" w:rsidP="00087194">
      <w:pPr>
        <w:pStyle w:val="BodyText"/>
        <w:jc w:val="both"/>
      </w:pPr>
      <w:r>
        <w:t xml:space="preserve">No existing study has applied a news-based inflation forecasting framework to all African countries. African economies are </w:t>
      </w:r>
      <w:r w:rsidR="00865C04">
        <w:t>characterized</w:t>
      </w:r>
      <w:r>
        <w:t xml:space="preserve"> </w:t>
      </w:r>
      <w:r w:rsidR="00865C04">
        <w:t>by the</w:t>
      </w:r>
      <w:r>
        <w:t xml:space="preserve"> conditions under which news-based signals should be most valuable</w:t>
      </w:r>
      <w:r w:rsidR="00865C04">
        <w:t xml:space="preserve">; </w:t>
      </w:r>
      <w:r>
        <w:t>high inflation volatility, weak expectation anchoring, severe data constraints, and limited availability of high-frequency official statistics. The present study directly addresses this gap by providing the first systematic panel VAR assessment of whether the AIRI contains incremental predictive information for realised inflation across all 46 African economies, whether that predictive content varies systematically across country groups defined by inflation history, and whether the AIRI improves the forecast value of macroeconomic models.</w:t>
      </w:r>
    </w:p>
    <w:p w14:paraId="087BAF28" w14:textId="77777777" w:rsidR="004515F3" w:rsidRDefault="003607A6" w:rsidP="00087194">
      <w:pPr>
        <w:pStyle w:val="Heading1"/>
        <w:jc w:val="both"/>
      </w:pPr>
      <w:r>
        <w:t>Methodology</w:t>
      </w:r>
    </w:p>
    <w:p w14:paraId="0BFB4682" w14:textId="77777777" w:rsidR="004515F3" w:rsidRDefault="003607A6" w:rsidP="00087194">
      <w:pPr>
        <w:pStyle w:val="FirstParagraph"/>
        <w:jc w:val="both"/>
      </w:pPr>
      <w:r>
        <w:t>This section attempts to formalize the evaluation of the predictive power of the AIRI inflation pillar. The Panel VAR is used to establish the statistical relationship between the lagged values of the AIRI and realized inflation and evaluate its predictive power across varying macroeconomic contexts (high and low inflation). The forecast evaluation checks if the AIRI inflation pillar improves forecast accuracy in models.</w:t>
      </w:r>
    </w:p>
    <w:p w14:paraId="41CCACD0" w14:textId="77777777" w:rsidR="004515F3" w:rsidRDefault="003607A6" w:rsidP="00087194">
      <w:pPr>
        <w:pStyle w:val="Heading2"/>
        <w:jc w:val="both"/>
      </w:pPr>
      <w:r>
        <w:lastRenderedPageBreak/>
        <w:t>Data</w:t>
      </w:r>
    </w:p>
    <w:p w14:paraId="640E7B41" w14:textId="77777777" w:rsidR="004515F3" w:rsidRDefault="003607A6" w:rsidP="00087194">
      <w:pPr>
        <w:pStyle w:val="FirstParagraph"/>
        <w:jc w:val="both"/>
      </w:pPr>
      <w:r>
        <w:t>We compute inflation risk as a decomposed component of the aggregate news-based index for Africa. The index captures inflation threats framed in newspaper narrative. The article-level scoring architecture used to derive the index includes economic relevance screening, ordinal severity tiering, confidence weighting, and multi-pillar mapping that identifies the inflation</w:t>
      </w:r>
      <w:r w:rsidR="004B6D27">
        <w:t xml:space="preserve"> risk</w:t>
      </w:r>
      <w:r>
        <w:t>. By definition, the inflation risk index used in this paper is the normalised sum of article risk scores restricted to inflation-tagged articles, scaled to policy-friendly levels. The key characteristics of the index include monotonicity, non-negativity, and traceability, i.e. each contribution can be traced to a specific article, its matched dictionary term, severity tier, and weight component. Also, because the denominator is the total corpus size rather than the count of inflation articles, a country with more media output does not mechanically record more inflation risk, hence achieving volume comparability across countries.</w:t>
      </w:r>
    </w:p>
    <w:p w14:paraId="1A9B68B2" w14:textId="77777777" w:rsidR="004515F3" w:rsidRDefault="003607A6" w:rsidP="00087194">
      <w:pPr>
        <w:pStyle w:val="Heading3"/>
        <w:jc w:val="both"/>
      </w:pPr>
      <w:r>
        <w:t>Data Processing</w:t>
      </w:r>
    </w:p>
    <w:p w14:paraId="570C46B6" w14:textId="77777777" w:rsidR="004515F3" w:rsidRDefault="003607A6" w:rsidP="00087194">
      <w:pPr>
        <w:pStyle w:val="Heading4"/>
        <w:jc w:val="both"/>
      </w:pPr>
      <w:r>
        <w:t>Corpus Assembly.</w:t>
      </w:r>
    </w:p>
    <w:p w14:paraId="0D0189FD" w14:textId="77777777" w:rsidR="004515F3" w:rsidRDefault="003607A6" w:rsidP="00087194">
      <w:pPr>
        <w:pStyle w:val="FirstParagraph"/>
        <w:jc w:val="both"/>
      </w:pPr>
      <w:r>
        <w:t xml:space="preserve">All news articles are scraped for each country </w:t>
      </w:r>
      <w:proofErr w:type="spellStart"/>
      <w:r w:rsidR="00950EEC" w:rsidRPr="00950EEC">
        <w:rPr>
          <w:i/>
        </w:rPr>
        <w:t>c</w:t>
      </w:r>
      <w:r w:rsidR="00950EEC">
        <w:t xml:space="preserve"> </w:t>
      </w:r>
      <w:r>
        <w:t>at</w:t>
      </w:r>
      <w:proofErr w:type="spellEnd"/>
      <w:r>
        <w:t xml:space="preserve"> time period </w:t>
      </w:r>
      <m:oMath>
        <m:r>
          <w:rPr>
            <w:rFonts w:ascii="Cambria Math" w:hAnsi="Cambria Math"/>
          </w:rPr>
          <m:t>t</m:t>
        </m:r>
      </m:oMath>
      <w:proofErr w:type="gramStart"/>
      <w:r>
        <w:t>,</w:t>
      </w:r>
      <w:r w:rsidR="00950EEC" w:rsidRPr="00950EEC">
        <w:rPr>
          <w:rFonts w:ascii="Times New Roman" w:eastAsia="Times New Roman" w:hAnsi="Times New Roman" w:cs="Times New Roman"/>
          <w:color w:val="1A1A1A"/>
          <w:sz w:val="22"/>
          <w:szCs w:val="22"/>
          <w:lang w:val="en-NG" w:eastAsia="en-NG"/>
        </w:rPr>
        <w:t xml:space="preserve"> </w:t>
      </w:r>
      <w:r w:rsidR="00950EEC" w:rsidRPr="00950EEC">
        <w:rPr>
          <w:lang w:val="en-NG"/>
        </w:rPr>
        <w:t>,</w:t>
      </w:r>
      <w:proofErr w:type="gramEnd"/>
      <w:r w:rsidR="00950EEC" w:rsidRPr="00950EEC">
        <w:rPr>
          <w:lang w:val="en-NG"/>
        </w:rPr>
        <w:t xml:space="preserve"> and the total count of all articles</w:t>
      </w:r>
      <w:r w:rsidR="00950EEC">
        <w:t>,</w:t>
      </w:r>
      <w:r>
        <w:t xml:space="preserve"> </w:t>
      </w:r>
      <w:proofErr w:type="spellStart"/>
      <w:r w:rsidR="00950EEC" w:rsidRPr="00950EEC">
        <w:rPr>
          <w:lang w:val="en-NG"/>
        </w:rPr>
        <w:t>N</w:t>
      </w:r>
      <w:r w:rsidR="00950EEC" w:rsidRPr="00950EEC">
        <w:rPr>
          <w:vertAlign w:val="subscript"/>
          <w:lang w:val="en-NG"/>
        </w:rPr>
        <w:t>c,t</w:t>
      </w:r>
      <w:proofErr w:type="spellEnd"/>
      <w:r w:rsidR="00950EEC" w:rsidRPr="00950EEC">
        <w:rPr>
          <w:lang w:val="en-NG"/>
        </w:rPr>
        <w:t xml:space="preserve"> = |</w:t>
      </w:r>
      <w:proofErr w:type="spellStart"/>
      <w:r w:rsidR="00950EEC" w:rsidRPr="00950EEC">
        <w:rPr>
          <w:lang w:val="en-NG"/>
        </w:rPr>
        <w:t>I</w:t>
      </w:r>
      <w:r w:rsidR="00950EEC" w:rsidRPr="00950EEC">
        <w:rPr>
          <w:vertAlign w:val="subscript"/>
          <w:lang w:val="en-NG"/>
        </w:rPr>
        <w:t>c,t</w:t>
      </w:r>
      <w:proofErr w:type="spellEnd"/>
      <w:r w:rsidR="00950EEC" w:rsidRPr="00950EEC">
        <w:rPr>
          <w:lang w:val="en-NG"/>
        </w:rPr>
        <w:t xml:space="preserve">|, is used as the denominator, where </w:t>
      </w:r>
      <w:proofErr w:type="spellStart"/>
      <w:r w:rsidR="00950EEC" w:rsidRPr="00950EEC">
        <w:rPr>
          <w:lang w:val="en-NG"/>
        </w:rPr>
        <w:t>I</w:t>
      </w:r>
      <w:r w:rsidR="00950EEC" w:rsidRPr="00950EEC">
        <w:rPr>
          <w:vertAlign w:val="subscript"/>
          <w:lang w:val="en-NG"/>
        </w:rPr>
        <w:t>c,t</w:t>
      </w:r>
      <w:proofErr w:type="spellEnd"/>
      <w:r w:rsidR="00950EEC" w:rsidRPr="00950EEC">
        <w:rPr>
          <w:lang w:val="en-NG"/>
        </w:rPr>
        <w:t xml:space="preserve"> denotes the set of all articles retained for country </w:t>
      </w:r>
      <w:r w:rsidR="00950EEC" w:rsidRPr="00950EEC">
        <w:rPr>
          <w:i/>
          <w:iCs/>
          <w:lang w:val="en-NG"/>
        </w:rPr>
        <w:t>c</w:t>
      </w:r>
      <w:r w:rsidR="00950EEC" w:rsidRPr="00950EEC">
        <w:rPr>
          <w:lang w:val="en-NG"/>
        </w:rPr>
        <w:t xml:space="preserve"> in period </w:t>
      </w:r>
      <w:r w:rsidR="00950EEC" w:rsidRPr="00950EEC">
        <w:rPr>
          <w:i/>
          <w:iCs/>
          <w:lang w:val="en-NG"/>
        </w:rPr>
        <w:t>t</w:t>
      </w:r>
      <w:r w:rsidR="00950EEC" w:rsidRPr="00950EEC">
        <w:rPr>
          <w:lang w:val="en-NG"/>
        </w:rPr>
        <w:t>.</w:t>
      </w:r>
      <w:r w:rsidR="00950EEC">
        <w:t xml:space="preserve"> </w:t>
      </w:r>
      <w:r>
        <w:t>This allows for the anchoring of the pillar to the full corpus rather than just inflation-related articles, to ensure that the measure reflects the prominence of inflation narrative within the entire media landscape and comparison across countries with differing publication volumes.</w:t>
      </w:r>
    </w:p>
    <w:p w14:paraId="0F176889" w14:textId="77777777" w:rsidR="004515F3" w:rsidRDefault="003607A6" w:rsidP="00087194">
      <w:pPr>
        <w:pStyle w:val="Heading4"/>
        <w:jc w:val="both"/>
      </w:pPr>
      <w:r>
        <w:t>Economic relevance screening.</w:t>
      </w:r>
    </w:p>
    <w:p w14:paraId="1011F709" w14:textId="77777777" w:rsidR="004515F3" w:rsidRPr="00950EEC" w:rsidRDefault="00950EEC" w:rsidP="00950EEC">
      <w:pPr>
        <w:spacing w:before="120"/>
        <w:jc w:val="center"/>
      </w:pPr>
      <w:r>
        <w:rPr>
          <w:color w:val="1A1A1A"/>
          <w:sz w:val="22"/>
          <w:szCs w:val="22"/>
        </w:rPr>
        <w:t>R</w:t>
      </w:r>
      <w:r>
        <w:rPr>
          <w:sz w:val="22"/>
          <w:szCs w:val="22"/>
          <w:vertAlign w:val="subscript"/>
        </w:rPr>
        <w:t>i</w:t>
      </w:r>
      <w:r>
        <w:rPr>
          <w:color w:val="1A1A1A"/>
          <w:sz w:val="22"/>
          <w:szCs w:val="22"/>
        </w:rPr>
        <w:t xml:space="preserve"> = 1{x</w:t>
      </w:r>
      <w:r>
        <w:rPr>
          <w:sz w:val="22"/>
          <w:szCs w:val="22"/>
          <w:vertAlign w:val="subscript"/>
        </w:rPr>
        <w:t>i</w:t>
      </w:r>
      <w:r>
        <w:rPr>
          <w:color w:val="1A1A1A"/>
          <w:sz w:val="22"/>
          <w:szCs w:val="22"/>
        </w:rPr>
        <w:t xml:space="preserve"> matches </w:t>
      </w:r>
      <w:r>
        <w:rPr>
          <w:i/>
          <w:iCs/>
          <w:color w:val="1A1A1A"/>
          <w:sz w:val="22"/>
          <w:szCs w:val="22"/>
        </w:rPr>
        <w:t>ECON_RELEVANCE_TERMS</w:t>
      </w:r>
      <w:r>
        <w:rPr>
          <w:color w:val="1A1A1A"/>
          <w:sz w:val="22"/>
          <w:szCs w:val="22"/>
        </w:rPr>
        <w:t>}.</w:t>
      </w:r>
    </w:p>
    <w:p w14:paraId="1C3ECEA4" w14:textId="77777777" w:rsidR="004515F3" w:rsidRDefault="00230CBE" w:rsidP="00087194">
      <w:pPr>
        <w:pStyle w:val="FirstParagraph"/>
        <w:jc w:val="both"/>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3607A6">
        <w:t>. Only relevant articles proceed to scoring.</w:t>
      </w:r>
    </w:p>
    <w:p w14:paraId="308A3029" w14:textId="77777777" w:rsidR="004515F3" w:rsidRDefault="003607A6" w:rsidP="00087194">
      <w:pPr>
        <w:pStyle w:val="BodyText"/>
        <w:jc w:val="both"/>
      </w:pPr>
      <w:r>
        <w:t>Every article scraped is passed through a dictionary-based economic relevance filter. An article is tagged relevant if its concatenated title and body matched at least one term in the economic relevance dictionary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oMath>
      <w:r>
        <w:t>); otherwise, it is assigned zero. This ensures that other news cycles, such as politics, sports, or crime, will not contaminate the inflation signal.</w:t>
      </w:r>
    </w:p>
    <w:p w14:paraId="406672C8" w14:textId="77777777" w:rsidR="00C33FDC" w:rsidRDefault="00C33FDC" w:rsidP="00C33FDC">
      <w:pPr>
        <w:pStyle w:val="Heading4"/>
        <w:jc w:val="both"/>
      </w:pPr>
      <w:r>
        <w:t>Inflation risk mapping.</w:t>
      </w:r>
    </w:p>
    <w:p w14:paraId="354E2CFC" w14:textId="77777777" w:rsidR="00C33FDC" w:rsidRDefault="00C33FDC" w:rsidP="00C33FDC">
      <w:pPr>
        <w:spacing w:before="100" w:beforeAutospacing="1" w:after="100" w:afterAutospacing="1"/>
        <w:jc w:val="both"/>
        <w:rPr>
          <w:rFonts w:ascii="Times New Roman" w:eastAsia="Times New Roman" w:hAnsi="Times New Roman" w:cs="Times New Roman"/>
          <w:lang w:val="en-NG" w:eastAsia="en-NG"/>
        </w:rPr>
      </w:pPr>
      <w:r>
        <w:rPr>
          <w:rFonts w:ascii="Times New Roman" w:eastAsia="Times New Roman" w:hAnsi="Times New Roman" w:cs="Times New Roman"/>
          <w:lang w:eastAsia="en-NG"/>
        </w:rPr>
        <w:t>Broadly,</w:t>
      </w:r>
      <w:r w:rsidRPr="00E63BB4">
        <w:rPr>
          <w:rFonts w:ascii="Times New Roman" w:eastAsia="Times New Roman" w:hAnsi="Times New Roman" w:cs="Times New Roman"/>
          <w:lang w:val="en-NG" w:eastAsia="en-NG"/>
        </w:rPr>
        <w:t xml:space="preserve"> every relevant article is checked against the full set of risk pillar dictionaries defined in the AERI framework. </w:t>
      </w:r>
      <w:r>
        <w:rPr>
          <w:rFonts w:ascii="Times New Roman" w:eastAsia="Times New Roman" w:hAnsi="Times New Roman" w:cs="Times New Roman"/>
          <w:lang w:eastAsia="en-NG"/>
        </w:rPr>
        <w:t>L</w:t>
      </w:r>
      <w:r w:rsidRPr="00E63BB4">
        <w:rPr>
          <w:rFonts w:ascii="Times New Roman" w:eastAsia="Times New Roman" w:hAnsi="Times New Roman" w:cs="Times New Roman"/>
          <w:lang w:val="en-NG" w:eastAsia="en-NG"/>
        </w:rPr>
        <w:t xml:space="preserve">et </w:t>
      </w:r>
      <w:r w:rsidRPr="00E63BB4">
        <w:rPr>
          <w:rFonts w:ascii="Times New Roman" w:eastAsia="Times New Roman" w:hAnsi="Times New Roman" w:cs="Times New Roman"/>
          <w:i/>
          <w:iCs/>
          <w:lang w:val="en-NG" w:eastAsia="en-NG"/>
        </w:rPr>
        <w:t>p</w:t>
      </w:r>
      <w:r w:rsidRPr="00E63BB4">
        <w:rPr>
          <w:rFonts w:ascii="Times New Roman" w:eastAsia="Times New Roman" w:hAnsi="Times New Roman" w:cs="Times New Roman"/>
          <w:lang w:val="en-NG" w:eastAsia="en-NG"/>
        </w:rPr>
        <w:t xml:space="preserve"> </w:t>
      </w:r>
      <w:r w:rsidRPr="00E63BB4">
        <w:rPr>
          <w:rFonts w:ascii="Cambria Math" w:eastAsia="Times New Roman" w:hAnsi="Cambria Math" w:cs="Cambria Math"/>
          <w:lang w:val="en-NG" w:eastAsia="en-NG"/>
        </w:rPr>
        <w:t>∈</w:t>
      </w:r>
      <w:r w:rsidRPr="00E63BB4">
        <w:rPr>
          <w:rFonts w:ascii="Times New Roman" w:eastAsia="Times New Roman" w:hAnsi="Times New Roman" w:cs="Times New Roman"/>
          <w:lang w:val="en-NG" w:eastAsia="en-NG"/>
        </w:rPr>
        <w:t xml:space="preserve"> {1, ..., </w:t>
      </w:r>
      <w:r w:rsidRPr="00E63BB4">
        <w:rPr>
          <w:rFonts w:ascii="Times New Roman" w:eastAsia="Times New Roman" w:hAnsi="Times New Roman" w:cs="Times New Roman"/>
          <w:i/>
          <w:iCs/>
          <w:lang w:val="en-NG" w:eastAsia="en-NG"/>
        </w:rPr>
        <w:t>P</w:t>
      </w:r>
      <w:r w:rsidRPr="00E63BB4">
        <w:rPr>
          <w:rFonts w:ascii="Times New Roman" w:eastAsia="Times New Roman" w:hAnsi="Times New Roman" w:cs="Times New Roman"/>
          <w:lang w:val="en-NG" w:eastAsia="en-NG"/>
        </w:rPr>
        <w:t xml:space="preserve">} index the </w:t>
      </w:r>
      <w:r w:rsidRPr="00E63BB4">
        <w:rPr>
          <w:rFonts w:ascii="Times New Roman" w:eastAsia="Times New Roman" w:hAnsi="Times New Roman" w:cs="Times New Roman"/>
          <w:i/>
          <w:iCs/>
          <w:lang w:val="en-NG" w:eastAsia="en-NG"/>
        </w:rPr>
        <w:t>P</w:t>
      </w:r>
      <w:r w:rsidRPr="00E63BB4">
        <w:rPr>
          <w:rFonts w:ascii="Times New Roman" w:eastAsia="Times New Roman" w:hAnsi="Times New Roman" w:cs="Times New Roman"/>
          <w:lang w:val="en-NG" w:eastAsia="en-NG"/>
        </w:rPr>
        <w:t xml:space="preserve"> risk pillars tracked by the framework (inflation risk, FX/external risk, debt/fiscal risk, and others), and let I_{</w:t>
      </w:r>
      <w:proofErr w:type="spellStart"/>
      <w:proofErr w:type="gramStart"/>
      <w:r w:rsidRPr="00E63BB4">
        <w:rPr>
          <w:rFonts w:ascii="Times New Roman" w:eastAsia="Times New Roman" w:hAnsi="Times New Roman" w:cs="Times New Roman"/>
          <w:lang w:val="en-NG" w:eastAsia="en-NG"/>
        </w:rPr>
        <w:t>p,i</w:t>
      </w:r>
      <w:proofErr w:type="spellEnd"/>
      <w:proofErr w:type="gramEnd"/>
      <w:r w:rsidRPr="00E63BB4">
        <w:rPr>
          <w:rFonts w:ascii="Times New Roman" w:eastAsia="Times New Roman" w:hAnsi="Times New Roman" w:cs="Times New Roman"/>
          <w:lang w:val="en-NG" w:eastAsia="en-NG"/>
        </w:rPr>
        <w:t xml:space="preserve">} </w:t>
      </w:r>
      <w:r w:rsidRPr="00E63BB4">
        <w:rPr>
          <w:rFonts w:ascii="Cambria Math" w:eastAsia="Times New Roman" w:hAnsi="Cambria Math" w:cs="Cambria Math"/>
          <w:lang w:val="en-NG" w:eastAsia="en-NG"/>
        </w:rPr>
        <w:t>∈</w:t>
      </w:r>
      <w:r w:rsidRPr="00E63BB4">
        <w:rPr>
          <w:rFonts w:ascii="Times New Roman" w:eastAsia="Times New Roman" w:hAnsi="Times New Roman" w:cs="Times New Roman"/>
          <w:lang w:val="en-NG" w:eastAsia="en-NG"/>
        </w:rPr>
        <w:t xml:space="preserve"> {0, 1} indicate whether article </w:t>
      </w:r>
      <w:proofErr w:type="spellStart"/>
      <w:r w:rsidRPr="00E63BB4">
        <w:rPr>
          <w:rFonts w:ascii="Times New Roman" w:eastAsia="Times New Roman" w:hAnsi="Times New Roman" w:cs="Times New Roman"/>
          <w:i/>
          <w:iCs/>
          <w:lang w:val="en-NG" w:eastAsia="en-NG"/>
        </w:rPr>
        <w:t>i</w:t>
      </w:r>
      <w:proofErr w:type="spellEnd"/>
      <w:r w:rsidRPr="00E63BB4">
        <w:rPr>
          <w:rFonts w:ascii="Times New Roman" w:eastAsia="Times New Roman" w:hAnsi="Times New Roman" w:cs="Times New Roman"/>
          <w:lang w:val="en-NG" w:eastAsia="en-NG"/>
        </w:rPr>
        <w:t xml:space="preserve"> matches pillar </w:t>
      </w:r>
      <w:r w:rsidRPr="00E63BB4">
        <w:rPr>
          <w:rFonts w:ascii="Times New Roman" w:eastAsia="Times New Roman" w:hAnsi="Times New Roman" w:cs="Times New Roman"/>
          <w:i/>
          <w:iCs/>
          <w:lang w:val="en-NG" w:eastAsia="en-NG"/>
        </w:rPr>
        <w:t>p</w:t>
      </w:r>
      <w:r w:rsidRPr="00E63BB4">
        <w:rPr>
          <w:rFonts w:ascii="Times New Roman" w:eastAsia="Times New Roman" w:hAnsi="Times New Roman" w:cs="Times New Roman"/>
          <w:lang w:val="en-NG" w:eastAsia="en-NG"/>
        </w:rPr>
        <w:t xml:space="preserve">'s dictionary. This assignment </w:t>
      </w:r>
      <w:r>
        <w:rPr>
          <w:rFonts w:ascii="Times New Roman" w:eastAsia="Times New Roman" w:hAnsi="Times New Roman" w:cs="Times New Roman"/>
          <w:lang w:eastAsia="en-NG"/>
        </w:rPr>
        <w:t xml:space="preserve">can be </w:t>
      </w:r>
      <w:r w:rsidRPr="00E63BB4">
        <w:rPr>
          <w:rFonts w:ascii="Times New Roman" w:eastAsia="Times New Roman" w:hAnsi="Times New Roman" w:cs="Times New Roman"/>
          <w:lang w:val="en-NG" w:eastAsia="en-NG"/>
        </w:rPr>
        <w:t>multi-label: a single article may simultaneously activate more than one</w:t>
      </w:r>
      <w:r>
        <w:rPr>
          <w:rFonts w:ascii="Times New Roman" w:eastAsia="Times New Roman" w:hAnsi="Times New Roman" w:cs="Times New Roman"/>
          <w:lang w:eastAsia="en-NG"/>
        </w:rPr>
        <w:t xml:space="preserve"> risk</w:t>
      </w:r>
      <w:r w:rsidRPr="00E63BB4">
        <w:rPr>
          <w:rFonts w:ascii="Times New Roman" w:eastAsia="Times New Roman" w:hAnsi="Times New Roman" w:cs="Times New Roman"/>
          <w:lang w:val="en-NG" w:eastAsia="en-NG"/>
        </w:rPr>
        <w:t xml:space="preserve"> pillar.</w:t>
      </w:r>
      <w:r w:rsidRPr="00C33FDC">
        <w:rPr>
          <w:rFonts w:ascii="Times New Roman" w:eastAsia="Times New Roman" w:hAnsi="Times New Roman" w:cs="Times New Roman"/>
          <w:lang w:val="en-NG" w:eastAsia="en-NG"/>
        </w:rPr>
        <w:t xml:space="preserve"> </w:t>
      </w:r>
      <w:r w:rsidRPr="00E63BB4">
        <w:rPr>
          <w:rFonts w:ascii="Times New Roman" w:eastAsia="Times New Roman" w:hAnsi="Times New Roman" w:cs="Times New Roman"/>
          <w:lang w:val="en-NG" w:eastAsia="en-NG"/>
        </w:rPr>
        <w:t xml:space="preserve">Of the </w:t>
      </w:r>
      <w:r w:rsidRPr="00E63BB4">
        <w:rPr>
          <w:rFonts w:ascii="Times New Roman" w:eastAsia="Times New Roman" w:hAnsi="Times New Roman" w:cs="Times New Roman"/>
          <w:i/>
          <w:iCs/>
          <w:lang w:val="en-NG" w:eastAsia="en-NG"/>
        </w:rPr>
        <w:t>P</w:t>
      </w:r>
      <w:r w:rsidRPr="00E63BB4">
        <w:rPr>
          <w:rFonts w:ascii="Times New Roman" w:eastAsia="Times New Roman" w:hAnsi="Times New Roman" w:cs="Times New Roman"/>
          <w:lang w:val="en-NG" w:eastAsia="en-NG"/>
        </w:rPr>
        <w:t xml:space="preserve"> pillars available, this paper isolates one: inflation risk.</w:t>
      </w:r>
    </w:p>
    <w:p w14:paraId="1320A095" w14:textId="77777777" w:rsidR="00C33FDC" w:rsidRPr="00C33FDC" w:rsidRDefault="00C33FDC" w:rsidP="00C33FDC">
      <w:pPr>
        <w:pStyle w:val="BodyText"/>
        <w:jc w:val="both"/>
      </w:pPr>
      <w:r w:rsidRPr="00C33FDC">
        <w:t xml:space="preserve">Each article is checked against the inflation risk dictionary, with terms including consumer prices, cost-of-living pressure, price surges, currency-driven pass-through, and others. The indicator </w:t>
      </w:r>
      <m:oMath>
        <m:sSub>
          <m:sSubPr>
            <m:ctrlPr>
              <w:rPr>
                <w:rFonts w:ascii="Cambria Math" w:hAnsi="Cambria Math"/>
              </w:rPr>
            </m:ctrlPr>
          </m:sSubPr>
          <m:e>
            <m:r>
              <w:rPr>
                <w:rFonts w:ascii="Cambria Math" w:hAnsi="Cambria Math"/>
              </w:rPr>
              <m:t>I</m:t>
            </m:r>
          </m:e>
          <m:sub>
            <m:r>
              <m:rPr>
                <m:nor/>
              </m:rPr>
              <m:t>inf</m:t>
            </m:r>
            <m:r>
              <m:rPr>
                <m:sty m:val="p"/>
              </m:rPr>
              <w:rPr>
                <w:rFonts w:ascii="Cambria Math" w:hAnsi="Cambria Math"/>
              </w:rPr>
              <m:t>,</m:t>
            </m:r>
            <m:r>
              <w:rPr>
                <w:rFonts w:ascii="Cambria Math" w:hAnsi="Cambria Math"/>
              </w:rPr>
              <m:t>i</m:t>
            </m:r>
          </m:sub>
        </m:sSub>
      </m:oMath>
      <w:r w:rsidRPr="00C33FDC">
        <w:t xml:space="preserve"> equals one when the article matches this dictionary and zero otherwise.</w:t>
      </w:r>
    </w:p>
    <w:p w14:paraId="65BD3038" w14:textId="77777777" w:rsidR="00C33FDC" w:rsidRPr="00E63BB4" w:rsidRDefault="00C33FDC" w:rsidP="00C33FDC">
      <w:pPr>
        <w:spacing w:before="100" w:beforeAutospacing="1" w:after="100" w:afterAutospacing="1"/>
        <w:jc w:val="both"/>
        <w:rPr>
          <w:rFonts w:ascii="Times New Roman" w:eastAsia="Times New Roman" w:hAnsi="Times New Roman" w:cs="Times New Roman"/>
          <w:lang w:val="en-NG" w:eastAsia="en-NG"/>
        </w:rPr>
      </w:pPr>
    </w:p>
    <w:p w14:paraId="25EFC81C" w14:textId="77777777" w:rsidR="00C33FDC" w:rsidRPr="00E63BB4" w:rsidRDefault="00C33FDC" w:rsidP="00C33FDC">
      <w:pPr>
        <w:pStyle w:val="BodyText"/>
      </w:pPr>
    </w:p>
    <w:p w14:paraId="7ADCA5FF" w14:textId="77777777" w:rsidR="00C33FDC" w:rsidRDefault="00230CBE" w:rsidP="00C33FDC">
      <w:pPr>
        <w:pStyle w:val="FirstParagraph"/>
        <w:jc w:val="both"/>
      </w:pPr>
      <m:oMathPara>
        <m:oMathParaPr>
          <m:jc m:val="center"/>
        </m:oMathParaPr>
        <m:oMath>
          <m:sSub>
            <m:sSubPr>
              <m:ctrlPr>
                <w:rPr>
                  <w:rFonts w:ascii="Cambria Math" w:hAnsi="Cambria Math"/>
                </w:rPr>
              </m:ctrlPr>
            </m:sSubPr>
            <m:e>
              <m:r>
                <w:rPr>
                  <w:rFonts w:ascii="Cambria Math" w:hAnsi="Cambria Math"/>
                </w:rPr>
                <m:t>I</m:t>
              </m:r>
            </m:e>
            <m:sub>
              <m:r>
                <m:rPr>
                  <m:nor/>
                </m:rPr>
                <m:t>inf</m:t>
              </m:r>
              <m:r>
                <m:rPr>
                  <m:sty m:val="p"/>
                </m:rPr>
                <w:rPr>
                  <w:rFonts w:ascii="Cambria Math" w:hAnsi="Cambria Math"/>
                </w:rPr>
                <m:t>,</m:t>
              </m:r>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matches INFLATION_PILLAR_TERMS</m:t>
          </m:r>
          <m:r>
            <m:rPr>
              <m:sty m:val="p"/>
            </m:rPr>
            <w:rPr>
              <w:rFonts w:ascii="Cambria Math" w:hAnsi="Cambria Math"/>
            </w:rPr>
            <m:t>}</m:t>
          </m:r>
        </m:oMath>
      </m:oMathPara>
    </w:p>
    <w:p w14:paraId="7DD920F1" w14:textId="77777777" w:rsidR="00C33FDC" w:rsidRDefault="00C33FDC" w:rsidP="00087194">
      <w:pPr>
        <w:pStyle w:val="BodyText"/>
        <w:jc w:val="both"/>
      </w:pPr>
    </w:p>
    <w:p w14:paraId="0DD1C0C1" w14:textId="77777777" w:rsidR="004515F3" w:rsidRDefault="003607A6" w:rsidP="00087194">
      <w:pPr>
        <w:pStyle w:val="Heading4"/>
        <w:jc w:val="both"/>
      </w:pPr>
      <w:r>
        <w:t>Severity tiering.</w:t>
      </w:r>
    </w:p>
    <w:p w14:paraId="42DC61B0" w14:textId="77777777" w:rsidR="004515F3" w:rsidRDefault="003607A6" w:rsidP="00087194">
      <w:pPr>
        <w:pStyle w:val="FirstParagraph"/>
        <w:jc w:val="both"/>
      </w:pPr>
      <w:r>
        <w:t xml:space="preserve">Articles receive an ordinal severity tier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from 0 to 4 based on their relevance, reflecting how strongly the economic issue is framed as threatening. Dictionaries are tiered, escalating from mild concerns to extreme events through deterioration and crisis language. Non-relevant articles are fixed to zero severity.</w:t>
      </w:r>
    </w:p>
    <w:p w14:paraId="1B9C71E9" w14:textId="77777777" w:rsidR="00C33FDC" w:rsidRPr="00C33FDC" w:rsidRDefault="001E7338" w:rsidP="00C33FDC">
      <w:pPr>
        <w:spacing w:before="120"/>
        <w:jc w:val="center"/>
        <w:rPr>
          <w:color w:val="1A1A1A"/>
          <w:sz w:val="22"/>
          <w:szCs w:val="22"/>
        </w:rPr>
      </w:pPr>
      <w:r>
        <w:rPr>
          <w:color w:val="1A1A1A"/>
          <w:sz w:val="22"/>
          <w:szCs w:val="22"/>
        </w:rPr>
        <w:t>S</w:t>
      </w:r>
      <w:r>
        <w:rPr>
          <w:sz w:val="22"/>
          <w:szCs w:val="22"/>
          <w:vertAlign w:val="subscript"/>
        </w:rPr>
        <w:t>i</w:t>
      </w:r>
      <w:r>
        <w:rPr>
          <w:color w:val="1A1A1A"/>
          <w:sz w:val="22"/>
          <w:szCs w:val="22"/>
        </w:rPr>
        <w:t xml:space="preserve"> ∈ {0, 1, 2, 3, 4</w:t>
      </w:r>
      <w:proofErr w:type="gramStart"/>
      <w:r>
        <w:rPr>
          <w:color w:val="1A1A1A"/>
          <w:sz w:val="22"/>
          <w:szCs w:val="22"/>
        </w:rPr>
        <w:t xml:space="preserve">},   </w:t>
      </w:r>
      <w:proofErr w:type="gramEnd"/>
      <w:r>
        <w:rPr>
          <w:color w:val="1A1A1A"/>
          <w:sz w:val="22"/>
          <w:szCs w:val="22"/>
        </w:rPr>
        <w:t>S</w:t>
      </w:r>
      <w:r>
        <w:rPr>
          <w:sz w:val="22"/>
          <w:szCs w:val="22"/>
          <w:vertAlign w:val="subscript"/>
        </w:rPr>
        <w:t>i</w:t>
      </w:r>
      <w:r>
        <w:rPr>
          <w:color w:val="1A1A1A"/>
          <w:sz w:val="22"/>
          <w:szCs w:val="22"/>
        </w:rPr>
        <w:t xml:space="preserve"> = 0 if R</w:t>
      </w:r>
      <w:r>
        <w:rPr>
          <w:sz w:val="22"/>
          <w:szCs w:val="22"/>
          <w:vertAlign w:val="subscript"/>
        </w:rPr>
        <w:t>i</w:t>
      </w:r>
      <w:r>
        <w:rPr>
          <w:color w:val="1A1A1A"/>
          <w:sz w:val="22"/>
          <w:szCs w:val="22"/>
        </w:rPr>
        <w:t xml:space="preserve"> = 0; otherwise S</w:t>
      </w:r>
      <w:r>
        <w:rPr>
          <w:sz w:val="22"/>
          <w:szCs w:val="22"/>
          <w:vertAlign w:val="subscript"/>
        </w:rPr>
        <w:t>i</w:t>
      </w:r>
      <w:r>
        <w:rPr>
          <w:color w:val="1A1A1A"/>
          <w:sz w:val="22"/>
          <w:szCs w:val="22"/>
        </w:rPr>
        <w:t xml:space="preserve"> = max{matched tier in </w:t>
      </w:r>
      <w:r>
        <w:rPr>
          <w:i/>
          <w:iCs/>
          <w:color w:val="1A1A1A"/>
          <w:sz w:val="22"/>
          <w:szCs w:val="22"/>
        </w:rPr>
        <w:t>SEVERITY_TIER_TERMS</w:t>
      </w:r>
      <w:r>
        <w:rPr>
          <w:color w:val="1A1A1A"/>
          <w:sz w:val="22"/>
          <w:szCs w:val="22"/>
        </w:rPr>
        <w:t>}.</w:t>
      </w:r>
    </w:p>
    <w:p w14:paraId="5BCAAA5F" w14:textId="77777777" w:rsidR="001E7338" w:rsidRPr="001E7338" w:rsidRDefault="001E7338" w:rsidP="001E7338">
      <w:pPr>
        <w:pStyle w:val="BodyText"/>
      </w:pPr>
    </w:p>
    <w:p w14:paraId="08F6D73B" w14:textId="77777777" w:rsidR="004515F3" w:rsidRDefault="003607A6" w:rsidP="00087194">
      <w:pPr>
        <w:pStyle w:val="Heading4"/>
        <w:jc w:val="both"/>
      </w:pPr>
      <w:r>
        <w:t>Confidence weighting.</w:t>
      </w:r>
    </w:p>
    <w:p w14:paraId="00ABA850" w14:textId="77777777" w:rsidR="004B6D27" w:rsidRDefault="004B6D27" w:rsidP="004B6D27">
      <w:pPr>
        <w:pStyle w:val="FirstParagraph"/>
        <w:jc w:val="both"/>
      </w:pPr>
      <w:r>
        <w:t xml:space="preserve">A confidence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applied to reflect each article’s impact according to the credibility of its signal. The following features add to a baseline of one: a high-salience risk cue in the headline adds 0.5, because titles </w:t>
      </w:r>
      <w:proofErr w:type="spellStart"/>
      <w:r>
        <w:t>summarise</w:t>
      </w:r>
      <w:proofErr w:type="spellEnd"/>
      <w:r>
        <w:t xml:space="preserve"> editorial emphasis; body text exceeding a minimum length threshold adds 0.2, to capture substantive content; and activation of at least two pillars adds 0.3, indicating interconnected rather than isolated stress. The weight is capped at the interval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so that no single unusually phrased article can dominate the aggregate.</w:t>
      </w:r>
    </w:p>
    <w:p w14:paraId="5464A92D" w14:textId="77777777" w:rsidR="004515F3" w:rsidRDefault="00230CBE" w:rsidP="00087194">
      <w:pPr>
        <w:pStyle w:val="FirstParagraph"/>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m:rPr>
              <m:nor/>
            </m:rPr>
            <m:t>clip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r>
                    <m:rPr>
                      <m:nor/>
                    </m:rPr>
                    <m:t>TitleHint</m:t>
                  </m:r>
                </m:e>
                <m:sub>
                  <m:r>
                    <w:rPr>
                      <w:rFonts w:ascii="Cambria Math" w:hAnsi="Cambria Math"/>
                    </w:rPr>
                    <m:t>i</m:t>
                  </m:r>
                </m:sub>
              </m:sSub>
              <m:r>
                <m:rPr>
                  <m:sty m:val="p"/>
                </m:rPr>
                <w:rPr>
                  <w:rFonts w:ascii="Cambria Math" w:hAnsi="Cambria Math"/>
                </w:rPr>
                <m:t>+</m:t>
              </m:r>
              <m:r>
                <w:rPr>
                  <w:rFonts w:ascii="Cambria Math" w:hAnsi="Cambria Math"/>
                </w:rPr>
                <m:t>0.2</m:t>
              </m:r>
              <m:r>
                <m:rPr>
                  <m:sty m:val="p"/>
                </m:rPr>
                <w:rPr>
                  <w:rFonts w:ascii="Cambria Math" w:hAnsi="Cambria Math"/>
                </w:rPr>
                <m:t>⋅</m:t>
              </m:r>
              <m:sSub>
                <m:sSubPr>
                  <m:ctrlPr>
                    <w:rPr>
                      <w:rFonts w:ascii="Cambria Math" w:hAnsi="Cambria Math"/>
                    </w:rPr>
                  </m:ctrlPr>
                </m:sSubPr>
                <m:e>
                  <m:r>
                    <m:rPr>
                      <m:nor/>
                    </m:rPr>
                    <m:t>LongText</m:t>
                  </m:r>
                </m:e>
                <m:sub>
                  <m:r>
                    <w:rPr>
                      <w:rFonts w:ascii="Cambria Math" w:hAnsi="Cambria Math"/>
                    </w:rPr>
                    <m:t>i</m:t>
                  </m:r>
                </m:sub>
              </m:sSub>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m:rPr>
                      <m:nor/>
                    </m:rPr>
                    <m:t>MultiPillar</m:t>
                  </m:r>
                </m:e>
                <m:sub>
                  <m:r>
                    <w:rPr>
                      <w:rFonts w:ascii="Cambria Math" w:hAnsi="Cambria Math"/>
                    </w:rPr>
                    <m:t>i</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 2</m:t>
              </m:r>
            </m:e>
          </m:d>
        </m:oMath>
      </m:oMathPara>
    </w:p>
    <w:p w14:paraId="34BB1252" w14:textId="77777777" w:rsidR="004515F3" w:rsidRDefault="003607A6" w:rsidP="00087194">
      <w:pPr>
        <w:pStyle w:val="FirstParagraph"/>
        <w:jc w:val="both"/>
      </w:pPr>
      <w:r>
        <w:t xml:space="preserve">where </w:t>
      </w:r>
      <m:oMath>
        <m:sSub>
          <m:sSubPr>
            <m:ctrlPr>
              <w:rPr>
                <w:rFonts w:ascii="Cambria Math" w:hAnsi="Cambria Math"/>
              </w:rPr>
            </m:ctrlPr>
          </m:sSubPr>
          <m:e>
            <m:r>
              <m:rPr>
                <m:nor/>
              </m:rPr>
              <m:t>TitleHint</m:t>
            </m:r>
          </m:e>
          <m:sub>
            <m:r>
              <w:rPr>
                <w:rFonts w:ascii="Cambria Math" w:hAnsi="Cambria Math"/>
              </w:rPr>
              <m:t>i</m:t>
            </m:r>
          </m:sub>
        </m:sSub>
      </m:oMath>
      <w:r>
        <w:t xml:space="preserve">, </w:t>
      </w:r>
      <m:oMath>
        <m:sSub>
          <m:sSubPr>
            <m:ctrlPr>
              <w:rPr>
                <w:rFonts w:ascii="Cambria Math" w:hAnsi="Cambria Math"/>
              </w:rPr>
            </m:ctrlPr>
          </m:sSubPr>
          <m:e>
            <m:r>
              <m:rPr>
                <m:nor/>
              </m:rPr>
              <m:t>LongText</m:t>
            </m:r>
          </m:e>
          <m:sub>
            <m:r>
              <w:rPr>
                <w:rFonts w:ascii="Cambria Math" w:hAnsi="Cambria Math"/>
              </w:rPr>
              <m:t>i</m:t>
            </m:r>
          </m:sub>
        </m:sSub>
      </m:oMath>
      <w:r>
        <w:t xml:space="preserve">, </w:t>
      </w:r>
      <m:oMath>
        <m:sSub>
          <m:sSubPr>
            <m:ctrlPr>
              <w:rPr>
                <w:rFonts w:ascii="Cambria Math" w:hAnsi="Cambria Math"/>
              </w:rPr>
            </m:ctrlPr>
          </m:sSubPr>
          <m:e>
            <m:r>
              <m:rPr>
                <m:nor/>
              </m:rPr>
              <m:t>MultiPillar</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are indicators for a headline risk cue, body length above threshold, and activation of at least two pillars, respectively, with</w:t>
      </w:r>
    </w:p>
    <w:p w14:paraId="07BA931B" w14:textId="77777777" w:rsidR="004515F3" w:rsidRDefault="00230CBE" w:rsidP="00087194">
      <w:pPr>
        <w:pStyle w:val="BodyText"/>
        <w:jc w:val="both"/>
      </w:pPr>
      <m:oMathPara>
        <m:oMathParaPr>
          <m:jc m:val="center"/>
        </m:oMathParaPr>
        <m:oMath>
          <m:sSub>
            <m:sSubPr>
              <m:ctrlPr>
                <w:rPr>
                  <w:rFonts w:ascii="Cambria Math" w:hAnsi="Cambria Math"/>
                </w:rPr>
              </m:ctrlPr>
            </m:sSubPr>
            <m:e>
              <m:r>
                <m:rPr>
                  <m:nor/>
                </m:rPr>
                <m:t>MultiPillar</m:t>
              </m:r>
            </m:e>
            <m:sub>
              <m:r>
                <w:rPr>
                  <w:rFonts w:ascii="Cambria Math" w:hAnsi="Cambria Math"/>
                </w:rPr>
                <m:t>i</m:t>
              </m:r>
            </m:sub>
          </m:sSub>
          <m:r>
            <m:rPr>
              <m:sty m:val="p"/>
            </m:rPr>
            <w:rPr>
              <w:rFonts w:ascii="Cambria Math" w:hAnsi="Cambria Math"/>
            </w:rPr>
            <m:t>=1</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2</m:t>
              </m:r>
            </m:e>
          </m:d>
        </m:oMath>
      </m:oMathPara>
    </w:p>
    <w:p w14:paraId="1BAA38F2" w14:textId="77777777" w:rsidR="004515F3" w:rsidRDefault="003607A6" w:rsidP="00087194">
      <w:pPr>
        <w:pStyle w:val="Heading4"/>
        <w:jc w:val="both"/>
      </w:pPr>
      <w:r>
        <w:t>Article-level risk score.</w:t>
      </w:r>
    </w:p>
    <w:p w14:paraId="6C574FFD" w14:textId="77777777" w:rsidR="004B6D27" w:rsidRDefault="004B6D27" w:rsidP="004B6D27">
      <w:pPr>
        <w:pStyle w:val="BodyText"/>
        <w:jc w:val="both"/>
      </w:pPr>
      <w:r>
        <w:t>The article is scored by multiplying its relevance, severity, and confidence, which ensures logical consistency. Irrelevant articles contribute zero, and mildly framed relevant articles contribute little. Every score rises based on its severity and confidence. Because of this feature, every generated index is therefore traceable to observed textual features.</w:t>
      </w:r>
    </w:p>
    <w:p w14:paraId="6CA47FF7" w14:textId="77777777" w:rsidR="004515F3" w:rsidRDefault="00230CBE" w:rsidP="00087194">
      <w:pPr>
        <w:pStyle w:val="FirstParagraph"/>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7DCE05A9" w14:textId="77777777" w:rsidR="00E63BB4" w:rsidRDefault="003607A6" w:rsidP="00C33FDC">
      <w:pPr>
        <w:pStyle w:val="FirstParagraph"/>
        <w:jc w:val="both"/>
      </w:pPr>
      <w:r>
        <w:t xml:space="preserve">so that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e>
        </m:d>
      </m:oMath>
      <w:r>
        <w:t>: zero when irrelevant, and between 1 (Tier-1 severity, baseline weight) and 8 (Tier-4 severity, maximum weight 2) when relevant.</w:t>
      </w:r>
    </w:p>
    <w:p w14:paraId="63BC29FD" w14:textId="77777777" w:rsidR="004515F3" w:rsidRDefault="003607A6" w:rsidP="00087194">
      <w:pPr>
        <w:pStyle w:val="Heading4"/>
        <w:jc w:val="both"/>
      </w:pPr>
      <w:r>
        <w:lastRenderedPageBreak/>
        <w:t>Aggregation to the country-period inflation risk index.</w:t>
      </w:r>
    </w:p>
    <w:p w14:paraId="44A3CA04" w14:textId="77777777" w:rsidR="004515F3" w:rsidRDefault="00230CBE" w:rsidP="00087194">
      <w:pPr>
        <w:pStyle w:val="FirstParagraph"/>
        <w:jc w:val="both"/>
      </w:pPr>
      <m:oMathPara>
        <m:oMathParaPr>
          <m:jc m:val="center"/>
        </m:oMathParaPr>
        <m:oMath>
          <m:sSub>
            <m:sSubPr>
              <m:ctrlPr>
                <w:rPr>
                  <w:rFonts w:ascii="Cambria Math" w:hAnsi="Cambria Math"/>
                </w:rPr>
              </m:ctrlPr>
            </m:sSubPr>
            <m:e>
              <m:r>
                <m:rPr>
                  <m:nor/>
                </m:rPr>
                <m:t>Inflation</m:t>
              </m:r>
            </m:e>
            <m:sub>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∈a</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inf</m:t>
                  </m:r>
                  <m:r>
                    <m:rPr>
                      <m:sty m:val="p"/>
                    </m:rPr>
                    <w:rPr>
                      <w:rFonts w:ascii="Cambria Math" w:hAnsi="Cambria Math"/>
                    </w:rPr>
                    <m:t>,</m:t>
                  </m:r>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t</m:t>
                  </m:r>
                </m:sub>
              </m:sSub>
            </m:den>
          </m:f>
        </m:oMath>
      </m:oMathPara>
    </w:p>
    <w:p w14:paraId="5A89E600" w14:textId="77777777" w:rsidR="004515F3" w:rsidRDefault="003607A6" w:rsidP="00087194">
      <w:pPr>
        <w:pStyle w:val="FirstParagraph"/>
        <w:jc w:val="both"/>
      </w:pPr>
      <w:r>
        <w:t>Substituting the article score gives the fully expanded form:</w:t>
      </w:r>
    </w:p>
    <w:p w14:paraId="77497313" w14:textId="77777777" w:rsidR="004515F3" w:rsidRDefault="00230CBE" w:rsidP="00087194">
      <w:pPr>
        <w:pStyle w:val="BodyText"/>
        <w:jc w:val="both"/>
      </w:pPr>
      <m:oMathPara>
        <m:oMathParaPr>
          <m:jc m:val="center"/>
        </m:oMathParaPr>
        <m:oMath>
          <m:sSub>
            <m:sSubPr>
              <m:ctrlPr>
                <w:rPr>
                  <w:rFonts w:ascii="Cambria Math" w:hAnsi="Cambria Math"/>
                </w:rPr>
              </m:ctrlPr>
            </m:sSubPr>
            <m:e>
              <m:r>
                <m:rPr>
                  <m:nor/>
                </m:rPr>
                <m:t>Inflation</m:t>
              </m:r>
            </m:e>
            <m:sub>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100</m:t>
              </m:r>
            </m:num>
            <m:den>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t</m:t>
                  </m:r>
                </m:sub>
              </m:sSub>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∈a</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nor/>
            </m:rPr>
            <m:t>clip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r>
                    <m:rPr>
                      <m:nor/>
                    </m:rPr>
                    <m:t>TitleHint</m:t>
                  </m:r>
                </m:e>
                <m:sub>
                  <m:r>
                    <w:rPr>
                      <w:rFonts w:ascii="Cambria Math" w:hAnsi="Cambria Math"/>
                    </w:rPr>
                    <m:t>i</m:t>
                  </m:r>
                </m:sub>
              </m:sSub>
              <m:r>
                <m:rPr>
                  <m:sty m:val="p"/>
                </m:rPr>
                <w:rPr>
                  <w:rFonts w:ascii="Cambria Math" w:hAnsi="Cambria Math"/>
                </w:rPr>
                <m:t>+</m:t>
              </m:r>
              <m:r>
                <w:rPr>
                  <w:rFonts w:ascii="Cambria Math" w:hAnsi="Cambria Math"/>
                </w:rPr>
                <m:t>0.2</m:t>
              </m:r>
              <m:r>
                <m:rPr>
                  <m:sty m:val="p"/>
                </m:rPr>
                <w:rPr>
                  <w:rFonts w:ascii="Cambria Math" w:hAnsi="Cambria Math"/>
                </w:rPr>
                <m:t>⋅</m:t>
              </m:r>
              <m:sSub>
                <m:sSubPr>
                  <m:ctrlPr>
                    <w:rPr>
                      <w:rFonts w:ascii="Cambria Math" w:hAnsi="Cambria Math"/>
                    </w:rPr>
                  </m:ctrlPr>
                </m:sSubPr>
                <m:e>
                  <m:r>
                    <m:rPr>
                      <m:nor/>
                    </m:rPr>
                    <m:t>LongText</m:t>
                  </m:r>
                </m:e>
                <m:sub>
                  <m:r>
                    <w:rPr>
                      <w:rFonts w:ascii="Cambria Math" w:hAnsi="Cambria Math"/>
                    </w:rPr>
                    <m:t>i</m:t>
                  </m:r>
                </m:sub>
              </m:sSub>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m:rPr>
                      <m:nor/>
                    </m:rPr>
                    <m:t>MultiPillar</m:t>
                  </m:r>
                </m:e>
                <m:sub>
                  <m:r>
                    <w:rPr>
                      <w:rFonts w:ascii="Cambria Math" w:hAnsi="Cambria Math"/>
                    </w:rPr>
                    <m:t>i</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 2</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inf</m:t>
              </m:r>
              <m:r>
                <m:rPr>
                  <m:sty m:val="p"/>
                </m:rPr>
                <w:rPr>
                  <w:rFonts w:ascii="Cambria Math" w:hAnsi="Cambria Math"/>
                </w:rPr>
                <m:t>,</m:t>
              </m:r>
              <m:r>
                <w:rPr>
                  <w:rFonts w:ascii="Cambria Math" w:hAnsi="Cambria Math"/>
                </w:rPr>
                <m:t>i</m:t>
              </m:r>
            </m:sub>
          </m:sSub>
        </m:oMath>
      </m:oMathPara>
    </w:p>
    <w:p w14:paraId="57D0A161" w14:textId="77777777" w:rsidR="004515F3" w:rsidRDefault="003607A6" w:rsidP="00087194">
      <w:pPr>
        <w:pStyle w:val="FirstParagraph"/>
        <w:jc w:val="both"/>
      </w:pPr>
      <w:r>
        <w:t>To derive the index, article scores are summed over the inflation-tagged subset of the corpus, divided by the total article count for the country-period, and scaled by 100. This results in an average inflation risk intensity per article, which rises when inflation narrative becomes more frequent, more severe, and more credible, and is insulated from mechanical differences in media volume across countries.</w:t>
      </w:r>
    </w:p>
    <w:p w14:paraId="79CBDB47" w14:textId="77777777" w:rsidR="00C33FDC" w:rsidRPr="00C33FDC" w:rsidRDefault="00C33FDC" w:rsidP="00C33FDC">
      <w:pPr>
        <w:pStyle w:val="BodyText"/>
      </w:pPr>
      <w:r>
        <w:t>To test the index derived, 46 countries (because of data limitation) from 2015 to 2025 were used to check the statistical relationship between the AIRI and realized inflation.</w:t>
      </w:r>
    </w:p>
    <w:p w14:paraId="1CA83938" w14:textId="77777777" w:rsidR="004515F3" w:rsidRDefault="003607A6" w:rsidP="00087194">
      <w:pPr>
        <w:pStyle w:val="Heading2"/>
        <w:jc w:val="both"/>
      </w:pPr>
      <w:r>
        <w:rPr>
          <w:b w:val="0"/>
        </w:rPr>
        <w:t>Empirical Analysis of AIRI: Stylized Facts on Inflation Risk vs. Inflation Rate Across Countries</w:t>
      </w:r>
    </w:p>
    <w:p w14:paraId="7CA7C7B9" w14:textId="77777777" w:rsidR="004515F3" w:rsidRDefault="003607A6" w:rsidP="00087194">
      <w:pPr>
        <w:pStyle w:val="BodyText"/>
        <w:jc w:val="both"/>
      </w:pPr>
      <w:r>
        <w:t>This note presents the full set of stylised-fact charts comparing the AIRI inflation-risk indicator with headline CPI inflation across 46 economies, with an interpretation placed directly beneath each chart (or group of charts making the same point).</w:t>
      </w:r>
    </w:p>
    <w:p w14:paraId="4BA5EEC1" w14:textId="77777777" w:rsidR="004515F3" w:rsidRDefault="003607A6" w:rsidP="00087194">
      <w:pPr>
        <w:pStyle w:val="Heading3"/>
        <w:jc w:val="both"/>
      </w:pPr>
      <w:r>
        <w:lastRenderedPageBreak/>
        <w:t>1. Country-Level Correlation Between AIRI and Headline Inflation</w:t>
      </w:r>
    </w:p>
    <w:p w14:paraId="37C54758" w14:textId="77777777" w:rsidR="004515F3" w:rsidRDefault="003607A6" w:rsidP="00087194">
      <w:pPr>
        <w:pStyle w:val="BodyText"/>
        <w:jc w:val="center"/>
      </w:pPr>
      <w:r>
        <w:rPr>
          <w:noProof/>
        </w:rPr>
        <w:drawing>
          <wp:inline distT="0" distB="0" distL="0" distR="0" wp14:anchorId="5DC10840" wp14:editId="516672F0">
            <wp:extent cx="3267075"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_0.png"/>
                    <pic:cNvPicPr/>
                  </pic:nvPicPr>
                  <pic:blipFill>
                    <a:blip r:embed="rId8"/>
                    <a:stretch>
                      <a:fillRect/>
                    </a:stretch>
                  </pic:blipFill>
                  <pic:spPr>
                    <a:xfrm>
                      <a:off x="0" y="0"/>
                      <a:ext cx="3267075" cy="4095750"/>
                    </a:xfrm>
                    <a:prstGeom prst="rect">
                      <a:avLst/>
                    </a:prstGeom>
                  </pic:spPr>
                </pic:pic>
              </a:graphicData>
            </a:graphic>
          </wp:inline>
        </w:drawing>
      </w:r>
    </w:p>
    <w:p w14:paraId="264EBDA8" w14:textId="77777777" w:rsidR="004515F3" w:rsidRDefault="003607A6" w:rsidP="00087194">
      <w:pPr>
        <w:pStyle w:val="BodyText"/>
        <w:jc w:val="center"/>
      </w:pPr>
      <w:r>
        <w:rPr>
          <w:noProof/>
        </w:rPr>
        <w:lastRenderedPageBreak/>
        <w:drawing>
          <wp:inline distT="0" distB="0" distL="0" distR="0" wp14:anchorId="62544C68" wp14:editId="57042F36">
            <wp:extent cx="3267075" cy="4095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_1.png"/>
                    <pic:cNvPicPr/>
                  </pic:nvPicPr>
                  <pic:blipFill>
                    <a:blip r:embed="rId9"/>
                    <a:stretch>
                      <a:fillRect/>
                    </a:stretch>
                  </pic:blipFill>
                  <pic:spPr>
                    <a:xfrm>
                      <a:off x="0" y="0"/>
                      <a:ext cx="3267075" cy="4095750"/>
                    </a:xfrm>
                    <a:prstGeom prst="rect">
                      <a:avLst/>
                    </a:prstGeom>
                  </pic:spPr>
                </pic:pic>
              </a:graphicData>
            </a:graphic>
          </wp:inline>
        </w:drawing>
      </w:r>
    </w:p>
    <w:p w14:paraId="35CEA2D5" w14:textId="77777777" w:rsidR="004515F3" w:rsidRDefault="003607A6" w:rsidP="00087194">
      <w:pPr>
        <w:pStyle w:val="BodyText"/>
        <w:jc w:val="center"/>
      </w:pPr>
      <w:r>
        <w:rPr>
          <w:i/>
        </w:rPr>
        <w:t>Figure 1a–1b. Country-level Pearson correlation between AIRI inflation risk and headline CPI inflation, ranked bar chart (left) and colour-coded heat map (right).</w:t>
      </w:r>
    </w:p>
    <w:p w14:paraId="5349A62F" w14:textId="77777777" w:rsidR="004515F3" w:rsidRDefault="003607A6" w:rsidP="00087194">
      <w:pPr>
        <w:pStyle w:val="BodyText"/>
        <w:jc w:val="both"/>
      </w:pPr>
      <w:r>
        <w:t>There is considerable cross-country variation. Tunisia (r = 0.793), Nigeria (r = 0.777), Burundi (r = 0.733), Morocco (r = 0.724), Ghana (r = 0.693), Algeria (r = 0.663), Malawi (r = 0.629), Cabo Verde (r = 0.580), and Burkina Faso (r = 0.526) show particularly strong positive relationships between AIRI inflation risk and realised inflation, meaning increases in the raw inflation-risk measure tend to coincide relatively closely with increases in observed CPI inflation in these economies. Across the full panel, the average country-level correlation is 0.281, and the median is 0.268; 38 of 46 countries (82.6%) show a positive relationship, and 32 are statistically significant at the 5% level. Only nine countries clear the “strong” threshold of r ≥ 0.50, while a handful of countries like Tanzania at r = -0.257, along with Seychelles, Angola, Mauritania, South Sudan, Eswatini, Gabon and Benin — show a negative or essentially flat relationship. In short, AIRI carries real signal about realised inflation in most countries, but its reliability is highly country-specific rather than universal.</w:t>
      </w:r>
    </w:p>
    <w:p w14:paraId="4B794CFD" w14:textId="77777777" w:rsidR="004515F3" w:rsidRDefault="003607A6" w:rsidP="00087194">
      <w:pPr>
        <w:pStyle w:val="Heading3"/>
        <w:jc w:val="both"/>
      </w:pPr>
      <w:r>
        <w:lastRenderedPageBreak/>
        <w:t>2. Cross-Country Relationship Between Average Inflation and Average AIRI Risk</w:t>
      </w:r>
    </w:p>
    <w:p w14:paraId="078B5FAE" w14:textId="77777777" w:rsidR="004515F3" w:rsidRDefault="003607A6" w:rsidP="00087194">
      <w:pPr>
        <w:pStyle w:val="BodyText"/>
        <w:jc w:val="center"/>
      </w:pPr>
      <w:r>
        <w:rPr>
          <w:noProof/>
        </w:rPr>
        <w:drawing>
          <wp:inline distT="0" distB="0" distL="0" distR="0" wp14:anchorId="56940701" wp14:editId="07DD89C8">
            <wp:extent cx="5000000" cy="3333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_0.png"/>
                    <pic:cNvPicPr/>
                  </pic:nvPicPr>
                  <pic:blipFill>
                    <a:blip r:embed="rId10"/>
                    <a:stretch>
                      <a:fillRect/>
                    </a:stretch>
                  </pic:blipFill>
                  <pic:spPr>
                    <a:xfrm>
                      <a:off x="0" y="0"/>
                      <a:ext cx="5000000" cy="3333333"/>
                    </a:xfrm>
                    <a:prstGeom prst="rect">
                      <a:avLst/>
                    </a:prstGeom>
                  </pic:spPr>
                </pic:pic>
              </a:graphicData>
            </a:graphic>
          </wp:inline>
        </w:drawing>
      </w:r>
    </w:p>
    <w:p w14:paraId="08E23A8E" w14:textId="77777777" w:rsidR="004515F3" w:rsidRDefault="003607A6" w:rsidP="00087194">
      <w:pPr>
        <w:pStyle w:val="BodyText"/>
        <w:jc w:val="center"/>
      </w:pPr>
      <w:r>
        <w:rPr>
          <w:i/>
        </w:rPr>
        <w:t>Figure 2. Mean headline CPI inflation versus mean AIRI inflation-risk value, one point per country, with a fitted regression line.</w:t>
      </w:r>
    </w:p>
    <w:p w14:paraId="69ED10BB" w14:textId="77777777" w:rsidR="004515F3" w:rsidRDefault="003607A6" w:rsidP="00087194">
      <w:pPr>
        <w:pStyle w:val="BodyText"/>
        <w:jc w:val="both"/>
      </w:pPr>
      <w:r>
        <w:t>At the level of country averages, higher long-run inflation is associated with a higher average AIRI reading, but the fit is loose and is heavily influenced by a few outliers. Seychelles sits far above the line, combining a low mean CPI (around 4%) with an unusually high mean AIRI value (around 20), while South Sudan sits far to the right, with an extreme mean CPI (around 96%) but only a moderate AIRI reading (around 6.5). The other 44 countries cluster tightly in the lower-left corner, with mean CPI below roughly 20% and mean AIRI below roughly 10. This means the overall positive slope is driven disproportionately by a small number of extreme cases rather than reflecting a tight, general relationship between typical inflation levels and typical AIRI readings.</w:t>
      </w:r>
    </w:p>
    <w:p w14:paraId="46A7CA26" w14:textId="77777777" w:rsidR="004515F3" w:rsidRDefault="003607A6" w:rsidP="00087194">
      <w:pPr>
        <w:pStyle w:val="Heading3"/>
        <w:jc w:val="both"/>
      </w:pPr>
      <w:r>
        <w:lastRenderedPageBreak/>
        <w:t>3. Distribution of the Pooled Panel</w:t>
      </w:r>
    </w:p>
    <w:p w14:paraId="2E02E315" w14:textId="77777777" w:rsidR="004515F3" w:rsidRDefault="003607A6" w:rsidP="00087194">
      <w:pPr>
        <w:pStyle w:val="BodyText"/>
        <w:jc w:val="center"/>
      </w:pPr>
      <w:r>
        <w:rPr>
          <w:noProof/>
        </w:rPr>
        <w:drawing>
          <wp:inline distT="0" distB="0" distL="0" distR="0" wp14:anchorId="58FB7E05" wp14:editId="431E60C8">
            <wp:extent cx="5000000" cy="24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_0.png"/>
                    <pic:cNvPicPr/>
                  </pic:nvPicPr>
                  <pic:blipFill>
                    <a:blip r:embed="rId11"/>
                    <a:stretch>
                      <a:fillRect/>
                    </a:stretch>
                  </pic:blipFill>
                  <pic:spPr>
                    <a:xfrm>
                      <a:off x="0" y="0"/>
                      <a:ext cx="5000000" cy="2475000"/>
                    </a:xfrm>
                    <a:prstGeom prst="rect">
                      <a:avLst/>
                    </a:prstGeom>
                  </pic:spPr>
                </pic:pic>
              </a:graphicData>
            </a:graphic>
          </wp:inline>
        </w:drawing>
      </w:r>
    </w:p>
    <w:p w14:paraId="3FCE56D9" w14:textId="77777777" w:rsidR="004515F3" w:rsidRDefault="003607A6" w:rsidP="00087194">
      <w:pPr>
        <w:pStyle w:val="BodyText"/>
        <w:jc w:val="center"/>
      </w:pPr>
      <w:r>
        <w:rPr>
          <w:i/>
        </w:rPr>
        <w:t>Figure 3. Box plots of headline CPI inflation (left) and AIRI inflation risk (right) pooled across all countries and time periods.</w:t>
      </w:r>
    </w:p>
    <w:p w14:paraId="69E6A1D7" w14:textId="77777777" w:rsidR="004515F3" w:rsidRDefault="003607A6" w:rsidP="00087194">
      <w:pPr>
        <w:pStyle w:val="BodyText"/>
        <w:jc w:val="both"/>
      </w:pPr>
      <w:r>
        <w:t>Pooling all country-month observations together, both series are heavily right-skewed. The interquartile box for CPI inflation sits close to single digits, but a long tail of outliers extends beyond 500%, driven chiefly by hyperinflation episodes such as South Sudan’s. AIRI risk shows the same shape on a more compressed scale: a narrow box roughly between 0 and 6, with outliers reaching above 50. Because both variables spend most of their time in a narrow “normal” range and are dominated in the tails by a small number of crisis episodes, the strength of the AIRI–CPI relationship in any given country depends heavily on how well those tail episodes line up between the two series, which helps explain the wide dispersion of country-level correlations seen in Figure 1.</w:t>
      </w:r>
    </w:p>
    <w:p w14:paraId="4FDB9B3B" w14:textId="77777777" w:rsidR="004515F3" w:rsidRDefault="003607A6" w:rsidP="00087194">
      <w:pPr>
        <w:pStyle w:val="Heading3"/>
        <w:jc w:val="both"/>
      </w:pPr>
      <w:r>
        <w:lastRenderedPageBreak/>
        <w:t>4. Country-by-Country Spread of CPI Inflation and AIRI Risk</w:t>
      </w:r>
    </w:p>
    <w:p w14:paraId="36DF1661" w14:textId="77777777" w:rsidR="004515F3" w:rsidRDefault="003607A6" w:rsidP="00087194">
      <w:pPr>
        <w:pStyle w:val="BodyText"/>
        <w:jc w:val="center"/>
      </w:pPr>
      <w:r>
        <w:rPr>
          <w:noProof/>
        </w:rPr>
        <w:drawing>
          <wp:inline distT="0" distB="0" distL="0" distR="0" wp14:anchorId="7F739FC2" wp14:editId="11C4E425">
            <wp:extent cx="5000000" cy="57232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_0.png"/>
                    <pic:cNvPicPr/>
                  </pic:nvPicPr>
                  <pic:blipFill>
                    <a:blip r:embed="rId12"/>
                    <a:stretch>
                      <a:fillRect/>
                    </a:stretch>
                  </pic:blipFill>
                  <pic:spPr>
                    <a:xfrm>
                      <a:off x="0" y="0"/>
                      <a:ext cx="5000000" cy="5723214"/>
                    </a:xfrm>
                    <a:prstGeom prst="rect">
                      <a:avLst/>
                    </a:prstGeom>
                  </pic:spPr>
                </pic:pic>
              </a:graphicData>
            </a:graphic>
          </wp:inline>
        </w:drawing>
      </w:r>
    </w:p>
    <w:p w14:paraId="276A48F4" w14:textId="77777777" w:rsidR="004515F3" w:rsidRDefault="003607A6" w:rsidP="00087194">
      <w:pPr>
        <w:pStyle w:val="BodyText"/>
        <w:jc w:val="center"/>
      </w:pPr>
      <w:r>
        <w:rPr>
          <w:i/>
        </w:rPr>
        <w:t>Figure 4a. Country-level distribution of headline CPI inflation.</w:t>
      </w:r>
    </w:p>
    <w:p w14:paraId="337D7795" w14:textId="77777777" w:rsidR="004515F3" w:rsidRDefault="003607A6" w:rsidP="00087194">
      <w:pPr>
        <w:pStyle w:val="BodyText"/>
        <w:jc w:val="center"/>
      </w:pPr>
      <w:r>
        <w:rPr>
          <w:noProof/>
        </w:rPr>
        <w:lastRenderedPageBreak/>
        <w:drawing>
          <wp:inline distT="0" distB="0" distL="0" distR="0" wp14:anchorId="49710CEC" wp14:editId="11099D64">
            <wp:extent cx="5000000" cy="57232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_0.png"/>
                    <pic:cNvPicPr/>
                  </pic:nvPicPr>
                  <pic:blipFill>
                    <a:blip r:embed="rId13"/>
                    <a:stretch>
                      <a:fillRect/>
                    </a:stretch>
                  </pic:blipFill>
                  <pic:spPr>
                    <a:xfrm>
                      <a:off x="0" y="0"/>
                      <a:ext cx="5000000" cy="5723214"/>
                    </a:xfrm>
                    <a:prstGeom prst="rect">
                      <a:avLst/>
                    </a:prstGeom>
                  </pic:spPr>
                </pic:pic>
              </a:graphicData>
            </a:graphic>
          </wp:inline>
        </w:drawing>
      </w:r>
    </w:p>
    <w:p w14:paraId="6F6158C8" w14:textId="77777777" w:rsidR="004515F3" w:rsidRDefault="003607A6" w:rsidP="00087194">
      <w:pPr>
        <w:pStyle w:val="BodyText"/>
        <w:jc w:val="center"/>
      </w:pPr>
      <w:r>
        <w:rPr>
          <w:i/>
        </w:rPr>
        <w:t>Figure 4b. Country-level distribution of AIRI inflation risk.</w:t>
      </w:r>
    </w:p>
    <w:p w14:paraId="0497DFB4" w14:textId="77777777" w:rsidR="004515F3" w:rsidRDefault="003607A6" w:rsidP="00087194">
      <w:pPr>
        <w:pStyle w:val="BodyText"/>
        <w:jc w:val="both"/>
      </w:pPr>
      <w:r>
        <w:t>Breaking the pooled distribution down by country shows that extreme inflation is concentrated in a small number of economies. South Sudan is in a class of its own for CPI inflation, with a median above 50% and outliers beyond 500%, while most other countries have compact boxes below roughly 20–30%; Angola, Congo (Dem. Rep.), Egypt, Ghana, Sierra Leone and Malawi form a second tier of moderately high and volatile inflation. The AIRI distribution tells a related but not identical story: Nigeria, Sierra Leone, Malawi, Comoros, Liberia and Burundi display the widest AIRI boxes, and Seychelles has the single most extreme AIRI outlier (above 50) despite not standing out at all in the CPI chart; a further sign, consistent with Figure 2, that the AIRI measure and realised inflation can diverge sharply for particular countries.</w:t>
      </w:r>
    </w:p>
    <w:p w14:paraId="516DB75C" w14:textId="77777777" w:rsidR="004515F3" w:rsidRDefault="003607A6" w:rsidP="00087194">
      <w:pPr>
        <w:pStyle w:val="Heading3"/>
        <w:jc w:val="both"/>
      </w:pPr>
      <w:r>
        <w:lastRenderedPageBreak/>
        <w:t>5. Panel-Wide Trend Over Time</w:t>
      </w:r>
    </w:p>
    <w:p w14:paraId="79201C62" w14:textId="77777777" w:rsidR="004515F3" w:rsidRDefault="003607A6" w:rsidP="00087194">
      <w:pPr>
        <w:pStyle w:val="BodyText"/>
        <w:jc w:val="center"/>
      </w:pPr>
      <w:r>
        <w:rPr>
          <w:noProof/>
        </w:rPr>
        <w:drawing>
          <wp:inline distT="0" distB="0" distL="0" distR="0" wp14:anchorId="38E7CF22" wp14:editId="300221F8">
            <wp:extent cx="5000000" cy="26666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4_0.png"/>
                    <pic:cNvPicPr/>
                  </pic:nvPicPr>
                  <pic:blipFill>
                    <a:blip r:embed="rId14"/>
                    <a:stretch>
                      <a:fillRect/>
                    </a:stretch>
                  </pic:blipFill>
                  <pic:spPr>
                    <a:xfrm>
                      <a:off x="0" y="0"/>
                      <a:ext cx="5000000" cy="2666666"/>
                    </a:xfrm>
                    <a:prstGeom prst="rect">
                      <a:avLst/>
                    </a:prstGeom>
                  </pic:spPr>
                </pic:pic>
              </a:graphicData>
            </a:graphic>
          </wp:inline>
        </w:drawing>
      </w:r>
    </w:p>
    <w:p w14:paraId="5FEDE53E" w14:textId="77777777" w:rsidR="004515F3" w:rsidRDefault="003607A6" w:rsidP="00087194">
      <w:pPr>
        <w:pStyle w:val="BodyText"/>
        <w:jc w:val="center"/>
      </w:pPr>
      <w:r>
        <w:rPr>
          <w:i/>
        </w:rPr>
        <w:t>Figure 5a. Annual panel-wide mean of headline CPI inflation and AIRI inflation risk, raw units.</w:t>
      </w:r>
    </w:p>
    <w:p w14:paraId="44806F4A" w14:textId="77777777" w:rsidR="004515F3" w:rsidRDefault="003607A6" w:rsidP="00087194">
      <w:pPr>
        <w:pStyle w:val="BodyText"/>
        <w:jc w:val="center"/>
      </w:pPr>
      <w:r>
        <w:rPr>
          <w:noProof/>
        </w:rPr>
        <w:drawing>
          <wp:inline distT="0" distB="0" distL="0" distR="0" wp14:anchorId="5CDE0008" wp14:editId="4BB4240C">
            <wp:extent cx="5000000" cy="26666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6_0.png"/>
                    <pic:cNvPicPr/>
                  </pic:nvPicPr>
                  <pic:blipFill>
                    <a:blip r:embed="rId15"/>
                    <a:stretch>
                      <a:fillRect/>
                    </a:stretch>
                  </pic:blipFill>
                  <pic:spPr>
                    <a:xfrm>
                      <a:off x="0" y="0"/>
                      <a:ext cx="5000000" cy="2666666"/>
                    </a:xfrm>
                    <a:prstGeom prst="rect">
                      <a:avLst/>
                    </a:prstGeom>
                  </pic:spPr>
                </pic:pic>
              </a:graphicData>
            </a:graphic>
          </wp:inline>
        </w:drawing>
      </w:r>
    </w:p>
    <w:p w14:paraId="0E3A35B7" w14:textId="77777777" w:rsidR="004515F3" w:rsidRDefault="003607A6" w:rsidP="00087194">
      <w:pPr>
        <w:pStyle w:val="BodyText"/>
        <w:jc w:val="center"/>
      </w:pPr>
      <w:r>
        <w:rPr>
          <w:i/>
        </w:rPr>
        <w:t>Figure 5b. The same two series expressed as standardised (z-score) annual movements.</w:t>
      </w:r>
    </w:p>
    <w:p w14:paraId="6A2B5A10" w14:textId="77777777" w:rsidR="004515F3" w:rsidRDefault="003607A6" w:rsidP="00087194">
      <w:pPr>
        <w:pStyle w:val="BodyText"/>
        <w:jc w:val="both"/>
      </w:pPr>
      <w:r>
        <w:t xml:space="preserve">The panel-wide annual averages trace two inflation cycles: a peak around 2016 and a much larger one from 2022 onward, following the global post-pandemic inflation shock, with a trough in between around 2018–2021. AIRI risk tracks the second episode much more closely than the first. In standardised terms, CPI jumps sharply in 2016 (z ≈ 1.9) while AIRI barely moves and is even slightly below its own long-run average (z ≈ -0.5); but in 2022 both series spike together, with AIRI actually showing the larger standardised move (z ≈ 1.9 versus 0.3 for CPI). After 2022, CPI falls back toward its historical average faster than AIRI, which stays elevated (z of roughly 0.9–1.3) through 2023–2025. This pattern suggests the AIRI measure was particularly responsive to the recent global inflation shock, but is more </w:t>
      </w:r>
      <w:r>
        <w:lastRenderedPageBreak/>
        <w:t>sluggish than realised inflation both in missing earlier, more localised episodes and in signalling the subsequent disinflation.</w:t>
      </w:r>
    </w:p>
    <w:p w14:paraId="1C2AF494" w14:textId="77777777" w:rsidR="004515F3" w:rsidRDefault="003607A6" w:rsidP="00087194">
      <w:pPr>
        <w:pStyle w:val="Heading3"/>
        <w:jc w:val="both"/>
      </w:pPr>
      <w:r>
        <w:t>6. Countries Where AIRI Tracks Inflation Well versus Poorly</w:t>
      </w:r>
    </w:p>
    <w:p w14:paraId="36F5804C" w14:textId="77777777" w:rsidR="004515F3" w:rsidRDefault="003607A6" w:rsidP="00087194">
      <w:pPr>
        <w:pStyle w:val="BodyText"/>
        <w:jc w:val="center"/>
      </w:pPr>
      <w:r>
        <w:rPr>
          <w:noProof/>
        </w:rPr>
        <w:drawing>
          <wp:inline distT="0" distB="0" distL="0" distR="0" wp14:anchorId="58D7C4D6" wp14:editId="68A735D5">
            <wp:extent cx="5000000" cy="433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0_0.png"/>
                    <pic:cNvPicPr/>
                  </pic:nvPicPr>
                  <pic:blipFill>
                    <a:blip r:embed="rId16"/>
                    <a:stretch>
                      <a:fillRect/>
                    </a:stretch>
                  </pic:blipFill>
                  <pic:spPr>
                    <a:xfrm>
                      <a:off x="0" y="0"/>
                      <a:ext cx="5000000" cy="4333333"/>
                    </a:xfrm>
                    <a:prstGeom prst="rect">
                      <a:avLst/>
                    </a:prstGeom>
                  </pic:spPr>
                </pic:pic>
              </a:graphicData>
            </a:graphic>
          </wp:inline>
        </w:drawing>
      </w:r>
    </w:p>
    <w:p w14:paraId="0347B5BC" w14:textId="77777777" w:rsidR="004515F3" w:rsidRDefault="003607A6" w:rsidP="00087194">
      <w:pPr>
        <w:pStyle w:val="BodyText"/>
        <w:jc w:val="center"/>
      </w:pPr>
      <w:r>
        <w:rPr>
          <w:i/>
        </w:rPr>
        <w:t>Figure 6a. Annual CPI inflation and AIRI risk for the six countries with the strongest AIRI–CPI relationship.</w:t>
      </w:r>
    </w:p>
    <w:p w14:paraId="7113A3C4" w14:textId="77777777" w:rsidR="004515F3" w:rsidRDefault="003607A6" w:rsidP="00087194">
      <w:pPr>
        <w:pStyle w:val="BodyText"/>
        <w:jc w:val="center"/>
      </w:pPr>
      <w:r>
        <w:rPr>
          <w:noProof/>
        </w:rPr>
        <w:lastRenderedPageBreak/>
        <w:drawing>
          <wp:inline distT="0" distB="0" distL="0" distR="0" wp14:anchorId="71C92263" wp14:editId="4C393363">
            <wp:extent cx="5000000" cy="43333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2_0.png"/>
                    <pic:cNvPicPr/>
                  </pic:nvPicPr>
                  <pic:blipFill>
                    <a:blip r:embed="rId17"/>
                    <a:stretch>
                      <a:fillRect/>
                    </a:stretch>
                  </pic:blipFill>
                  <pic:spPr>
                    <a:xfrm>
                      <a:off x="0" y="0"/>
                      <a:ext cx="5000000" cy="4333333"/>
                    </a:xfrm>
                    <a:prstGeom prst="rect">
                      <a:avLst/>
                    </a:prstGeom>
                  </pic:spPr>
                </pic:pic>
              </a:graphicData>
            </a:graphic>
          </wp:inline>
        </w:drawing>
      </w:r>
    </w:p>
    <w:p w14:paraId="197E986F" w14:textId="77777777" w:rsidR="004515F3" w:rsidRDefault="003607A6" w:rsidP="00087194">
      <w:pPr>
        <w:pStyle w:val="BodyText"/>
        <w:jc w:val="center"/>
      </w:pPr>
      <w:r>
        <w:rPr>
          <w:i/>
        </w:rPr>
        <w:t>Figure 6b. Annual CPI inflation and AIRI risk for the six countries with the weakest AIRI–CPI relationship.</w:t>
      </w:r>
    </w:p>
    <w:p w14:paraId="28AA990A" w14:textId="77777777" w:rsidR="004515F3" w:rsidRDefault="003607A6" w:rsidP="00087194">
      <w:pPr>
        <w:pStyle w:val="BodyText"/>
        <w:jc w:val="both"/>
      </w:pPr>
      <w:r>
        <w:t>Contrasting the six strongest-relationship countries (Tunisia, Nigeria, Burundi, Morocco, Ghana, Algeria) with the six weakest (Tanzania, Seychelles, Angola, Mauritania, South Sudan, Eswatini) shows clearly where the aggregate correlation in Figure 1 comes from. In the strong-relationship countries, the two lines rise and fall together and share common turning points, most visibly around the 2022 spike. For example, Tunisia’s AIRI jumps to about 15 alongside CPI’s jump to about 8.4, and Algeria’s two series peak together in 2022 before declining together into 2025. In the weak-relationship countries, the series are effectively decoupled: in Mauritania and Tanzania, AIRI sits near zero for almost the whole sample regardless of what CPI is doing; in Seychelles, AIRI stays persistently high (18–20) while CPI oscillates mildly between about -1% and 10%; and in South Sudan, CPI swings wildly — from roughly 350% in 2016 down to near zero and back above 100% by 2025 — while AIRI barely registers any movement. This suggests AIRI behaves more like a slow-moving structural risk signal in some countries, one that can become almost uninformative, or even move independently of, realised inflation when that inflation is driven by idiosyncratic shocks, currency collapse, or conflict.</w:t>
      </w:r>
    </w:p>
    <w:p w14:paraId="33BDEFBF" w14:textId="77777777" w:rsidR="004515F3" w:rsidRDefault="003607A6" w:rsidP="00087194">
      <w:pPr>
        <w:pStyle w:val="Heading3"/>
        <w:jc w:val="both"/>
      </w:pPr>
      <w:r>
        <w:lastRenderedPageBreak/>
        <w:t>7. Shape of the AIRI–Inflation Relationship in the Top Countries</w:t>
      </w:r>
    </w:p>
    <w:p w14:paraId="18A3476F" w14:textId="77777777" w:rsidR="004515F3" w:rsidRDefault="003607A6" w:rsidP="00087194">
      <w:pPr>
        <w:pStyle w:val="BodyText"/>
        <w:jc w:val="center"/>
      </w:pPr>
      <w:r>
        <w:rPr>
          <w:noProof/>
        </w:rPr>
        <w:drawing>
          <wp:inline distT="0" distB="0" distL="0" distR="0" wp14:anchorId="49754DE2" wp14:editId="3439A6AD">
            <wp:extent cx="4953000" cy="5772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6_0.png"/>
                    <pic:cNvPicPr/>
                  </pic:nvPicPr>
                  <pic:blipFill>
                    <a:blip r:embed="rId18"/>
                    <a:stretch>
                      <a:fillRect/>
                    </a:stretch>
                  </pic:blipFill>
                  <pic:spPr>
                    <a:xfrm>
                      <a:off x="0" y="0"/>
                      <a:ext cx="4953000" cy="5772150"/>
                    </a:xfrm>
                    <a:prstGeom prst="rect">
                      <a:avLst/>
                    </a:prstGeom>
                  </pic:spPr>
                </pic:pic>
              </a:graphicData>
            </a:graphic>
          </wp:inline>
        </w:drawing>
      </w:r>
    </w:p>
    <w:p w14:paraId="4AF82705" w14:textId="77777777" w:rsidR="004515F3" w:rsidRDefault="003607A6" w:rsidP="00087194">
      <w:pPr>
        <w:pStyle w:val="BodyText"/>
        <w:jc w:val="center"/>
      </w:pPr>
      <w:r>
        <w:rPr>
          <w:i/>
        </w:rPr>
        <w:t>Figure 7. Country-level scatter plots of AIRI risk against headline CPI inflation, with fitted regression line, for the twelve countries with the strongest correlations.</w:t>
      </w:r>
    </w:p>
    <w:p w14:paraId="2CFDBF69" w14:textId="77777777" w:rsidR="004515F3" w:rsidRDefault="003607A6" w:rsidP="00087194">
      <w:pPr>
        <w:pStyle w:val="BodyText"/>
        <w:jc w:val="both"/>
      </w:pPr>
      <w:r>
        <w:t xml:space="preserve">Looking at the underlying scatter of monthly observations rather than the single correlation coefficient in Figure 1, shows that even the “top 12” countries differ in how reliable their relationship is. Tunisia, Nigeria and Morocco show a fairly linear, tightly banded relationship with narrow confidence bands around the fitted line, indicating a genuinely proportional co-movement. Others further down the ranking, such as Cabo Verde, Comoros and Senegal, show noisier clouds of points, often with many observations clustered near zero on both axes and only a handful of higher-inflation episodes pulling the regression line upward. This confirms that a “positive and significant” country correlation can reflect either a consistently </w:t>
      </w:r>
      <w:r>
        <w:lastRenderedPageBreak/>
        <w:t>proportional relationship or one driven mainly by a few extreme episodes within an otherwise flat pattern.</w:t>
      </w:r>
    </w:p>
    <w:p w14:paraId="1DA4FBC2" w14:textId="77777777" w:rsidR="004515F3" w:rsidRDefault="003607A6" w:rsidP="00087194">
      <w:pPr>
        <w:pStyle w:val="Heading3"/>
        <w:jc w:val="both"/>
      </w:pPr>
      <w:r>
        <w:t>8. Volatility Comparison</w:t>
      </w:r>
    </w:p>
    <w:p w14:paraId="5D5B086F" w14:textId="77777777" w:rsidR="004515F3" w:rsidRDefault="003607A6" w:rsidP="00087194">
      <w:pPr>
        <w:pStyle w:val="BodyText"/>
        <w:jc w:val="center"/>
      </w:pPr>
      <w:r>
        <w:rPr>
          <w:noProof/>
        </w:rPr>
        <w:drawing>
          <wp:inline distT="0" distB="0" distL="0" distR="0" wp14:anchorId="22BC10F1" wp14:editId="23E2BC14">
            <wp:extent cx="5000000" cy="5339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0_0.png"/>
                    <pic:cNvPicPr/>
                  </pic:nvPicPr>
                  <pic:blipFill>
                    <a:blip r:embed="rId19"/>
                    <a:stretch>
                      <a:fillRect/>
                    </a:stretch>
                  </pic:blipFill>
                  <pic:spPr>
                    <a:xfrm>
                      <a:off x="0" y="0"/>
                      <a:ext cx="5000000" cy="5339285"/>
                    </a:xfrm>
                    <a:prstGeom prst="rect">
                      <a:avLst/>
                    </a:prstGeom>
                  </pic:spPr>
                </pic:pic>
              </a:graphicData>
            </a:graphic>
          </wp:inline>
        </w:drawing>
      </w:r>
    </w:p>
    <w:p w14:paraId="085F64B1" w14:textId="77777777" w:rsidR="004515F3" w:rsidRDefault="003607A6" w:rsidP="00087194">
      <w:pPr>
        <w:pStyle w:val="BodyText"/>
        <w:jc w:val="center"/>
      </w:pPr>
      <w:r>
        <w:rPr>
          <w:i/>
        </w:rPr>
        <w:t>Figure 8. Country-level standard deviation (volatility) of headline CPI inflation versus AIRI inflation risk.</w:t>
      </w:r>
    </w:p>
    <w:p w14:paraId="4EA69006" w14:textId="77777777" w:rsidR="004515F3" w:rsidRDefault="003607A6" w:rsidP="00087194">
      <w:pPr>
        <w:pStyle w:val="BodyText"/>
        <w:jc w:val="both"/>
      </w:pPr>
      <w:r>
        <w:t xml:space="preserve">Ranking countries by the standard deviation of CPI inflation against that of AIRI risk shows that CPI inflation is, with virtually no exceptions, far more volatile than AIRI. The gap is most extreme for South Sudan, where CPI volatility (≈120) is more than twenty times AIRI volatility (≈5), but the same pattern holds for Congo (Dem. Rep.), Sierra Leone, Libya, Egypt, Ghana and Burundi as well. Because AIRI is a structurally smoother, lower-variance series than realised CPI inflation, it is mechanically unable to track the sharpest inflation swings even in countries where the two series are correlated on average, which is part of why even </w:t>
      </w:r>
      <w:r>
        <w:lastRenderedPageBreak/>
        <w:t>the strongest country correlations in Figure 1 still leave much of the variation in CPI unexplained.</w:t>
      </w:r>
    </w:p>
    <w:p w14:paraId="66F01915" w14:textId="77777777" w:rsidR="004515F3" w:rsidRDefault="003607A6" w:rsidP="00087194">
      <w:pPr>
        <w:pStyle w:val="Heading3"/>
        <w:jc w:val="both"/>
      </w:pPr>
      <w:r>
        <w:t>9. Macroeconomic Correlation Matrix</w:t>
      </w:r>
    </w:p>
    <w:tbl>
      <w:tblPr>
        <w:tblStyle w:val="TableGrid"/>
        <w:tblW w:w="0" w:type="auto"/>
        <w:tblLook w:val="04A0" w:firstRow="1" w:lastRow="0" w:firstColumn="1" w:lastColumn="0" w:noHBand="0" w:noVBand="1"/>
      </w:tblPr>
      <w:tblGrid>
        <w:gridCol w:w="1559"/>
        <w:gridCol w:w="1558"/>
        <w:gridCol w:w="1559"/>
        <w:gridCol w:w="1558"/>
        <w:gridCol w:w="1558"/>
        <w:gridCol w:w="1558"/>
      </w:tblGrid>
      <w:tr w:rsidR="00364865" w14:paraId="2A7BC483" w14:textId="77777777">
        <w:tc>
          <w:tcPr>
            <w:tcW w:w="1560" w:type="dxa"/>
            <w:shd w:val="clear" w:color="auto" w:fill="201B17"/>
          </w:tcPr>
          <w:p w14:paraId="23FF31D8" w14:textId="77777777" w:rsidR="00364865" w:rsidRDefault="00364865"/>
        </w:tc>
        <w:tc>
          <w:tcPr>
            <w:tcW w:w="1560" w:type="dxa"/>
            <w:shd w:val="clear" w:color="auto" w:fill="201B17"/>
          </w:tcPr>
          <w:p w14:paraId="1027DE93" w14:textId="77777777" w:rsidR="00364865" w:rsidRDefault="00964F5E">
            <w:r>
              <w:rPr>
                <w:b/>
                <w:color w:val="FFFFFF"/>
                <w:sz w:val="18"/>
              </w:rPr>
              <w:t>m</w:t>
            </w:r>
          </w:p>
        </w:tc>
        <w:tc>
          <w:tcPr>
            <w:tcW w:w="1560" w:type="dxa"/>
            <w:shd w:val="clear" w:color="auto" w:fill="201B17"/>
          </w:tcPr>
          <w:p w14:paraId="64925C3B" w14:textId="77777777" w:rsidR="00364865" w:rsidRDefault="00964F5E">
            <w:r>
              <w:rPr>
                <w:b/>
                <w:color w:val="FFFFFF"/>
                <w:sz w:val="18"/>
              </w:rPr>
              <w:t>delta_e</w:t>
            </w:r>
          </w:p>
        </w:tc>
        <w:tc>
          <w:tcPr>
            <w:tcW w:w="1560" w:type="dxa"/>
            <w:shd w:val="clear" w:color="auto" w:fill="201B17"/>
          </w:tcPr>
          <w:p w14:paraId="5DE9316D" w14:textId="77777777" w:rsidR="00364865" w:rsidRDefault="00964F5E">
            <w:r>
              <w:rPr>
                <w:b/>
                <w:color w:val="FFFFFF"/>
                <w:sz w:val="18"/>
              </w:rPr>
              <w:t>pi</w:t>
            </w:r>
          </w:p>
        </w:tc>
        <w:tc>
          <w:tcPr>
            <w:tcW w:w="1560" w:type="dxa"/>
            <w:shd w:val="clear" w:color="auto" w:fill="201B17"/>
          </w:tcPr>
          <w:p w14:paraId="561A1550" w14:textId="77777777" w:rsidR="00364865" w:rsidRDefault="00964F5E">
            <w:r>
              <w:rPr>
                <w:b/>
                <w:color w:val="FFFFFF"/>
                <w:sz w:val="18"/>
              </w:rPr>
              <w:t>airi_pi</w:t>
            </w:r>
          </w:p>
        </w:tc>
        <w:tc>
          <w:tcPr>
            <w:tcW w:w="1560" w:type="dxa"/>
            <w:shd w:val="clear" w:color="auto" w:fill="201B17"/>
          </w:tcPr>
          <w:p w14:paraId="41B07B6C" w14:textId="77777777" w:rsidR="00364865" w:rsidRDefault="00964F5E">
            <w:r>
              <w:rPr>
                <w:b/>
                <w:color w:val="FFFFFF"/>
                <w:sz w:val="18"/>
              </w:rPr>
              <w:t>g</w:t>
            </w:r>
          </w:p>
        </w:tc>
      </w:tr>
      <w:tr w:rsidR="00364865" w14:paraId="448E4546" w14:textId="77777777">
        <w:tc>
          <w:tcPr>
            <w:tcW w:w="1560" w:type="dxa"/>
          </w:tcPr>
          <w:p w14:paraId="692EAD1B" w14:textId="77777777" w:rsidR="00364865" w:rsidRDefault="00964F5E">
            <w:r>
              <w:rPr>
                <w:sz w:val="18"/>
              </w:rPr>
              <w:t>m</w:t>
            </w:r>
          </w:p>
        </w:tc>
        <w:tc>
          <w:tcPr>
            <w:tcW w:w="1560" w:type="dxa"/>
          </w:tcPr>
          <w:p w14:paraId="3EB3C4A4" w14:textId="77777777" w:rsidR="00364865" w:rsidRDefault="00964F5E">
            <w:r>
              <w:rPr>
                <w:sz w:val="18"/>
              </w:rPr>
              <w:t>1.000</w:t>
            </w:r>
          </w:p>
        </w:tc>
        <w:tc>
          <w:tcPr>
            <w:tcW w:w="1560" w:type="dxa"/>
          </w:tcPr>
          <w:p w14:paraId="118BADA2" w14:textId="77777777" w:rsidR="00364865" w:rsidRDefault="00964F5E">
            <w:r>
              <w:rPr>
                <w:sz w:val="18"/>
              </w:rPr>
              <w:t>0.206</w:t>
            </w:r>
          </w:p>
        </w:tc>
        <w:tc>
          <w:tcPr>
            <w:tcW w:w="1560" w:type="dxa"/>
          </w:tcPr>
          <w:p w14:paraId="3690E277" w14:textId="77777777" w:rsidR="00364865" w:rsidRDefault="00964F5E">
            <w:r>
              <w:rPr>
                <w:sz w:val="18"/>
              </w:rPr>
              <w:t>0.082</w:t>
            </w:r>
          </w:p>
        </w:tc>
        <w:tc>
          <w:tcPr>
            <w:tcW w:w="1560" w:type="dxa"/>
          </w:tcPr>
          <w:p w14:paraId="6F4CB510" w14:textId="77777777" w:rsidR="00364865" w:rsidRDefault="00964F5E">
            <w:r>
              <w:rPr>
                <w:sz w:val="18"/>
              </w:rPr>
              <w:t>-0.013</w:t>
            </w:r>
          </w:p>
        </w:tc>
        <w:tc>
          <w:tcPr>
            <w:tcW w:w="1560" w:type="dxa"/>
          </w:tcPr>
          <w:p w14:paraId="6CCB0BBD" w14:textId="77777777" w:rsidR="00364865" w:rsidRDefault="00964F5E">
            <w:r>
              <w:rPr>
                <w:sz w:val="18"/>
              </w:rPr>
              <w:t>-0.082</w:t>
            </w:r>
          </w:p>
        </w:tc>
      </w:tr>
      <w:tr w:rsidR="00364865" w14:paraId="712B5C9B" w14:textId="77777777">
        <w:tc>
          <w:tcPr>
            <w:tcW w:w="1560" w:type="dxa"/>
            <w:shd w:val="clear" w:color="auto" w:fill="FAF7F3"/>
          </w:tcPr>
          <w:p w14:paraId="210472C3" w14:textId="77777777" w:rsidR="00364865" w:rsidRDefault="00964F5E">
            <w:r>
              <w:rPr>
                <w:sz w:val="18"/>
              </w:rPr>
              <w:t>delta_e</w:t>
            </w:r>
          </w:p>
        </w:tc>
        <w:tc>
          <w:tcPr>
            <w:tcW w:w="1560" w:type="dxa"/>
            <w:shd w:val="clear" w:color="auto" w:fill="FAF7F3"/>
          </w:tcPr>
          <w:p w14:paraId="42B35EA2" w14:textId="77777777" w:rsidR="00364865" w:rsidRDefault="00964F5E">
            <w:r>
              <w:rPr>
                <w:sz w:val="18"/>
              </w:rPr>
              <w:t>0.206</w:t>
            </w:r>
          </w:p>
        </w:tc>
        <w:tc>
          <w:tcPr>
            <w:tcW w:w="1560" w:type="dxa"/>
            <w:shd w:val="clear" w:color="auto" w:fill="FAF7F3"/>
          </w:tcPr>
          <w:p w14:paraId="764244BD" w14:textId="77777777" w:rsidR="00364865" w:rsidRDefault="00964F5E">
            <w:r>
              <w:rPr>
                <w:sz w:val="18"/>
              </w:rPr>
              <w:t>1.000</w:t>
            </w:r>
          </w:p>
        </w:tc>
        <w:tc>
          <w:tcPr>
            <w:tcW w:w="1560" w:type="dxa"/>
            <w:shd w:val="clear" w:color="auto" w:fill="FAF7F3"/>
          </w:tcPr>
          <w:p w14:paraId="67540955" w14:textId="77777777" w:rsidR="00364865" w:rsidRDefault="00964F5E">
            <w:r>
              <w:rPr>
                <w:sz w:val="18"/>
              </w:rPr>
              <w:t>0.171</w:t>
            </w:r>
          </w:p>
        </w:tc>
        <w:tc>
          <w:tcPr>
            <w:tcW w:w="1560" w:type="dxa"/>
            <w:shd w:val="clear" w:color="auto" w:fill="FAF7F3"/>
          </w:tcPr>
          <w:p w14:paraId="1DF6F9B1" w14:textId="77777777" w:rsidR="00364865" w:rsidRDefault="00964F5E">
            <w:r>
              <w:rPr>
                <w:sz w:val="18"/>
              </w:rPr>
              <w:t>0.059</w:t>
            </w:r>
          </w:p>
        </w:tc>
        <w:tc>
          <w:tcPr>
            <w:tcW w:w="1560" w:type="dxa"/>
            <w:shd w:val="clear" w:color="auto" w:fill="FAF7F3"/>
          </w:tcPr>
          <w:p w14:paraId="26D5BFC9" w14:textId="77777777" w:rsidR="00364865" w:rsidRDefault="00964F5E">
            <w:r>
              <w:rPr>
                <w:sz w:val="18"/>
              </w:rPr>
              <w:t>-0.067</w:t>
            </w:r>
          </w:p>
        </w:tc>
      </w:tr>
      <w:tr w:rsidR="00364865" w14:paraId="1C745BB0" w14:textId="77777777">
        <w:tc>
          <w:tcPr>
            <w:tcW w:w="1560" w:type="dxa"/>
          </w:tcPr>
          <w:p w14:paraId="278C974D" w14:textId="77777777" w:rsidR="00364865" w:rsidRDefault="00964F5E">
            <w:r>
              <w:rPr>
                <w:sz w:val="18"/>
              </w:rPr>
              <w:t>pi</w:t>
            </w:r>
          </w:p>
        </w:tc>
        <w:tc>
          <w:tcPr>
            <w:tcW w:w="1560" w:type="dxa"/>
          </w:tcPr>
          <w:p w14:paraId="57953B84" w14:textId="77777777" w:rsidR="00364865" w:rsidRDefault="00964F5E">
            <w:r>
              <w:rPr>
                <w:sz w:val="18"/>
              </w:rPr>
              <w:t>0.082</w:t>
            </w:r>
          </w:p>
        </w:tc>
        <w:tc>
          <w:tcPr>
            <w:tcW w:w="1560" w:type="dxa"/>
          </w:tcPr>
          <w:p w14:paraId="131908EE" w14:textId="77777777" w:rsidR="00364865" w:rsidRDefault="00964F5E">
            <w:r>
              <w:rPr>
                <w:sz w:val="18"/>
              </w:rPr>
              <w:t>0.171</w:t>
            </w:r>
          </w:p>
        </w:tc>
        <w:tc>
          <w:tcPr>
            <w:tcW w:w="1560" w:type="dxa"/>
          </w:tcPr>
          <w:p w14:paraId="42783AFF" w14:textId="77777777" w:rsidR="00364865" w:rsidRDefault="00964F5E">
            <w:r>
              <w:rPr>
                <w:sz w:val="18"/>
              </w:rPr>
              <w:t>1.000</w:t>
            </w:r>
          </w:p>
        </w:tc>
        <w:tc>
          <w:tcPr>
            <w:tcW w:w="1560" w:type="dxa"/>
          </w:tcPr>
          <w:p w14:paraId="197C2CBE" w14:textId="77777777" w:rsidR="00364865" w:rsidRDefault="00964F5E">
            <w:r>
              <w:rPr>
                <w:sz w:val="18"/>
              </w:rPr>
              <w:t>0.129</w:t>
            </w:r>
          </w:p>
        </w:tc>
        <w:tc>
          <w:tcPr>
            <w:tcW w:w="1560" w:type="dxa"/>
          </w:tcPr>
          <w:p w14:paraId="4BCD4246" w14:textId="77777777" w:rsidR="00364865" w:rsidRDefault="00964F5E">
            <w:r>
              <w:rPr>
                <w:sz w:val="18"/>
              </w:rPr>
              <w:t>-0.168</w:t>
            </w:r>
          </w:p>
        </w:tc>
      </w:tr>
      <w:tr w:rsidR="00364865" w14:paraId="05920762" w14:textId="77777777">
        <w:tc>
          <w:tcPr>
            <w:tcW w:w="1560" w:type="dxa"/>
            <w:shd w:val="clear" w:color="auto" w:fill="FAF7F3"/>
          </w:tcPr>
          <w:p w14:paraId="36EE23C3" w14:textId="77777777" w:rsidR="00364865" w:rsidRDefault="00964F5E">
            <w:r>
              <w:rPr>
                <w:sz w:val="18"/>
              </w:rPr>
              <w:t>airi_pi</w:t>
            </w:r>
          </w:p>
        </w:tc>
        <w:tc>
          <w:tcPr>
            <w:tcW w:w="1560" w:type="dxa"/>
            <w:shd w:val="clear" w:color="auto" w:fill="FAF7F3"/>
          </w:tcPr>
          <w:p w14:paraId="68DECBDA" w14:textId="77777777" w:rsidR="00364865" w:rsidRDefault="00964F5E">
            <w:r>
              <w:rPr>
                <w:sz w:val="18"/>
              </w:rPr>
              <w:t>-0.013</w:t>
            </w:r>
          </w:p>
        </w:tc>
        <w:tc>
          <w:tcPr>
            <w:tcW w:w="1560" w:type="dxa"/>
            <w:shd w:val="clear" w:color="auto" w:fill="FAF7F3"/>
          </w:tcPr>
          <w:p w14:paraId="463F4622" w14:textId="77777777" w:rsidR="00364865" w:rsidRDefault="00964F5E">
            <w:r>
              <w:rPr>
                <w:sz w:val="18"/>
              </w:rPr>
              <w:t>0.059</w:t>
            </w:r>
          </w:p>
        </w:tc>
        <w:tc>
          <w:tcPr>
            <w:tcW w:w="1560" w:type="dxa"/>
            <w:shd w:val="clear" w:color="auto" w:fill="FAF7F3"/>
          </w:tcPr>
          <w:p w14:paraId="04725B53" w14:textId="77777777" w:rsidR="00364865" w:rsidRDefault="00964F5E">
            <w:r>
              <w:rPr>
                <w:sz w:val="18"/>
              </w:rPr>
              <w:t>0.129</w:t>
            </w:r>
          </w:p>
        </w:tc>
        <w:tc>
          <w:tcPr>
            <w:tcW w:w="1560" w:type="dxa"/>
            <w:shd w:val="clear" w:color="auto" w:fill="FAF7F3"/>
          </w:tcPr>
          <w:p w14:paraId="322631E1" w14:textId="77777777" w:rsidR="00364865" w:rsidRDefault="00964F5E">
            <w:r>
              <w:rPr>
                <w:sz w:val="18"/>
              </w:rPr>
              <w:t>1.000</w:t>
            </w:r>
          </w:p>
        </w:tc>
        <w:tc>
          <w:tcPr>
            <w:tcW w:w="1560" w:type="dxa"/>
            <w:shd w:val="clear" w:color="auto" w:fill="FAF7F3"/>
          </w:tcPr>
          <w:p w14:paraId="7E545D73" w14:textId="77777777" w:rsidR="00364865" w:rsidRDefault="00964F5E">
            <w:r>
              <w:rPr>
                <w:sz w:val="18"/>
              </w:rPr>
              <w:t>-0.048</w:t>
            </w:r>
          </w:p>
        </w:tc>
      </w:tr>
      <w:tr w:rsidR="00364865" w14:paraId="6BFE68D6" w14:textId="77777777">
        <w:tc>
          <w:tcPr>
            <w:tcW w:w="1560" w:type="dxa"/>
          </w:tcPr>
          <w:p w14:paraId="4E31DECB" w14:textId="77777777" w:rsidR="00364865" w:rsidRDefault="00964F5E">
            <w:r>
              <w:rPr>
                <w:sz w:val="18"/>
              </w:rPr>
              <w:t>g</w:t>
            </w:r>
          </w:p>
        </w:tc>
        <w:tc>
          <w:tcPr>
            <w:tcW w:w="1560" w:type="dxa"/>
          </w:tcPr>
          <w:p w14:paraId="6A3CE151" w14:textId="77777777" w:rsidR="00364865" w:rsidRDefault="00964F5E">
            <w:r>
              <w:rPr>
                <w:sz w:val="18"/>
              </w:rPr>
              <w:t>-0.082</w:t>
            </w:r>
          </w:p>
        </w:tc>
        <w:tc>
          <w:tcPr>
            <w:tcW w:w="1560" w:type="dxa"/>
          </w:tcPr>
          <w:p w14:paraId="3C9CDCE2" w14:textId="77777777" w:rsidR="00364865" w:rsidRDefault="00964F5E">
            <w:r>
              <w:rPr>
                <w:sz w:val="18"/>
              </w:rPr>
              <w:t>-0.067</w:t>
            </w:r>
          </w:p>
        </w:tc>
        <w:tc>
          <w:tcPr>
            <w:tcW w:w="1560" w:type="dxa"/>
          </w:tcPr>
          <w:p w14:paraId="68D298A0" w14:textId="77777777" w:rsidR="00364865" w:rsidRDefault="00964F5E">
            <w:r>
              <w:rPr>
                <w:sz w:val="18"/>
              </w:rPr>
              <w:t>-0.168</w:t>
            </w:r>
          </w:p>
        </w:tc>
        <w:tc>
          <w:tcPr>
            <w:tcW w:w="1560" w:type="dxa"/>
          </w:tcPr>
          <w:p w14:paraId="723619C0" w14:textId="77777777" w:rsidR="00364865" w:rsidRDefault="00964F5E">
            <w:r>
              <w:rPr>
                <w:sz w:val="18"/>
              </w:rPr>
              <w:t>-0.048</w:t>
            </w:r>
          </w:p>
        </w:tc>
        <w:tc>
          <w:tcPr>
            <w:tcW w:w="1560" w:type="dxa"/>
          </w:tcPr>
          <w:p w14:paraId="2086BC9C" w14:textId="77777777" w:rsidR="00364865" w:rsidRDefault="00964F5E">
            <w:r>
              <w:rPr>
                <w:sz w:val="18"/>
              </w:rPr>
              <w:t>1.000</w:t>
            </w:r>
          </w:p>
        </w:tc>
      </w:tr>
    </w:tbl>
    <w:p w14:paraId="1A08D47A" w14:textId="77777777" w:rsidR="004515F3" w:rsidRDefault="003607A6" w:rsidP="00087194">
      <w:pPr>
        <w:pStyle w:val="BodyText"/>
        <w:jc w:val="center"/>
      </w:pPr>
      <w:r>
        <w:rPr>
          <w:i/>
        </w:rPr>
        <w:t>Figure 9. Pooled pairwise correlations between money growth (m), currency depreciation (delta_e), CPI inflation (pi), AIRI risk (airi_pi) and real GDP growth (g).</w:t>
      </w:r>
    </w:p>
    <w:p w14:paraId="5FCC142D" w14:textId="77777777" w:rsidR="004515F3" w:rsidRDefault="003607A6" w:rsidP="00087194">
      <w:pPr>
        <w:pStyle w:val="BodyText"/>
        <w:jc w:val="both"/>
      </w:pPr>
      <w:r>
        <w:t>At the pooled macroeconomic level, money growth, currency depreciation, CPI inflation, AIRI risk and real GDP growth are all only weakly correlated with one another since no off-diagonal coefficient exceeds 0.21 in absolute value. Money growth and currency depreciation have the strongest pairwise link (0.206), consistent with standard monetary and exchange-rate channels of inflation, and inflation is negatively correlated with growth (-0.168), consistent with a growth–inflation trade-off. Notably, the correlation between AIRI inflation risk pillar and Headline CPI inflation at this pooled, cross-country level is only 0.129, which is much weaker than the 0.281 average correlation reported country-by-country in Figure 1.</w:t>
      </w:r>
    </w:p>
    <w:p w14:paraId="332EE39B" w14:textId="77777777" w:rsidR="004515F3" w:rsidRDefault="003607A6" w:rsidP="00087194">
      <w:pPr>
        <w:pStyle w:val="Heading3"/>
        <w:jc w:val="both"/>
      </w:pPr>
      <w:r>
        <w:t>10. Time-Varying (Rolling) Correlation</w:t>
      </w:r>
    </w:p>
    <w:p w14:paraId="28DE824F" w14:textId="77777777" w:rsidR="004515F3" w:rsidRDefault="003607A6" w:rsidP="00087194">
      <w:pPr>
        <w:pStyle w:val="BodyText"/>
        <w:jc w:val="center"/>
      </w:pPr>
      <w:r>
        <w:rPr>
          <w:noProof/>
        </w:rPr>
        <w:drawing>
          <wp:inline distT="0" distB="0" distL="0" distR="0" wp14:anchorId="4C560C87" wp14:editId="1C2B78E7">
            <wp:extent cx="5000000" cy="26416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1_0.png"/>
                    <pic:cNvPicPr/>
                  </pic:nvPicPr>
                  <pic:blipFill>
                    <a:blip r:embed="rId20"/>
                    <a:stretch>
                      <a:fillRect/>
                    </a:stretch>
                  </pic:blipFill>
                  <pic:spPr>
                    <a:xfrm>
                      <a:off x="0" y="0"/>
                      <a:ext cx="5000000" cy="2641666"/>
                    </a:xfrm>
                    <a:prstGeom prst="rect">
                      <a:avLst/>
                    </a:prstGeom>
                  </pic:spPr>
                </pic:pic>
              </a:graphicData>
            </a:graphic>
          </wp:inline>
        </w:drawing>
      </w:r>
    </w:p>
    <w:p w14:paraId="7B39D1BC" w14:textId="77777777" w:rsidR="004515F3" w:rsidRDefault="003607A6" w:rsidP="00087194">
      <w:pPr>
        <w:pStyle w:val="BodyText"/>
        <w:jc w:val="center"/>
      </w:pPr>
      <w:r>
        <w:rPr>
          <w:i/>
        </w:rPr>
        <w:t>Figure 10. 24-month rolling Pearson correlation between AIRI risk and CPI inflation for Tunisia, Nigeria, Burundi and Morocco.</w:t>
      </w:r>
    </w:p>
    <w:p w14:paraId="74300C9C" w14:textId="77777777" w:rsidR="004515F3" w:rsidRDefault="003607A6" w:rsidP="00087194">
      <w:pPr>
        <w:pStyle w:val="BodyText"/>
        <w:jc w:val="both"/>
      </w:pPr>
      <w:r>
        <w:t xml:space="preserve">The rolling correlation shows that even for the four best-performing countries in the full-sample ranking, the AIRI–CPI relationship is far from stable through time. All four lines fluctuate substantially, occasionally swinging from above 0.8 to near zero or negative within a couple of years — Tunisia’s rolling correlation, for instance, falls to about -0.16 in 2024 before recovering above 0.8 by 2025. The clearest common feature is a broad convergence </w:t>
      </w:r>
      <w:r>
        <w:lastRenderedPageBreak/>
        <w:t>toward high correlation (roughly 0.7–0.95) during the 2022–2023 global inflation shock, when all four lines rise together; outside that window the countries behave much more idiosyncratically, at times differing from one another by 0.5 or more at the same point in time. This confirms that the AIRI–CPI relationship is regime-dependent: it strengthens markedly during large, common inflation shocks and weakens or becomes unstable in quieter periods.</w:t>
      </w:r>
    </w:p>
    <w:p w14:paraId="7260AB7D" w14:textId="77777777" w:rsidR="004515F3" w:rsidRDefault="003607A6" w:rsidP="00087194">
      <w:pPr>
        <w:pStyle w:val="Heading3"/>
        <w:jc w:val="both"/>
      </w:pPr>
      <w:r>
        <w:t>11. Where AIRI Over- or Under-States Realised Inflation</w:t>
      </w:r>
    </w:p>
    <w:p w14:paraId="019FCD21" w14:textId="77777777" w:rsidR="004515F3" w:rsidRDefault="003607A6" w:rsidP="00087194">
      <w:pPr>
        <w:pStyle w:val="BodyText"/>
        <w:jc w:val="center"/>
      </w:pPr>
      <w:r>
        <w:rPr>
          <w:noProof/>
        </w:rPr>
        <w:drawing>
          <wp:inline distT="0" distB="0" distL="0" distR="0" wp14:anchorId="4AC9F1EF" wp14:editId="40534A9F">
            <wp:extent cx="4572000" cy="4905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6_0.png"/>
                    <pic:cNvPicPr/>
                  </pic:nvPicPr>
                  <pic:blipFill>
                    <a:blip r:embed="rId21"/>
                    <a:stretch>
                      <a:fillRect/>
                    </a:stretch>
                  </pic:blipFill>
                  <pic:spPr>
                    <a:xfrm>
                      <a:off x="0" y="0"/>
                      <a:ext cx="4572000" cy="4905375"/>
                    </a:xfrm>
                    <a:prstGeom prst="rect">
                      <a:avLst/>
                    </a:prstGeom>
                  </pic:spPr>
                </pic:pic>
              </a:graphicData>
            </a:graphic>
          </wp:inline>
        </w:drawing>
      </w:r>
    </w:p>
    <w:p w14:paraId="6A8D220F" w14:textId="77777777" w:rsidR="004515F3" w:rsidRDefault="003607A6" w:rsidP="00087194">
      <w:pPr>
        <w:pStyle w:val="BodyText"/>
        <w:jc w:val="center"/>
      </w:pPr>
      <w:r>
        <w:rPr>
          <w:i/>
        </w:rPr>
        <w:t>Figure 11. Difference between each country’s mean AIRI risk and its mean headline CPI inflation, ranked.</w:t>
      </w:r>
    </w:p>
    <w:p w14:paraId="436086B2" w14:textId="77777777" w:rsidR="004515F3" w:rsidRDefault="003607A6" w:rsidP="00087194">
      <w:pPr>
        <w:pStyle w:val="BodyText"/>
        <w:jc w:val="both"/>
      </w:pPr>
      <w:r>
        <w:t xml:space="preserve">Ranking countries by the gap between mean AIRI risk and mean CPI inflation highlights differences in level, separately from the correlation results above. Seychelles is the only country where AIRI substantially overstates inflation relative to CPI, by roughly 18 points on average. At the other extreme, South Sudan, Angola, Congo (Dem. Rep.), Egypt, Malawi, Ghana and Sierra Leone all show AIRI running far below realised inflation, which is most dramatic in South Sudan, where the gap is about -90 points, reflecting hyperinflation </w:t>
      </w:r>
      <w:r>
        <w:lastRenderedPageBreak/>
        <w:t>episodes that the AIRI measure comes nowhere close to matching in scale. The majority of countries in the middle of the chart cluster close to zero, meaning AIRI and CPI are of a broadly similar order of magnitude in most “normal-inflation” economies, with the largest gaps concentrated in the same handful of extreme or crisis-affected countries that also stand out in Figures 2, 4 and 8.</w:t>
      </w:r>
    </w:p>
    <w:p w14:paraId="691C3985" w14:textId="77777777" w:rsidR="004515F3" w:rsidRDefault="003607A6" w:rsidP="00087194">
      <w:pPr>
        <w:pStyle w:val="Heading3"/>
        <w:jc w:val="both"/>
      </w:pPr>
      <w:r>
        <w:t>12. Country-Level Summary</w:t>
      </w:r>
    </w:p>
    <w:tbl>
      <w:tblPr>
        <w:tblStyle w:val="TableGrid"/>
        <w:tblW w:w="0" w:type="auto"/>
        <w:tblLook w:val="04A0" w:firstRow="1" w:lastRow="0" w:firstColumn="1" w:lastColumn="0" w:noHBand="0" w:noVBand="1"/>
      </w:tblPr>
      <w:tblGrid>
        <w:gridCol w:w="4675"/>
        <w:gridCol w:w="4675"/>
      </w:tblGrid>
      <w:tr w:rsidR="00364865" w14:paraId="1C0B07B5" w14:textId="77777777">
        <w:tc>
          <w:tcPr>
            <w:tcW w:w="4680" w:type="dxa"/>
            <w:shd w:val="clear" w:color="auto" w:fill="201B17"/>
          </w:tcPr>
          <w:p w14:paraId="7AD7A1DE" w14:textId="77777777" w:rsidR="00364865" w:rsidRDefault="00964F5E">
            <w:r>
              <w:rPr>
                <w:b/>
                <w:color w:val="FFFFFF"/>
                <w:sz w:val="18"/>
              </w:rPr>
              <w:t>Metric</w:t>
            </w:r>
          </w:p>
        </w:tc>
        <w:tc>
          <w:tcPr>
            <w:tcW w:w="4680" w:type="dxa"/>
            <w:shd w:val="clear" w:color="auto" w:fill="201B17"/>
          </w:tcPr>
          <w:p w14:paraId="3D69B9D5" w14:textId="77777777" w:rsidR="00364865" w:rsidRDefault="00964F5E">
            <w:r>
              <w:rPr>
                <w:b/>
                <w:color w:val="FFFFFF"/>
                <w:sz w:val="18"/>
              </w:rPr>
              <w:t>Value</w:t>
            </w:r>
          </w:p>
        </w:tc>
      </w:tr>
      <w:tr w:rsidR="00364865" w14:paraId="23B04345" w14:textId="77777777">
        <w:tc>
          <w:tcPr>
            <w:tcW w:w="4680" w:type="dxa"/>
          </w:tcPr>
          <w:p w14:paraId="6E3370BC" w14:textId="77777777" w:rsidR="00364865" w:rsidRDefault="00964F5E">
            <w:r>
              <w:rPr>
                <w:sz w:val="18"/>
              </w:rPr>
              <w:t>Number of countries</w:t>
            </w:r>
          </w:p>
        </w:tc>
        <w:tc>
          <w:tcPr>
            <w:tcW w:w="4680" w:type="dxa"/>
          </w:tcPr>
          <w:p w14:paraId="4678CF29" w14:textId="77777777" w:rsidR="00364865" w:rsidRDefault="00964F5E">
            <w:r>
              <w:rPr>
                <w:sz w:val="18"/>
              </w:rPr>
              <w:t>46</w:t>
            </w:r>
          </w:p>
        </w:tc>
      </w:tr>
      <w:tr w:rsidR="00364865" w14:paraId="012E63B9" w14:textId="77777777">
        <w:tc>
          <w:tcPr>
            <w:tcW w:w="4680" w:type="dxa"/>
            <w:shd w:val="clear" w:color="auto" w:fill="FAF7F3"/>
          </w:tcPr>
          <w:p w14:paraId="3C116CB5" w14:textId="77777777" w:rsidR="00364865" w:rsidRDefault="00964F5E">
            <w:r>
              <w:rPr>
                <w:sz w:val="18"/>
              </w:rPr>
              <w:t>Average country-level Pearson correlation</w:t>
            </w:r>
          </w:p>
        </w:tc>
        <w:tc>
          <w:tcPr>
            <w:tcW w:w="4680" w:type="dxa"/>
            <w:shd w:val="clear" w:color="auto" w:fill="FAF7F3"/>
          </w:tcPr>
          <w:p w14:paraId="03842FE7" w14:textId="77777777" w:rsidR="00364865" w:rsidRDefault="00964F5E">
            <w:r>
              <w:rPr>
                <w:sz w:val="18"/>
              </w:rPr>
              <w:t>0.281</w:t>
            </w:r>
          </w:p>
        </w:tc>
      </w:tr>
      <w:tr w:rsidR="00364865" w14:paraId="78145349" w14:textId="77777777">
        <w:tc>
          <w:tcPr>
            <w:tcW w:w="4680" w:type="dxa"/>
          </w:tcPr>
          <w:p w14:paraId="6BB46986" w14:textId="77777777" w:rsidR="00364865" w:rsidRDefault="00964F5E">
            <w:r>
              <w:rPr>
                <w:sz w:val="18"/>
              </w:rPr>
              <w:t>Median country-level Pearson correlation</w:t>
            </w:r>
          </w:p>
        </w:tc>
        <w:tc>
          <w:tcPr>
            <w:tcW w:w="4680" w:type="dxa"/>
          </w:tcPr>
          <w:p w14:paraId="0341382A" w14:textId="77777777" w:rsidR="00364865" w:rsidRDefault="00964F5E">
            <w:r>
              <w:rPr>
                <w:sz w:val="18"/>
              </w:rPr>
              <w:t>0.268</w:t>
            </w:r>
          </w:p>
        </w:tc>
      </w:tr>
      <w:tr w:rsidR="00364865" w14:paraId="4B08BC1D" w14:textId="77777777">
        <w:tc>
          <w:tcPr>
            <w:tcW w:w="4680" w:type="dxa"/>
            <w:shd w:val="clear" w:color="auto" w:fill="FAF7F3"/>
          </w:tcPr>
          <w:p w14:paraId="3ECC01EC" w14:textId="77777777" w:rsidR="00364865" w:rsidRDefault="00964F5E">
            <w:r>
              <w:rPr>
                <w:sz w:val="18"/>
              </w:rPr>
              <w:t>Countries with positive AIRI–CPI correlations</w:t>
            </w:r>
          </w:p>
        </w:tc>
        <w:tc>
          <w:tcPr>
            <w:tcW w:w="4680" w:type="dxa"/>
            <w:shd w:val="clear" w:color="auto" w:fill="FAF7F3"/>
          </w:tcPr>
          <w:p w14:paraId="33728297" w14:textId="77777777" w:rsidR="00364865" w:rsidRDefault="00964F5E">
            <w:r>
              <w:rPr>
                <w:sz w:val="18"/>
              </w:rPr>
              <w:t>38 (82.6%)</w:t>
            </w:r>
          </w:p>
        </w:tc>
      </w:tr>
      <w:tr w:rsidR="00364865" w14:paraId="27BCD727" w14:textId="77777777">
        <w:tc>
          <w:tcPr>
            <w:tcW w:w="4680" w:type="dxa"/>
          </w:tcPr>
          <w:p w14:paraId="29257589" w14:textId="77777777" w:rsidR="00364865" w:rsidRDefault="00964F5E">
            <w:r>
              <w:rPr>
                <w:sz w:val="18"/>
              </w:rPr>
              <w:t>Countries with negative correlations</w:t>
            </w:r>
          </w:p>
        </w:tc>
        <w:tc>
          <w:tcPr>
            <w:tcW w:w="4680" w:type="dxa"/>
          </w:tcPr>
          <w:p w14:paraId="1D1AC9CF" w14:textId="77777777" w:rsidR="00364865" w:rsidRDefault="00964F5E">
            <w:r>
              <w:rPr>
                <w:sz w:val="18"/>
              </w:rPr>
              <w:t>8</w:t>
            </w:r>
          </w:p>
        </w:tc>
      </w:tr>
      <w:tr w:rsidR="00364865" w14:paraId="63FD9CEB" w14:textId="77777777">
        <w:tc>
          <w:tcPr>
            <w:tcW w:w="4680" w:type="dxa"/>
            <w:shd w:val="clear" w:color="auto" w:fill="FAF7F3"/>
          </w:tcPr>
          <w:p w14:paraId="1296BB8D" w14:textId="77777777" w:rsidR="00364865" w:rsidRDefault="00964F5E">
            <w:r>
              <w:rPr>
                <w:sz w:val="18"/>
              </w:rPr>
              <w:t>Countries with statistically significant correlations (5%)</w:t>
            </w:r>
          </w:p>
        </w:tc>
        <w:tc>
          <w:tcPr>
            <w:tcW w:w="4680" w:type="dxa"/>
            <w:shd w:val="clear" w:color="auto" w:fill="FAF7F3"/>
          </w:tcPr>
          <w:p w14:paraId="3BA5D588" w14:textId="77777777" w:rsidR="00364865" w:rsidRDefault="00964F5E">
            <w:r>
              <w:rPr>
                <w:sz w:val="18"/>
              </w:rPr>
              <w:t>32</w:t>
            </w:r>
          </w:p>
        </w:tc>
      </w:tr>
      <w:tr w:rsidR="00364865" w14:paraId="45CE52A8" w14:textId="77777777">
        <w:tc>
          <w:tcPr>
            <w:tcW w:w="4680" w:type="dxa"/>
          </w:tcPr>
          <w:p w14:paraId="1379CD66" w14:textId="77777777" w:rsidR="00364865" w:rsidRDefault="00964F5E">
            <w:r>
              <w:rPr>
                <w:sz w:val="18"/>
              </w:rPr>
              <w:t>Countries with strong positive correlations (r ≥ 0.50)</w:t>
            </w:r>
          </w:p>
        </w:tc>
        <w:tc>
          <w:tcPr>
            <w:tcW w:w="4680" w:type="dxa"/>
          </w:tcPr>
          <w:p w14:paraId="42C9765B" w14:textId="77777777" w:rsidR="00364865" w:rsidRDefault="00964F5E">
            <w:r>
              <w:rPr>
                <w:sz w:val="18"/>
              </w:rPr>
              <w:t>9</w:t>
            </w:r>
          </w:p>
        </w:tc>
      </w:tr>
      <w:tr w:rsidR="00364865" w14:paraId="33003BCA" w14:textId="77777777">
        <w:tc>
          <w:tcPr>
            <w:tcW w:w="4680" w:type="dxa"/>
            <w:shd w:val="clear" w:color="auto" w:fill="FAF7F3"/>
          </w:tcPr>
          <w:p w14:paraId="1745C975" w14:textId="77777777" w:rsidR="00364865" w:rsidRDefault="00964F5E">
            <w:r>
              <w:rPr>
                <w:sz w:val="18"/>
              </w:rPr>
              <w:t>Strongest positive relationship</w:t>
            </w:r>
          </w:p>
        </w:tc>
        <w:tc>
          <w:tcPr>
            <w:tcW w:w="4680" w:type="dxa"/>
            <w:shd w:val="clear" w:color="auto" w:fill="FAF7F3"/>
          </w:tcPr>
          <w:p w14:paraId="6B4E397C" w14:textId="77777777" w:rsidR="00364865" w:rsidRDefault="00964F5E">
            <w:r>
              <w:rPr>
                <w:sz w:val="18"/>
              </w:rPr>
              <w:t>Tunisia (r = 0.793)</w:t>
            </w:r>
          </w:p>
        </w:tc>
      </w:tr>
      <w:tr w:rsidR="00364865" w14:paraId="21F50B80" w14:textId="77777777">
        <w:tc>
          <w:tcPr>
            <w:tcW w:w="4680" w:type="dxa"/>
          </w:tcPr>
          <w:p w14:paraId="2B028408" w14:textId="77777777" w:rsidR="00364865" w:rsidRDefault="00964F5E">
            <w:r>
              <w:rPr>
                <w:sz w:val="18"/>
              </w:rPr>
              <w:t>Weakest relationship</w:t>
            </w:r>
          </w:p>
        </w:tc>
        <w:tc>
          <w:tcPr>
            <w:tcW w:w="4680" w:type="dxa"/>
          </w:tcPr>
          <w:p w14:paraId="1A9003F8" w14:textId="77777777" w:rsidR="00364865" w:rsidRDefault="00964F5E">
            <w:r>
              <w:rPr>
                <w:sz w:val="18"/>
              </w:rPr>
              <w:t>Tanzania (r = -0.257)</w:t>
            </w:r>
          </w:p>
        </w:tc>
      </w:tr>
    </w:tbl>
    <w:p w14:paraId="50C6EF23" w14:textId="77777777" w:rsidR="004515F3" w:rsidRDefault="003607A6" w:rsidP="00087194">
      <w:pPr>
        <w:pStyle w:val="BodyText"/>
        <w:jc w:val="both"/>
      </w:pPr>
      <w:r>
        <w:t>Taken together, these headline statistics support an overall reading of the stylized facts above: AIRI carries genuine, statistically detectable signal about realised inflation in most economies (a positive relationship in 82.6% of countries, significant in 32 of 46), but that signal varies enormously in strength, is diluted once countries are pooled together, is structurally less volatile than realised inflation, and can weaken, become unstable over time, or break down entirely in a minority of countries with unusual inflation dynamics such as hyperinflation, currency crises, or conflict.</w:t>
      </w:r>
    </w:p>
    <w:p w14:paraId="7AD0F00C" w14:textId="77777777" w:rsidR="004515F3" w:rsidRDefault="003607A6" w:rsidP="00087194">
      <w:pPr>
        <w:pStyle w:val="Heading2"/>
        <w:jc w:val="both"/>
      </w:pPr>
      <w:r>
        <w:t>Panel VAR Methodology</w:t>
      </w:r>
    </w:p>
    <w:p w14:paraId="3C95F080" w14:textId="77777777" w:rsidR="004515F3" w:rsidRDefault="003607A6" w:rsidP="00087194">
      <w:pPr>
        <w:pStyle w:val="FirstParagraph"/>
        <w:jc w:val="both"/>
      </w:pPr>
      <w:r>
        <w:t>To investigate whether the AIRI predicts realised inflation when other factors have been accounted for, we estimate a panel vector autoregressive model for all 46 countries in Africa. The Panel VAR captures the dynamic relationship between variables, considering all variables as endogenous. The estimation allows for the computation of the direction of the statistical relation through Granger causality. The response of realised inflation to changes in the AIRI will be computed by the Impulse Response Function (IRF).</w:t>
      </w:r>
    </w:p>
    <w:p w14:paraId="5F3826F4" w14:textId="77777777" w:rsidR="004515F3" w:rsidRDefault="003607A6" w:rsidP="00087194">
      <w:pPr>
        <w:pStyle w:val="Heading3"/>
        <w:jc w:val="both"/>
      </w:pPr>
      <w:r>
        <w:t>Model Specification</w:t>
      </w:r>
    </w:p>
    <w:p w14:paraId="083B5149" w14:textId="77777777" w:rsidR="004515F3" w:rsidRDefault="003607A6" w:rsidP="00087194">
      <w:pPr>
        <w:pStyle w:val="FirstParagraph"/>
        <w:jc w:val="both"/>
      </w:pPr>
      <w:r>
        <w:t xml:space="preserve">Following Love and Zicchino (2006) and Canova and Ciccarelli (2013), the reduced-form Panel VAR of order </w:t>
      </w:r>
      <m:oMath>
        <m:r>
          <w:rPr>
            <w:rFonts w:ascii="Cambria Math" w:hAnsi="Cambria Math"/>
          </w:rPr>
          <m:t>p</m:t>
        </m:r>
      </m:oMath>
      <w:r>
        <w:t xml:space="preserve"> is specified as:</w:t>
      </w:r>
    </w:p>
    <w:p w14:paraId="66AA0D8C" w14:textId="77777777" w:rsidR="004515F3" w:rsidRDefault="00230CBE" w:rsidP="00087194">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A</m:t>
                  </m:r>
                </m:e>
                <m:sub>
                  <m:r>
                    <w:rPr>
                      <w:rFonts w:ascii="Cambria Math" w:hAnsi="Cambria Math"/>
                    </w:rPr>
                    <m:t>k</m:t>
                  </m:r>
                </m:sub>
              </m:sSub>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t</m:t>
              </m:r>
            </m:sub>
          </m:sSub>
        </m:oMath>
      </m:oMathPara>
    </w:p>
    <w:p w14:paraId="24D69E42" w14:textId="77777777" w:rsidR="004515F3" w:rsidRDefault="003607A6" w:rsidP="00087194">
      <w:pPr>
        <w:pStyle w:val="FirstParagraph"/>
        <w:jc w:val="both"/>
      </w:pPr>
      <w:r>
        <w:t xml:space="preserve">where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indexes countries (</w:t>
      </w:r>
      <m:oMath>
        <m:r>
          <w:rPr>
            <w:rFonts w:ascii="Cambria Math" w:hAnsi="Cambria Math"/>
          </w:rPr>
          <m:t>N</m:t>
        </m:r>
        <m:r>
          <m:rPr>
            <m:sty m:val="p"/>
          </m:rPr>
          <w:rPr>
            <w:rFonts w:ascii="Cambria Math" w:hAnsi="Cambria Math"/>
          </w:rPr>
          <m:t>=</m:t>
        </m:r>
        <m:r>
          <w:rPr>
            <w:rFonts w:ascii="Cambria Math" w:hAnsi="Cambria Math"/>
          </w:rPr>
          <m:t>54</m:t>
        </m:r>
      </m:oMath>
      <w:r>
        <w:t xml:space="preserve">) and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oMath>
      <w:r>
        <w:t xml:space="preserve"> indexes monthly time periods (January 2015 to December 2025).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the </w:t>
      </w:r>
      <m:oMath>
        <m:r>
          <w:rPr>
            <w:rFonts w:ascii="Cambria Math" w:hAnsi="Cambria Math"/>
          </w:rPr>
          <m:t>5</m:t>
        </m:r>
        <m:r>
          <m:rPr>
            <m:sty m:val="p"/>
          </m:rPr>
          <w:rPr>
            <w:rFonts w:ascii="Cambria Math" w:hAnsi="Cambria Math"/>
          </w:rPr>
          <m:t>×</m:t>
        </m:r>
        <m:r>
          <w:rPr>
            <w:rFonts w:ascii="Cambria Math" w:hAnsi="Cambria Math"/>
          </w:rPr>
          <m:t>1</m:t>
        </m:r>
      </m:oMath>
      <w:r>
        <w:t xml:space="preserve"> vector of endogenous variables:</w:t>
      </w:r>
    </w:p>
    <w:p w14:paraId="5882211E" w14:textId="77777777" w:rsidR="004515F3" w:rsidRDefault="00230CBE" w:rsidP="00087194">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nor/>
                    </m:rPr>
                    <m:t>AIRI</m:t>
                  </m:r>
                  <m:sSub>
                    <m:sSubPr>
                      <m:ctrlPr>
                        <w:rPr>
                          <w:rFonts w:ascii="Cambria Math" w:hAnsi="Cambria Math"/>
                        </w:rPr>
                      </m:ctrlPr>
                    </m:sSub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oMath>
      </m:oMathPara>
    </w:p>
    <w:p w14:paraId="133D5F42" w14:textId="77777777" w:rsidR="004515F3" w:rsidRDefault="003607A6" w:rsidP="00087194">
      <w:pPr>
        <w:pStyle w:val="FirstParagraph"/>
        <w:jc w:val="both"/>
      </w:pPr>
      <w:r>
        <w:lastRenderedPageBreak/>
        <w:t xml:space="preserve">where </w:t>
      </w:r>
      <m:oMath>
        <m:r>
          <m:rPr>
            <m:nor/>
          </m:rPr>
          <m:t>AIRI</m:t>
        </m:r>
        <m:sSub>
          <m:sSubPr>
            <m:ctrlPr>
              <w:rPr>
                <w:rFonts w:ascii="Cambria Math" w:hAnsi="Cambria Math"/>
              </w:rPr>
            </m:ctrlPr>
          </m:sSub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the AIRI inflation pillar score for country </w:t>
      </w:r>
      <m:oMath>
        <m:r>
          <w:rPr>
            <w:rFonts w:ascii="Cambria Math" w:hAnsi="Cambria Math"/>
          </w:rPr>
          <m:t>c</m:t>
        </m:r>
      </m:oMath>
      <w:r>
        <w:t xml:space="preserve"> at time </w:t>
      </w:r>
      <m:oMath>
        <m:r>
          <w:rPr>
            <w:rFonts w:ascii="Cambria Math" w:hAnsi="Cambria Math"/>
          </w:rPr>
          <m:t>t</m:t>
        </m:r>
      </m:oMath>
      <w:r>
        <w:t xml:space="preserve">, scaled to the interval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200</m:t>
            </m:r>
          </m:e>
        </m:d>
      </m:oMath>
      <w:r>
        <w:t xml:space="preserve"> and normalised by total article volume, and </w:t>
      </w:r>
      <m:oMath>
        <m:sSub>
          <m:sSubPr>
            <m:ctrlPr>
              <w:rPr>
                <w:rFonts w:ascii="Cambria Math" w:hAnsi="Cambria Math"/>
              </w:rPr>
            </m:ctrlPr>
          </m:sSub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month-on-month headline CPI inflation. We identify other variables that have been tested in the literature to predict inflation, in order to account for factors that can influence realised inflation: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the month-on-month percentage change in the nominal exchange rate, local currency per USD (Razafimahefa 2012); </w:t>
      </w:r>
      <m:oMath>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money supply (M2) growth (Okedigba et al. 2024; Alimi 2012); and </w:t>
      </w: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real GDP growth (Barnichon and Peiris 2007). All five variables are treated as endogenous, so each can respond to shocks in any of the others. </w:t>
      </w:r>
      <m:oMath>
        <m:sSub>
          <m:sSubPr>
            <m:ctrlPr>
              <w:rPr>
                <w:rFonts w:ascii="Cambria Math" w:hAnsi="Cambria Math"/>
              </w:rPr>
            </m:ctrlPr>
          </m:sSubPr>
          <m:e>
            <m:r>
              <w:rPr>
                <w:rFonts w:ascii="Cambria Math" w:hAnsi="Cambria Math"/>
              </w:rPr>
              <m:t>A</m:t>
            </m:r>
          </m:e>
          <m:sub>
            <m:r>
              <w:rPr>
                <w:rFonts w:ascii="Cambria Math" w:hAnsi="Cambria Math"/>
              </w:rPr>
              <m:t>0</m:t>
            </m:r>
          </m:sub>
        </m:sSub>
        <m:d>
          <m:dPr>
            <m:ctrlPr>
              <w:rPr>
                <w:rFonts w:ascii="Cambria Math" w:hAnsi="Cambria Math"/>
              </w:rPr>
            </m:ctrlPr>
          </m:dPr>
          <m:e>
            <m:r>
              <w:rPr>
                <w:rFonts w:ascii="Cambria Math" w:hAnsi="Cambria Math"/>
              </w:rPr>
              <m:t>c</m:t>
            </m:r>
          </m:e>
        </m:d>
      </m:oMath>
      <w:r>
        <w:t xml:space="preserve"> is a </w:t>
      </w:r>
      <m:oMath>
        <m:r>
          <w:rPr>
            <w:rFonts w:ascii="Cambria Math" w:hAnsi="Cambria Math"/>
          </w:rPr>
          <m:t>5</m:t>
        </m:r>
        <m:r>
          <m:rPr>
            <m:sty m:val="p"/>
          </m:rPr>
          <w:rPr>
            <w:rFonts w:ascii="Cambria Math" w:hAnsi="Cambria Math"/>
          </w:rPr>
          <m:t>×</m:t>
        </m:r>
        <m:r>
          <w:rPr>
            <w:rFonts w:ascii="Cambria Math" w:hAnsi="Cambria Math"/>
          </w:rPr>
          <m:t>1</m:t>
        </m:r>
      </m:oMath>
      <w:r>
        <w:t xml:space="preserve"> vector of country-specific intercepts, capturing the fact that countries differ in their average level of risk narrative and inflation regardless of dynamics.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for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xml:space="preserve"> are </w:t>
      </w:r>
      <m:oMath>
        <m:r>
          <w:rPr>
            <w:rFonts w:ascii="Cambria Math" w:hAnsi="Cambria Math"/>
          </w:rPr>
          <m:t>5</m:t>
        </m:r>
        <m:r>
          <m:rPr>
            <m:sty m:val="p"/>
          </m:rPr>
          <w:rPr>
            <w:rFonts w:ascii="Cambria Math" w:hAnsi="Cambria Math"/>
          </w:rPr>
          <m:t>×</m:t>
        </m:r>
        <m:r>
          <w:rPr>
            <w:rFonts w:ascii="Cambria Math" w:hAnsi="Cambria Math"/>
          </w:rPr>
          <m:t>5</m:t>
        </m:r>
      </m:oMath>
      <w:r>
        <w:t xml:space="preserve"> matrices of lag coefficients, and </w:t>
      </w: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the </w:t>
      </w:r>
      <m:oMath>
        <m:r>
          <w:rPr>
            <w:rFonts w:ascii="Cambria Math" w:hAnsi="Cambria Math"/>
          </w:rPr>
          <m:t>5</m:t>
        </m:r>
        <m:r>
          <m:rPr>
            <m:sty m:val="p"/>
          </m:rPr>
          <w:rPr>
            <w:rFonts w:ascii="Cambria Math" w:hAnsi="Cambria Math"/>
          </w:rPr>
          <m:t>×</m:t>
        </m:r>
        <m:r>
          <w:rPr>
            <w:rFonts w:ascii="Cambria Math" w:hAnsi="Cambria Math"/>
          </w:rPr>
          <m:t>1</m:t>
        </m:r>
      </m:oMath>
      <w:r>
        <w:t xml:space="preserve"> vector of reduced-form disturbances, with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0</m:t>
        </m:r>
      </m:oMath>
      <w:r>
        <w:t xml:space="preserve">,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e>
        </m:d>
        <m:r>
          <m:rPr>
            <m:sty m:val="p"/>
          </m:rPr>
          <w:rPr>
            <w:rFonts w:ascii="Cambria Math" w:hAnsi="Cambria Math"/>
          </w:rPr>
          <m:t>=</m:t>
        </m:r>
        <m:r>
          <w:rPr>
            <w:rFonts w:ascii="Cambria Math" w:hAnsi="Cambria Math"/>
          </w:rPr>
          <m:t>Σ</m:t>
        </m:r>
      </m:oMath>
      <w:r>
        <w:t xml:space="preserve">, and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e>
        </m:d>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m:t>
        </m:r>
        <m:r>
          <w:rPr>
            <w:rFonts w:ascii="Cambria Math" w:hAnsi="Cambria Math"/>
          </w:rPr>
          <m:t>s</m:t>
        </m:r>
      </m:oMath>
      <w:r>
        <w:t>.</w:t>
      </w:r>
    </w:p>
    <w:p w14:paraId="347C14E9" w14:textId="77777777" w:rsidR="004515F3" w:rsidRDefault="003607A6" w:rsidP="00087194">
      <w:pPr>
        <w:pStyle w:val="BodyText"/>
        <w:jc w:val="both"/>
      </w:pPr>
      <w:r>
        <w:t>Equation (11) imposes slope homogeneity:  carries no country subscript, so the dynamic relationship among the five variables is assumed identical across all 46 countries, with only the intercept  allowed to vary. Given the well-documented heterogeneity of inflation dynamics across Africa (Nsafoah, Dery, and Ilori 2025), this assumption is tested rather than taken for granted, following Pesaran and Smith (1995).</w:t>
      </w:r>
      <m:oMath>
        <m:sSub>
          <m:sSubPr>
            <m:ctrlPr>
              <w:rPr>
                <w:rFonts w:ascii="Cambria Math" w:hAnsi="Cambria Math"/>
              </w:rPr>
            </m:ctrlPr>
          </m:sSubPr>
          <m:e>
            <m:r>
              <w:rPr>
                <w:rFonts w:ascii="Cambria Math" w:hAnsi="Cambria Math"/>
              </w:rPr>
              <m:t>A</m:t>
            </m:r>
          </m:e>
          <m:sub>
            <m:r>
              <w:rPr>
                <w:rFonts w:ascii="Cambria Math" w:hAnsi="Cambria Math"/>
              </w:rPr>
              <m:t>k</m:t>
            </m:r>
          </m:sub>
        </m:sSub>
        <m:sSub>
          <m:sSubPr>
            <m:ctrlPr>
              <w:rPr>
                <w:rFonts w:ascii="Cambria Math" w:hAnsi="Cambria Math"/>
              </w:rPr>
            </m:ctrlPr>
          </m:sSubPr>
          <m:e>
            <m:r>
              <w:rPr>
                <w:rFonts w:ascii="Cambria Math" w:hAnsi="Cambria Math"/>
              </w:rPr>
              <m:t>A</m:t>
            </m:r>
          </m:e>
          <m:sub>
            <m:r>
              <w:rPr>
                <w:rFonts w:ascii="Cambria Math" w:hAnsi="Cambria Math"/>
              </w:rPr>
              <m:t>0</m:t>
            </m:r>
          </m:sub>
        </m:sSub>
        <m:d>
          <m:dPr>
            <m:ctrlPr>
              <w:rPr>
                <w:rFonts w:ascii="Cambria Math" w:hAnsi="Cambria Math"/>
              </w:rPr>
            </m:ctrlPr>
          </m:dPr>
          <m:e>
            <m:r>
              <w:rPr>
                <w:rFonts w:ascii="Cambria Math" w:hAnsi="Cambria Math"/>
              </w:rPr>
              <m:t>c</m:t>
            </m:r>
          </m:e>
        </m:d>
      </m:oMath>
    </w:p>
    <w:p w14:paraId="173AEF63" w14:textId="77777777" w:rsidR="004515F3" w:rsidRDefault="003607A6" w:rsidP="00087194">
      <w:pPr>
        <w:pStyle w:val="BodyText"/>
        <w:jc w:val="both"/>
      </w:pPr>
      <w:r>
        <w:t xml:space="preserve">We estimate two versions of equation (11). The first is a pooled fixed-effects Panel VAR: country intercepts are removed by within-group demeaning, and a single set of coefficients </w:t>
      </w:r>
      <m:oMath>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FE</m:t>
            </m:r>
          </m:sup>
        </m:sSup>
      </m:oMath>
      <w:r>
        <w:t xml:space="preserve"> is estimated by OLS across the full panel.</w:t>
      </w:r>
    </w:p>
    <w:p w14:paraId="4AFE5A0B" w14:textId="77777777" w:rsidR="004515F3" w:rsidRDefault="003607A6" w:rsidP="00087194">
      <w:pPr>
        <w:pStyle w:val="BodyText"/>
        <w:jc w:val="both"/>
      </w:pPr>
      <w:r>
        <w:t>The second is the Mean Group estimator (Pesaran and Smith 1995): a separate VAR of order  is estimated by OLS for each of the 46 countries individually, and the coefficient matrices are averaged across countries:</w:t>
      </w:r>
      <m:oMath>
        <m:r>
          <w:rPr>
            <w:rFonts w:ascii="Cambria Math" w:hAnsi="Cambria Math"/>
          </w:rPr>
          <m:t>p</m:t>
        </m:r>
      </m:oMath>
    </w:p>
    <w:p w14:paraId="1AD130DD" w14:textId="77777777" w:rsidR="004515F3" w:rsidRDefault="00230CBE" w:rsidP="00087194">
      <w:pPr>
        <w:pStyle w:val="BodyText"/>
        <w:jc w:val="both"/>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k</m:t>
              </m:r>
            </m:sub>
            <m:sup>
              <m:r>
                <w:rPr>
                  <w:rFonts w:ascii="Cambria Math" w:hAnsi="Cambria Math"/>
                </w:rPr>
                <m:t>MG</m:t>
              </m:r>
            </m:sup>
          </m:sSub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k</m:t>
                  </m:r>
                </m:sub>
                <m:sup>
                  <m:d>
                    <m:dPr>
                      <m:ctrlPr>
                        <w:rPr>
                          <w:rFonts w:ascii="Cambria Math" w:hAnsi="Cambria Math"/>
                        </w:rPr>
                      </m:ctrlPr>
                    </m:dPr>
                    <m:e>
                      <m:r>
                        <w:rPr>
                          <w:rFonts w:ascii="Cambria Math" w:hAnsi="Cambria Math"/>
                        </w:rPr>
                        <m:t>c</m:t>
                      </m:r>
                    </m:e>
                  </m:d>
                </m:sup>
              </m:sSubSup>
            </m:e>
          </m:nary>
        </m:oMath>
      </m:oMathPara>
    </w:p>
    <w:p w14:paraId="664C5218" w14:textId="77777777" w:rsidR="004515F3" w:rsidRDefault="003607A6" w:rsidP="00087194">
      <w:pPr>
        <w:pStyle w:val="FirstParagraph"/>
        <w:jc w:val="both"/>
      </w:pPr>
      <w:r>
        <w:t xml:space="preserve">Mean Group places no restriction on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across countries and remains consistent whether or not slope homogeneity holds, whereas the pooled fixed-effects estimator is consistent only if homogeneity holds.</w:t>
      </w:r>
    </w:p>
    <w:p w14:paraId="18F64B52" w14:textId="77777777" w:rsidR="004515F3" w:rsidRDefault="003607A6" w:rsidP="00087194">
      <w:pPr>
        <w:pStyle w:val="BodyText"/>
        <w:jc w:val="both"/>
      </w:pPr>
      <w:r>
        <w:t>The two sets of estimates are compared using the Hausman-type poolability test of Pesaran and Smith (1995):</w:t>
      </w:r>
    </w:p>
    <w:p w14:paraId="3BB45225" w14:textId="77777777" w:rsidR="004515F3" w:rsidRDefault="003607A6" w:rsidP="00087194">
      <w:pPr>
        <w:pStyle w:val="BodyText"/>
        <w:jc w:val="both"/>
      </w:pPr>
      <m:oMathPara>
        <m:oMathParaPr>
          <m:jc m:val="center"/>
        </m:oMathParaPr>
        <m:oMath>
          <m:r>
            <w:rPr>
              <w:rFonts w:ascii="Cambria Math" w:hAnsi="Cambria Math"/>
            </w:rPr>
            <m:t>H</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MG</m:t>
                  </m:r>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FE</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nor/>
                    </m:rPr>
                    <m:t>Var</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MG</m:t>
                          </m:r>
                        </m:sup>
                      </m:sSup>
                    </m:e>
                  </m:d>
                  <m:r>
                    <m:rPr>
                      <m:sty m:val="p"/>
                    </m:rPr>
                    <w:rPr>
                      <w:rFonts w:ascii="Cambria Math" w:hAnsi="Cambria Math"/>
                    </w:rPr>
                    <m:t>-</m:t>
                  </m:r>
                  <m:r>
                    <m:rPr>
                      <m:nor/>
                    </m:rPr>
                    <m:t>Var</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FE</m:t>
                          </m:r>
                        </m:sup>
                      </m:sSup>
                    </m:e>
                  </m:d>
                </m:e>
              </m:d>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MG</m:t>
                  </m:r>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FE</m:t>
                  </m:r>
                </m:sup>
              </m:sSup>
            </m:e>
          </m:d>
        </m:oMath>
      </m:oMathPara>
    </w:p>
    <w:p w14:paraId="0FC0289D" w14:textId="77777777" w:rsidR="004515F3" w:rsidRDefault="003607A6" w:rsidP="00087194">
      <w:pPr>
        <w:pStyle w:val="FirstParagraph"/>
        <w:jc w:val="both"/>
      </w:pPr>
      <w:r>
        <w:t xml:space="preserve">which is asymptotically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distributed under the null of slope homogeneity. Rejecting the null indicates that the pooled coefficients are inconsistent and that the country-specific dynamics captured by Mean Group should be used for inference, including the causality test in Section 3.2.3, which relies directly on country-by-country coefficient variation.</w:t>
      </w:r>
    </w:p>
    <w:p w14:paraId="59E2DA56" w14:textId="77777777" w:rsidR="004515F3" w:rsidRDefault="003607A6" w:rsidP="00087194">
      <w:pPr>
        <w:pStyle w:val="BodyText"/>
        <w:jc w:val="both"/>
      </w:pPr>
      <w:r>
        <w:rPr>
          <w:b/>
          <w:bCs/>
        </w:rPr>
        <w:t>Table 3: Variable Definitions and Data Sources</w:t>
      </w:r>
    </w:p>
    <w:tbl>
      <w:tblPr>
        <w:tblStyle w:val="Table"/>
        <w:tblW w:w="0" w:type="auto"/>
        <w:tblLook w:val="0020" w:firstRow="1" w:lastRow="0" w:firstColumn="0" w:lastColumn="0" w:noHBand="0" w:noVBand="0"/>
      </w:tblPr>
      <w:tblGrid>
        <w:gridCol w:w="1325"/>
        <w:gridCol w:w="5199"/>
        <w:gridCol w:w="2836"/>
      </w:tblGrid>
      <w:tr w:rsidR="004515F3" w14:paraId="546637EF" w14:textId="77777777" w:rsidTr="004515F3">
        <w:trPr>
          <w:cnfStyle w:val="100000000000" w:firstRow="1" w:lastRow="0" w:firstColumn="0" w:lastColumn="0" w:oddVBand="0" w:evenVBand="0" w:oddHBand="0" w:evenHBand="0" w:firstRowFirstColumn="0" w:firstRowLastColumn="0" w:lastRowFirstColumn="0" w:lastRowLastColumn="0"/>
          <w:tblHeader/>
        </w:trPr>
        <w:tc>
          <w:tcPr>
            <w:tcW w:w="0" w:type="auto"/>
          </w:tcPr>
          <w:p w14:paraId="6EDF0422" w14:textId="77777777" w:rsidR="004515F3" w:rsidRDefault="003607A6" w:rsidP="00087194">
            <w:pPr>
              <w:pStyle w:val="Compact"/>
              <w:jc w:val="both"/>
            </w:pPr>
            <w:r>
              <w:rPr>
                <w:b/>
                <w:bCs/>
              </w:rPr>
              <w:lastRenderedPageBreak/>
              <w:t>Variable</w:t>
            </w:r>
          </w:p>
        </w:tc>
        <w:tc>
          <w:tcPr>
            <w:tcW w:w="0" w:type="auto"/>
          </w:tcPr>
          <w:p w14:paraId="7CAE85F5" w14:textId="77777777" w:rsidR="004515F3" w:rsidRDefault="003607A6" w:rsidP="00087194">
            <w:pPr>
              <w:pStyle w:val="Compact"/>
              <w:jc w:val="both"/>
            </w:pPr>
            <w:r>
              <w:rPr>
                <w:b/>
                <w:bCs/>
              </w:rPr>
              <w:t>Definition</w:t>
            </w:r>
          </w:p>
        </w:tc>
        <w:tc>
          <w:tcPr>
            <w:tcW w:w="0" w:type="auto"/>
          </w:tcPr>
          <w:p w14:paraId="4E5600B6" w14:textId="77777777" w:rsidR="004515F3" w:rsidRDefault="003607A6" w:rsidP="00087194">
            <w:pPr>
              <w:pStyle w:val="Compact"/>
              <w:jc w:val="both"/>
            </w:pPr>
            <w:r>
              <w:rPr>
                <w:b/>
                <w:bCs/>
              </w:rPr>
              <w:t>Source</w:t>
            </w:r>
          </w:p>
        </w:tc>
      </w:tr>
      <w:tr w:rsidR="004515F3" w14:paraId="58C00EBE" w14:textId="77777777">
        <w:tc>
          <w:tcPr>
            <w:tcW w:w="0" w:type="auto"/>
          </w:tcPr>
          <w:p w14:paraId="707CA24A" w14:textId="77777777" w:rsidR="004515F3" w:rsidRDefault="003607A6" w:rsidP="00087194">
            <w:pPr>
              <w:pStyle w:val="Compact"/>
              <w:jc w:val="both"/>
            </w:pPr>
            <m:oMathPara>
              <m:oMath>
                <m:r>
                  <m:rPr>
                    <m:nor/>
                  </m:rPr>
                  <m:t>AIRI</m:t>
                </m:r>
                <m:r>
                  <w:rPr>
                    <w:rFonts w:ascii="Cambria Math" w:hAnsi="Cambria Math"/>
                  </w:rPr>
                  <m:t>π</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oMath>
            </m:oMathPara>
          </w:p>
        </w:tc>
        <w:tc>
          <w:tcPr>
            <w:tcW w:w="0" w:type="auto"/>
          </w:tcPr>
          <w:p w14:paraId="786AE23F" w14:textId="77777777" w:rsidR="004515F3" w:rsidRDefault="003607A6" w:rsidP="00087194">
            <w:pPr>
              <w:pStyle w:val="Compact"/>
              <w:jc w:val="both"/>
            </w:pPr>
            <w:r>
              <w:t xml:space="preserve">AIRI inflation pillar score, country </w:t>
            </w:r>
            <m:oMath>
              <m:r>
                <w:rPr>
                  <w:rFonts w:ascii="Cambria Math" w:hAnsi="Cambria Math"/>
                </w:rPr>
                <m:t>c</m:t>
              </m:r>
            </m:oMath>
            <w:r>
              <w:t xml:space="preserve">, month </w:t>
            </w:r>
            <m:oMath>
              <m:r>
                <w:rPr>
                  <w:rFonts w:ascii="Cambria Math" w:hAnsi="Cambria Math"/>
                </w:rPr>
                <m:t>t</m:t>
              </m:r>
            </m:oMath>
            <w:r>
              <w:t>. Normalised by total article volume; scale 0–200</w:t>
            </w:r>
          </w:p>
        </w:tc>
        <w:tc>
          <w:tcPr>
            <w:tcW w:w="0" w:type="auto"/>
          </w:tcPr>
          <w:p w14:paraId="37768459" w14:textId="77777777" w:rsidR="004515F3" w:rsidRDefault="003607A6" w:rsidP="00087194">
            <w:pPr>
              <w:pStyle w:val="Compact"/>
              <w:jc w:val="both"/>
            </w:pPr>
            <w:r>
              <w:t>Akande et al. (forthcoming)</w:t>
            </w:r>
          </w:p>
        </w:tc>
      </w:tr>
      <w:tr w:rsidR="004515F3" w14:paraId="378EEF16" w14:textId="77777777">
        <w:tc>
          <w:tcPr>
            <w:tcW w:w="0" w:type="auto"/>
          </w:tcPr>
          <w:p w14:paraId="5B0262A4" w14:textId="77777777" w:rsidR="004515F3" w:rsidRDefault="003607A6" w:rsidP="00087194">
            <w:pPr>
              <w:pStyle w:val="Compact"/>
              <w:jc w:val="both"/>
            </w:pPr>
            <m:oMathPara>
              <m:oMath>
                <m:r>
                  <w:rPr>
                    <w:rFonts w:ascii="Cambria Math" w:hAnsi="Cambria Math"/>
                  </w:rPr>
                  <m:t>π</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oMath>
            </m:oMathPara>
          </w:p>
        </w:tc>
        <w:tc>
          <w:tcPr>
            <w:tcW w:w="0" w:type="auto"/>
          </w:tcPr>
          <w:p w14:paraId="058F22B2" w14:textId="77777777" w:rsidR="004515F3" w:rsidRDefault="003607A6" w:rsidP="00087194">
            <w:pPr>
              <w:pStyle w:val="Compact"/>
              <w:jc w:val="both"/>
            </w:pPr>
            <w:r>
              <w:t>Month-on-month headline CPI inflation (%)</w:t>
            </w:r>
          </w:p>
        </w:tc>
        <w:tc>
          <w:tcPr>
            <w:tcW w:w="0" w:type="auto"/>
          </w:tcPr>
          <w:p w14:paraId="5F32B677" w14:textId="77777777" w:rsidR="004515F3" w:rsidRDefault="003607A6" w:rsidP="00087194">
            <w:pPr>
              <w:pStyle w:val="Compact"/>
              <w:jc w:val="both"/>
            </w:pPr>
            <w:r>
              <w:t>IMF International Financial Statistics</w:t>
            </w:r>
          </w:p>
        </w:tc>
      </w:tr>
      <w:tr w:rsidR="004515F3" w14:paraId="0CE9F562" w14:textId="77777777">
        <w:tc>
          <w:tcPr>
            <w:tcW w:w="0" w:type="auto"/>
          </w:tcPr>
          <w:p w14:paraId="01770280" w14:textId="77777777" w:rsidR="004515F3" w:rsidRDefault="003607A6" w:rsidP="00087194">
            <w:pPr>
              <w:pStyle w:val="Compact"/>
              <w:jc w:val="both"/>
            </w:pPr>
            <m:oMathPara>
              <m:oMath>
                <m:r>
                  <w:rPr>
                    <w:rFonts w:ascii="Cambria Math" w:hAnsi="Cambria Math"/>
                  </w:rPr>
                  <m:t>Δe</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oMath>
            </m:oMathPara>
          </w:p>
        </w:tc>
        <w:tc>
          <w:tcPr>
            <w:tcW w:w="0" w:type="auto"/>
          </w:tcPr>
          <w:p w14:paraId="4DA7A45E" w14:textId="77777777" w:rsidR="004515F3" w:rsidRDefault="003607A6" w:rsidP="00087194">
            <w:pPr>
              <w:pStyle w:val="Compact"/>
              <w:jc w:val="both"/>
            </w:pPr>
            <w:r>
              <w:t>Month-on-month change in nominal exchange rate, local currency/USD (%)</w:t>
            </w:r>
          </w:p>
        </w:tc>
        <w:tc>
          <w:tcPr>
            <w:tcW w:w="0" w:type="auto"/>
          </w:tcPr>
          <w:p w14:paraId="33598903" w14:textId="77777777" w:rsidR="004515F3" w:rsidRDefault="003607A6" w:rsidP="00087194">
            <w:pPr>
              <w:pStyle w:val="Compact"/>
              <w:jc w:val="both"/>
            </w:pPr>
            <w:r>
              <w:t>IMF International Financial Statistics</w:t>
            </w:r>
          </w:p>
        </w:tc>
      </w:tr>
      <w:tr w:rsidR="004515F3" w14:paraId="00032C6B" w14:textId="77777777">
        <w:tc>
          <w:tcPr>
            <w:tcW w:w="0" w:type="auto"/>
          </w:tcPr>
          <w:p w14:paraId="06777A69" w14:textId="77777777" w:rsidR="004515F3" w:rsidRDefault="003607A6" w:rsidP="00087194">
            <w:pPr>
              <w:pStyle w:val="Compact"/>
              <w:jc w:val="both"/>
            </w:pPr>
            <m:oMathPara>
              <m:oMath>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oMath>
            </m:oMathPara>
          </w:p>
        </w:tc>
        <w:tc>
          <w:tcPr>
            <w:tcW w:w="0" w:type="auto"/>
          </w:tcPr>
          <w:p w14:paraId="309FBE66" w14:textId="77777777" w:rsidR="004515F3" w:rsidRDefault="003607A6" w:rsidP="00087194">
            <w:pPr>
              <w:pStyle w:val="Compact"/>
              <w:jc w:val="both"/>
            </w:pPr>
            <w:r>
              <w:t>Real GDP growth (%)</w:t>
            </w:r>
          </w:p>
        </w:tc>
        <w:tc>
          <w:tcPr>
            <w:tcW w:w="0" w:type="auto"/>
          </w:tcPr>
          <w:p w14:paraId="7B5827FE" w14:textId="77777777" w:rsidR="004515F3" w:rsidRDefault="003607A6" w:rsidP="00087194">
            <w:pPr>
              <w:pStyle w:val="Compact"/>
              <w:jc w:val="both"/>
            </w:pPr>
            <w:r>
              <w:t>World Bank WDI / IMF WEO</w:t>
            </w:r>
          </w:p>
        </w:tc>
      </w:tr>
      <w:tr w:rsidR="004515F3" w14:paraId="6087D2A3" w14:textId="77777777">
        <w:tc>
          <w:tcPr>
            <w:tcW w:w="0" w:type="auto"/>
          </w:tcPr>
          <w:p w14:paraId="14CBC324" w14:textId="77777777" w:rsidR="004515F3" w:rsidRDefault="003607A6" w:rsidP="00087194">
            <w:pPr>
              <w:pStyle w:val="Compact"/>
              <w:jc w:val="both"/>
            </w:pPr>
            <m:oMathPara>
              <m:oMath>
                <m:r>
                  <w:rPr>
                    <w:rFonts w:ascii="Cambria Math" w:hAnsi="Cambria Math"/>
                  </w:rPr>
                  <m:t>m</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oMath>
            </m:oMathPara>
          </w:p>
        </w:tc>
        <w:tc>
          <w:tcPr>
            <w:tcW w:w="0" w:type="auto"/>
          </w:tcPr>
          <w:p w14:paraId="6809ED61" w14:textId="77777777" w:rsidR="004515F3" w:rsidRDefault="003607A6" w:rsidP="00087194">
            <w:pPr>
              <w:pStyle w:val="Compact"/>
              <w:jc w:val="both"/>
            </w:pPr>
            <w:r>
              <w:t>Money supply (M2) growth (%)</w:t>
            </w:r>
          </w:p>
        </w:tc>
        <w:tc>
          <w:tcPr>
            <w:tcW w:w="0" w:type="auto"/>
          </w:tcPr>
          <w:p w14:paraId="5FE49DD5" w14:textId="77777777" w:rsidR="004515F3" w:rsidRDefault="003607A6" w:rsidP="00087194">
            <w:pPr>
              <w:pStyle w:val="Compact"/>
              <w:jc w:val="both"/>
            </w:pPr>
            <w:r>
              <w:t>IMF International Financial Statistics</w:t>
            </w:r>
          </w:p>
        </w:tc>
      </w:tr>
    </w:tbl>
    <w:p w14:paraId="55A8A462" w14:textId="77777777" w:rsidR="004515F3" w:rsidRDefault="003607A6" w:rsidP="00087194">
      <w:pPr>
        <w:pStyle w:val="Heading3"/>
        <w:jc w:val="both"/>
      </w:pPr>
      <w:r>
        <w:t>Pre-Estimation Diagnostics</w:t>
      </w:r>
    </w:p>
    <w:p w14:paraId="41B73664" w14:textId="77777777" w:rsidR="004515F3" w:rsidRDefault="003607A6" w:rsidP="00087194">
      <w:pPr>
        <w:pStyle w:val="FirstParagraph"/>
        <w:jc w:val="both"/>
      </w:pPr>
      <w:r>
        <w:t>Before estimation, each variable is tested for stationarity using the Im, Pesaran, and Shin (2003) panel unit root test, which allows the autoregressive coefficient to vary across countries and is therefore appropriate given the heterogeneity documented across the panel (Kelikume 2018; Phiri 2016). Where a series is non-stationary in levels, first differences are used and long-run relationships are assessed with the Westerlund (2007) panel cointegration test.</w:t>
      </w:r>
    </w:p>
    <w:p w14:paraId="2CAE7EA9" w14:textId="77777777" w:rsidR="004515F3" w:rsidRDefault="003607A6" w:rsidP="00087194">
      <w:pPr>
        <w:pStyle w:val="BodyText"/>
        <w:jc w:val="both"/>
      </w:pPr>
      <w:r>
        <w:t>Cross-sectional dependence is tested using the Pesaran (2004) CD test, applied to the residuals of the estimated Panel VAR rather than to each variable’s raw univariate autoregression, so that the test reflects dependence remaining after the model’s own dynamics have been accounted for.</w:t>
      </w:r>
    </w:p>
    <w:p w14:paraId="3D3DD530" w14:textId="77777777" w:rsidR="004515F3" w:rsidRDefault="003607A6" w:rsidP="00087194">
      <w:pPr>
        <w:pStyle w:val="Heading3"/>
        <w:jc w:val="both"/>
      </w:pPr>
      <w:r>
        <w:t>Granger Causality</w:t>
      </w:r>
    </w:p>
    <w:p w14:paraId="08286A55" w14:textId="77777777" w:rsidR="004515F3" w:rsidRDefault="003607A6" w:rsidP="00087194">
      <w:pPr>
        <w:pStyle w:val="FirstParagraph"/>
        <w:jc w:val="both"/>
      </w:pPr>
      <w:r>
        <w:t xml:space="preserve">To test whether AIRI statistically precedes inflation, a Granger causality test is carried out. The null hypothesis of non-causality from </w:t>
      </w:r>
      <m:oMath>
        <m:r>
          <m:rPr>
            <m:nor/>
          </m:rPr>
          <m:t>AIRI</m:t>
        </m:r>
        <m:r>
          <w:rPr>
            <w:rFonts w:ascii="Cambria Math" w:hAnsi="Cambria Math"/>
          </w:rPr>
          <m:t>π</m:t>
        </m:r>
      </m:oMath>
      <w:r>
        <w:t xml:space="preserve"> to </w:t>
      </w:r>
      <m:oMath>
        <m:r>
          <w:rPr>
            <w:rFonts w:ascii="Cambria Math" w:hAnsi="Cambria Math"/>
          </w:rPr>
          <m:t>π</m:t>
        </m:r>
      </m:oMath>
      <w:r>
        <w:t xml:space="preserve"> is:</w:t>
      </w:r>
    </w:p>
    <w:p w14:paraId="1183F4D5" w14:textId="77777777" w:rsidR="004515F3" w:rsidRDefault="00230CBE" w:rsidP="00087194">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d>
            <m:dPr>
              <m:begChr m:val="["/>
              <m:endChr m:val="]"/>
              <m:ctrlPr>
                <w:rPr>
                  <w:rFonts w:ascii="Cambria Math" w:hAnsi="Cambria Math"/>
                </w:rPr>
              </m:ctrlPr>
            </m:dPr>
            <m:e>
              <m:r>
                <m:rPr>
                  <m:nor/>
                </m:rPr>
                <m:t>AIRI</m:t>
              </m:r>
              <m:r>
                <w:rPr>
                  <w:rFonts w:ascii="Cambria Math" w:hAnsi="Cambria Math"/>
                </w:rPr>
                <m:t>π</m:t>
              </m:r>
              <m:r>
                <m:rPr>
                  <m:sty m:val="p"/>
                </m:rPr>
                <w:rPr>
                  <w:rFonts w:ascii="Cambria Math" w:hAnsi="Cambria Math"/>
                </w:rPr>
                <m:t>→</m:t>
              </m:r>
              <m:r>
                <w:rPr>
                  <w:rFonts w:ascii="Cambria Math" w:hAnsi="Cambria Math"/>
                </w:rPr>
                <m:t>π</m:t>
              </m:r>
            </m:e>
          </m:d>
          <m:r>
            <m:rPr>
              <m:sty m:val="p"/>
            </m:rPr>
            <w:rPr>
              <w:rFonts w:ascii="Cambria Math" w:hAnsi="Cambria Math"/>
            </w:rPr>
            <m:t>=</m:t>
          </m:r>
          <m:r>
            <w:rPr>
              <w:rFonts w:ascii="Cambria Math" w:hAnsi="Cambria Math"/>
            </w:rPr>
            <m:t>0 </m:t>
          </m:r>
          <m:r>
            <m:rPr>
              <m:nor/>
            </m:rPr>
            <m:t xml:space="preserve">for all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m:oMathPara>
    </w:p>
    <w:p w14:paraId="0E543A77" w14:textId="77777777" w:rsidR="004515F3" w:rsidRDefault="003607A6" w:rsidP="00087194">
      <w:pPr>
        <w:pStyle w:val="FirstParagraph"/>
        <w:jc w:val="both"/>
      </w:pPr>
      <w:r>
        <w:t>Given the cross-country heterogeneity already established, the Dumitrescu and Hurlin (2012) test is used rather than a pooled panel Granger test, since a pooled test would impose a common causal coefficient across all 46 countries and understate the relationship in countries where it is in fact strong. The test computes a country-specific Wald statistic  for each country and averages them:</w:t>
      </w:r>
      <m:oMath>
        <m:sSup>
          <m:sSupPr>
            <m:ctrlPr>
              <w:rPr>
                <w:rFonts w:ascii="Cambria Math" w:hAnsi="Cambria Math"/>
              </w:rPr>
            </m:ctrlPr>
          </m:sSupPr>
          <m:e>
            <m:r>
              <w:rPr>
                <w:rFonts w:ascii="Cambria Math" w:hAnsi="Cambria Math"/>
              </w:rPr>
              <m:t>W</m:t>
            </m:r>
          </m:e>
          <m:sup>
            <m:r>
              <w:rPr>
                <w:rFonts w:ascii="Cambria Math" w:hAnsi="Cambria Math"/>
              </w:rPr>
              <m:t>c</m:t>
            </m:r>
          </m:sup>
        </m:sSup>
      </m:oMath>
    </w:p>
    <w:p w14:paraId="5053ABB7" w14:textId="77777777" w:rsidR="004515F3" w:rsidRDefault="00230CBE" w:rsidP="00087194">
      <w:pPr>
        <w:pStyle w:val="BodyText"/>
        <w:jc w:val="both"/>
      </w:pPr>
      <m:oMathPara>
        <m:oMathParaPr>
          <m:jc m:val="center"/>
        </m:oMathParaPr>
        <m:oMath>
          <m:acc>
            <m:accPr>
              <m:chr m:val="‾"/>
              <m:ctrlPr>
                <w:rPr>
                  <w:rFonts w:ascii="Cambria Math" w:hAnsi="Cambria Math"/>
                </w:rPr>
              </m:ctrlPr>
            </m:accPr>
            <m:e>
              <m:r>
                <w:rPr>
                  <w:rFonts w:ascii="Cambria Math" w:hAnsi="Cambria Math"/>
                </w:rPr>
                <m:t>W</m:t>
              </m:r>
            </m:e>
          </m:acc>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p>
                <m:sSupPr>
                  <m:ctrlPr>
                    <w:rPr>
                      <w:rFonts w:ascii="Cambria Math" w:hAnsi="Cambria Math"/>
                    </w:rPr>
                  </m:ctrlPr>
                </m:sSupPr>
                <m:e>
                  <m:r>
                    <w:rPr>
                      <w:rFonts w:ascii="Cambria Math" w:hAnsi="Cambria Math"/>
                    </w:rPr>
                    <m:t>W</m:t>
                  </m:r>
                </m:e>
                <m:sup>
                  <m:r>
                    <w:rPr>
                      <w:rFonts w:ascii="Cambria Math" w:hAnsi="Cambria Math"/>
                    </w:rPr>
                    <m:t>c</m:t>
                  </m:r>
                </m:sup>
              </m:sSup>
            </m:e>
          </m:nary>
        </m:oMath>
      </m:oMathPara>
    </w:p>
    <w:p w14:paraId="34EF6612" w14:textId="77777777" w:rsidR="004515F3" w:rsidRDefault="003607A6" w:rsidP="00087194">
      <w:pPr>
        <w:pStyle w:val="FirstParagraph"/>
        <w:jc w:val="both"/>
      </w:pPr>
      <w:r>
        <w:t xml:space="preserve">Its standardised form is asymptotically standard normal under the null of homogeneous non-causality as </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oMath>
      <w:r>
        <w:t>. Rejecting the null establishes that AIRI carries predictive information for inflation beyond inflation’s own history—the paper’s central empirical claim, and one that does not depend on any of the identifying assumptions in Section 3.2.4.</w:t>
      </w:r>
    </w:p>
    <w:p w14:paraId="5F2B8B2B" w14:textId="77777777" w:rsidR="004515F3" w:rsidRDefault="003607A6" w:rsidP="00087194">
      <w:pPr>
        <w:pStyle w:val="Heading3"/>
        <w:jc w:val="both"/>
      </w:pPr>
      <w:r>
        <w:lastRenderedPageBreak/>
        <w:t>Impulse Response Function (IRF) Analysis</w:t>
      </w:r>
    </w:p>
    <w:p w14:paraId="2486C72A" w14:textId="77777777" w:rsidR="004515F3" w:rsidRDefault="003607A6" w:rsidP="00087194">
      <w:pPr>
        <w:pStyle w:val="FirstParagraph"/>
        <w:jc w:val="both"/>
      </w:pPr>
      <w:r>
        <w:t>Granger causality establishes whether AIRI predicts inflation, but not the size or duration of that relationship. Impulse Response Functions are used to trace the path of inflation following a one-time shock to AIRI (Canova and Ciccarelli 2013).</w:t>
      </w:r>
    </w:p>
    <w:p w14:paraId="6193683A" w14:textId="77777777" w:rsidR="004515F3" w:rsidRDefault="003607A6" w:rsidP="00087194">
      <w:pPr>
        <w:pStyle w:val="BodyText"/>
        <w:jc w:val="both"/>
      </w:pPr>
      <w:r>
        <w:t xml:space="preserve">Because the reduced-form residuals </w:t>
      </w: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t</m:t>
            </m:r>
          </m:sub>
        </m:sSub>
      </m:oMath>
      <w:r>
        <w:t xml:space="preserve"> are correlated across the five equations, a shock cannot be isolated to one variable without first imposing a causal ordering. A Cholesky decomposition of the error covariance matrix </w:t>
      </w:r>
      <m:oMath>
        <m:r>
          <w:rPr>
            <w:rFonts w:ascii="Cambria Math" w:hAnsi="Cambria Math"/>
          </w:rPr>
          <m:t>Σ</m:t>
        </m:r>
      </m:oMath>
      <w:r>
        <w:t xml:space="preserve"> is used for this purpose (Love and Zicchino 2006), under the ordering:</w:t>
      </w:r>
    </w:p>
    <w:p w14:paraId="6F126E55" w14:textId="77777777" w:rsidR="004515F3" w:rsidRDefault="00230CBE" w:rsidP="00087194">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nor/>
                    </m:rPr>
                    <m:t>AIRI</m:t>
                  </m:r>
                  <m:sSub>
                    <m:sSubPr>
                      <m:ctrlPr>
                        <w:rPr>
                          <w:rFonts w:ascii="Cambria Math" w:hAnsi="Cambria Math"/>
                        </w:rPr>
                      </m:ctrlPr>
                    </m:sSub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oMath>
      </m:oMathPara>
    </w:p>
    <w:p w14:paraId="311F96FC" w14:textId="77777777" w:rsidR="004515F3" w:rsidRDefault="003607A6" w:rsidP="00087194">
      <w:pPr>
        <w:pStyle w:val="FirstParagraph"/>
        <w:jc w:val="both"/>
      </w:pPr>
      <w:r>
        <w:t>This ordering reflects the speed with which each variable can plausibly respond within a given month: news-based sentiment (</w:t>
      </w:r>
      <m:oMath>
        <m:r>
          <m:rPr>
            <m:nor/>
          </m:rPr>
          <m:t>AIRI</m:t>
        </m:r>
        <m:r>
          <w:rPr>
            <w:rFonts w:ascii="Cambria Math" w:hAnsi="Cambria Math"/>
          </w:rPr>
          <m:t>π</m:t>
        </m:r>
      </m:oMath>
      <w:r>
        <w:t>) adjusts fastest and is unconstrained by administrative reporting; the exchange rate reprices within the day; money supply can adjust within the reporting month; headline inflation is released reasonably quickly (monthly CPI); and GDP growth is compiled last, with the longest lag and most revisions of the five. GDP growth is therefore allowed to respond contemporaneously to all four other variables, but a shock to GDP growth only feeds back into them with at least a one-month delay.</w:t>
      </w:r>
    </w:p>
    <w:p w14:paraId="23F00ECD" w14:textId="77777777" w:rsidR="004515F3" w:rsidRDefault="003607A6" w:rsidP="00087194">
      <w:pPr>
        <w:pStyle w:val="BodyText"/>
        <w:jc w:val="both"/>
      </w:pPr>
      <w:r>
        <w:t>To ensure that the result is not an artefact of the ordering, we reverse the order to test for robustness:</w:t>
      </w:r>
    </w:p>
    <w:p w14:paraId="4B748C5D" w14:textId="77777777" w:rsidR="004515F3" w:rsidRDefault="00230CBE" w:rsidP="00087194">
      <w:pPr>
        <w:pStyle w:val="BodyText"/>
        <w:jc w:val="bot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up>
              <m:r>
                <w:rPr>
                  <w:rFonts w:ascii="Cambria Math" w:hAnsi="Cambria Math"/>
                </w:rPr>
                <m:t>alt</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m:rPr>
                      <m:nor/>
                    </m:rPr>
                    <m:t>AIRI</m:t>
                  </m:r>
                  <m:sSub>
                    <m:sSubPr>
                      <m:ctrlPr>
                        <w:rPr>
                          <w:rFonts w:ascii="Cambria Math" w:hAnsi="Cambria Math"/>
                        </w:rPr>
                      </m:ctrlPr>
                    </m:sSub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oMath>
      </m:oMathPara>
    </w:p>
    <w:p w14:paraId="5139A6F9" w14:textId="77777777" w:rsidR="004515F3" w:rsidRDefault="003607A6" w:rsidP="00087194">
      <w:pPr>
        <w:pStyle w:val="FirstParagraph"/>
        <w:jc w:val="both"/>
      </w:pPr>
      <w:r>
        <w:t xml:space="preserve">Structural IRFs are traced over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months, with 95% confidence bands constructed using panel-style block bootstrapping with 1,000 replications (Abrigo and Love 2016), which resamples whole country time series to preserve cross-sectional and temporal dependence.</w:t>
      </w:r>
    </w:p>
    <w:p w14:paraId="2BC77A78" w14:textId="77777777" w:rsidR="004515F3" w:rsidRDefault="003607A6" w:rsidP="00087194">
      <w:pPr>
        <w:pStyle w:val="Heading2"/>
        <w:jc w:val="both"/>
      </w:pPr>
      <w:r>
        <w:t>Forecast Evaluation</w:t>
      </w:r>
    </w:p>
    <w:p w14:paraId="1EB22988" w14:textId="77777777" w:rsidR="004515F3" w:rsidRDefault="003607A6" w:rsidP="00087194">
      <w:pPr>
        <w:pStyle w:val="FirstParagraph"/>
        <w:jc w:val="both"/>
      </w:pPr>
      <w:r>
        <w:t>This section seeks to establish the forecasting value of the AIRI inflation pillar. This is achieved through an out-of-sample forecast evaluation to test whether including the AIRI inflation pillar in a benchmark model improves forecast accuracy relative to benchmark models.</w:t>
      </w:r>
    </w:p>
    <w:p w14:paraId="33F01B60" w14:textId="77777777" w:rsidR="004515F3" w:rsidRDefault="003607A6" w:rsidP="00087194">
      <w:pPr>
        <w:pStyle w:val="BodyText"/>
        <w:jc w:val="both"/>
      </w:pPr>
      <w:r>
        <w:t>The forecast evaluation is structured around a nested model comparison. Three panel regression models are specified, each adding one additional layer of information. This enables us to trace any improvement in forecast accuracy to the specific change implemented in the new model, moving from the AR benchmark to a model that includes the AIRI inflation pillar.</w:t>
      </w:r>
    </w:p>
    <w:p w14:paraId="1D570AF8" w14:textId="77777777" w:rsidR="004515F3" w:rsidRDefault="003607A6" w:rsidP="00087194">
      <w:pPr>
        <w:pStyle w:val="BodyText"/>
        <w:jc w:val="both"/>
      </w:pPr>
      <w:r>
        <w:t xml:space="preserve">The AR benchmark follows the proposition of Stock and Watson (1999) and Atkeson and Ohanian (2001) that the naïve method of forecasting inflation from its own past values is </w:t>
      </w:r>
      <w:r>
        <w:lastRenderedPageBreak/>
        <w:t>difficult to outperform, and should serve as the standard that any meaningful model must supersede. The model is specified as:</w:t>
      </w:r>
    </w:p>
    <w:p w14:paraId="2F4C7E72" w14:textId="77777777" w:rsidR="004515F3" w:rsidRDefault="00230CBE" w:rsidP="00087194">
      <w:pPr>
        <w:pStyle w:val="BodyText"/>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γ</m:t>
                  </m:r>
                </m:e>
                <m:sub>
                  <m:r>
                    <w:rPr>
                      <w:rFonts w:ascii="Cambria Math" w:hAnsi="Cambria Math"/>
                    </w:rPr>
                    <m:t>i</m:t>
                  </m:r>
                </m:sub>
              </m:sSub>
            </m:e>
          </m:nary>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m:oMathPara>
    </w:p>
    <w:p w14:paraId="249BB7A7" w14:textId="77777777" w:rsidR="004515F3" w:rsidRDefault="003607A6" w:rsidP="00087194">
      <w:pPr>
        <w:pStyle w:val="FirstParagraph"/>
        <w:jc w:val="both"/>
      </w:pPr>
      <w:r>
        <w:t xml:space="preserve">where </w:t>
      </w:r>
      <m:oMath>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w:r>
        <w:t xml:space="preserve"> is inflation in country </w:t>
      </w:r>
      <m:oMath>
        <m:r>
          <w:rPr>
            <w:rFonts w:ascii="Cambria Math" w:hAnsi="Cambria Math"/>
          </w:rPr>
          <m:t>c</m:t>
        </m:r>
      </m:oMath>
      <w:r>
        <w:t xml:space="preserve"> at horizon </w:t>
      </w:r>
      <m:oMath>
        <m:r>
          <w:rPr>
            <w:rFonts w:ascii="Cambria Math" w:hAnsi="Cambria Math"/>
          </w:rPr>
          <m:t>h</m:t>
        </m:r>
      </m:oMath>
      <w:r>
        <w:t xml:space="preserve"> months ahead, </w:t>
      </w:r>
      <m:oMath>
        <m:sSub>
          <m:sSubPr>
            <m:ctrlPr>
              <w:rPr>
                <w:rFonts w:ascii="Cambria Math" w:hAnsi="Cambria Math"/>
              </w:rPr>
            </m:ctrlPr>
          </m:sSubPr>
          <m:e>
            <m:r>
              <w:rPr>
                <w:rFonts w:ascii="Cambria Math" w:hAnsi="Cambria Math"/>
              </w:rPr>
              <m:t>α</m:t>
            </m:r>
          </m:e>
          <m:sub>
            <m:r>
              <w:rPr>
                <w:rFonts w:ascii="Cambria Math" w:hAnsi="Cambria Math"/>
              </w:rPr>
              <m:t>c</m:t>
            </m:r>
          </m:sub>
        </m:sSub>
      </m:oMath>
      <w:r>
        <w:t xml:space="preserve"> denotes country fixed effects,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denotes time fixed effects, </w:t>
      </w:r>
      <m:oMath>
        <m:r>
          <w:rPr>
            <w:rFonts w:ascii="Cambria Math" w:hAnsi="Cambria Math"/>
          </w:rPr>
          <m:t>p</m:t>
        </m:r>
      </m:oMath>
      <w:r>
        <w:t xml:space="preserve"> is the optimal lag length selected by the Bayesian Information Criterion, and </w:t>
      </w:r>
      <m:oMath>
        <m:sSub>
          <m:sSubPr>
            <m:ctrlPr>
              <w:rPr>
                <w:rFonts w:ascii="Cambria Math" w:hAnsi="Cambria Math"/>
              </w:rPr>
            </m:ctrlPr>
          </m:sSubPr>
          <m:e>
            <m:r>
              <w:rPr>
                <w:rFonts w:ascii="Cambria Math" w:hAnsi="Cambria Math"/>
              </w:rPr>
              <m:t>ε</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w:r>
        <w:t xml:space="preserve"> is the error term.</w:t>
      </w:r>
    </w:p>
    <w:p w14:paraId="04E14C27" w14:textId="77777777" w:rsidR="004515F3" w:rsidRDefault="003607A6" w:rsidP="00087194">
      <w:pPr>
        <w:pStyle w:val="BodyText"/>
        <w:jc w:val="both"/>
      </w:pPr>
      <w:r>
        <w:t>The macro benchmark extends Model 0 by incorporating a standard set of macroeconomic control variables—the nominal exchange rate, money supply, and GDP growth—known to influence inflation dynamics in African economies (A. D. M. Nguyen et al. 2017; Alper, Hobdari, and Uppal 2016):</w:t>
      </w:r>
    </w:p>
    <w:p w14:paraId="52331669" w14:textId="77777777" w:rsidR="004515F3" w:rsidRDefault="00230CBE" w:rsidP="00087194">
      <w:pPr>
        <w:pStyle w:val="BodyText"/>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γ</m:t>
                  </m:r>
                </m:e>
                <m:sub>
                  <m:r>
                    <w:rPr>
                      <w:rFonts w:ascii="Cambria Math" w:hAnsi="Cambria Math"/>
                    </w:rPr>
                    <m:t>i</m:t>
                  </m:r>
                </m:sub>
              </m:sSub>
            </m:e>
          </m:nary>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δ</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m:oMathPara>
    </w:p>
    <w:p w14:paraId="0CEF945D" w14:textId="77777777" w:rsidR="004515F3" w:rsidRDefault="003607A6" w:rsidP="00087194">
      <w:pPr>
        <w:pStyle w:val="FirstParagraph"/>
        <w:jc w:val="bot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oMath>
      <w:r>
        <w:t xml:space="preserve"> denotes the </w:t>
      </w:r>
      <m:oMath>
        <m:r>
          <w:rPr>
            <w:rFonts w:ascii="Cambria Math" w:hAnsi="Cambria Math"/>
          </w:rPr>
          <m:t>j</m:t>
        </m:r>
      </m:oMath>
      <w:r>
        <w:t xml:space="preserve">-th macroeconomic control variable observed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is its coefficient.</w:t>
      </w:r>
    </w:p>
    <w:p w14:paraId="5E1B5B92" w14:textId="77777777" w:rsidR="004515F3" w:rsidRDefault="003607A6" w:rsidP="00087194">
      <w:pPr>
        <w:pStyle w:val="BodyText"/>
        <w:jc w:val="both"/>
      </w:pPr>
      <w:r>
        <w:t>The AIRI model further augments Model 1 with the AIRI inflation pillar:</w:t>
      </w:r>
    </w:p>
    <w:p w14:paraId="5A94DB2F" w14:textId="77777777" w:rsidR="004515F3" w:rsidRDefault="00230CBE" w:rsidP="00087194">
      <w:pPr>
        <w:pStyle w:val="BodyText"/>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γ</m:t>
                  </m:r>
                </m:e>
                <m:sub>
                  <m:r>
                    <w:rPr>
                      <w:rFonts w:ascii="Cambria Math" w:hAnsi="Cambria Math"/>
                    </w:rPr>
                    <m:t>i</m:t>
                  </m:r>
                </m:sub>
              </m:sSub>
            </m:e>
          </m:nary>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δ</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nor/>
                </m:rPr>
                <m:t>AIRI</m:t>
              </m:r>
            </m:e>
            <m:sub>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m:oMathPara>
    </w:p>
    <w:p w14:paraId="1BA9908A" w14:textId="77777777" w:rsidR="004515F3" w:rsidRDefault="003607A6" w:rsidP="00087194">
      <w:pPr>
        <w:pStyle w:val="FirstParagraph"/>
        <w:jc w:val="both"/>
      </w:pPr>
      <w:r>
        <w:t xml:space="preserve">where </w:t>
      </w:r>
      <m:oMath>
        <m:sSub>
          <m:sSubPr>
            <m:ctrlPr>
              <w:rPr>
                <w:rFonts w:ascii="Cambria Math" w:hAnsi="Cambria Math"/>
              </w:rPr>
            </m:ctrlPr>
          </m:sSubPr>
          <m:e>
            <m:r>
              <m:rPr>
                <m:nor/>
              </m:rPr>
              <m:t>AIRI</m:t>
            </m:r>
          </m:e>
          <m:sub>
            <m:r>
              <w:rPr>
                <w:rFonts w:ascii="Cambria Math" w:hAnsi="Cambria Math"/>
              </w:rPr>
              <m:t>c</m:t>
            </m:r>
            <m:r>
              <m:rPr>
                <m:sty m:val="p"/>
              </m:rPr>
              <w:rPr>
                <w:rFonts w:ascii="Cambria Math" w:hAnsi="Cambria Math"/>
              </w:rPr>
              <m:t>,</m:t>
            </m:r>
            <m:r>
              <w:rPr>
                <w:rFonts w:ascii="Cambria Math" w:hAnsi="Cambria Math"/>
              </w:rPr>
              <m:t>t</m:t>
            </m:r>
          </m:sub>
        </m:sSub>
      </m:oMath>
      <w:r>
        <w:t xml:space="preserve"> is the AIRI inflation pillar observed at time </w:t>
      </w:r>
      <m:oMath>
        <m:r>
          <w:rPr>
            <w:rFonts w:ascii="Cambria Math" w:hAnsi="Cambria Math"/>
          </w:rPr>
          <m:t>t</m:t>
        </m:r>
      </m:oMath>
      <w:r>
        <w:t xml:space="preserve"> and </w:t>
      </w:r>
      <m:oMath>
        <m:r>
          <w:rPr>
            <w:rFonts w:ascii="Cambria Math" w:hAnsi="Cambria Math"/>
          </w:rPr>
          <m:t>β</m:t>
        </m:r>
      </m:oMath>
      <w:r>
        <w:t xml:space="preserve"> is the key coefficient capturing the incremental predictive contribution of AIRI for future inflation after conditioning on inflation persistence and the standard macroeconomic information set. A positive and statistically significant </w:t>
      </w:r>
      <m:oMath>
        <m:r>
          <w:rPr>
            <w:rFonts w:ascii="Cambria Math" w:hAnsi="Cambria Math"/>
          </w:rPr>
          <m:t>β</m:t>
        </m:r>
      </m:oMath>
      <w:r>
        <w:t xml:space="preserve"> indicates that the AIRI inflation pillar contains genuine predictive information beyond what conventional macroeconomic variables already provide.</w:t>
      </w:r>
    </w:p>
    <w:p w14:paraId="531AB847" w14:textId="77777777" w:rsidR="004515F3" w:rsidRDefault="003607A6" w:rsidP="00087194">
      <w:pPr>
        <w:pStyle w:val="BodyText"/>
        <w:jc w:val="both"/>
      </w:pPr>
      <w:r>
        <w:t xml:space="preserve">All three models are estimated separately at forecast horizons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months using a recursive expanding window, in which the estimation sample expands forward through time at each forecast origin—a design that mirrors the information set available to a real-time forecaster (Stock and Watson 1999).</w:t>
      </w:r>
    </w:p>
    <w:p w14:paraId="431C53D5" w14:textId="77777777" w:rsidR="004515F3" w:rsidRDefault="003607A6" w:rsidP="00087194">
      <w:pPr>
        <w:pStyle w:val="BodyText"/>
        <w:jc w:val="both"/>
      </w:pPr>
      <w:r>
        <w:t>Forecast accuracy is evaluated using the Root Mean Squared Error (RMSE</w:t>
      </w:r>
      <w:r w:rsidR="006A4657">
        <w:t>).</w:t>
      </w:r>
    </w:p>
    <w:p w14:paraId="30C8FCA1" w14:textId="77777777" w:rsidR="004515F3" w:rsidRDefault="00230CBE" w:rsidP="00087194">
      <w:pPr>
        <w:pStyle w:val="BodyText"/>
        <w:jc w:val="both"/>
      </w:pPr>
      <m:oMathPara>
        <m:oMathParaPr>
          <m:jc m:val="center"/>
        </m:oMathParaPr>
        <m:oMath>
          <m:sSub>
            <m:sSubPr>
              <m:ctrlPr>
                <w:rPr>
                  <w:rFonts w:ascii="Cambria Math" w:hAnsi="Cambria Math"/>
                </w:rPr>
              </m:ctrlPr>
            </m:sSubPr>
            <m:e>
              <m:r>
                <m:rPr>
                  <m:nor/>
                </m:rPr>
                <m:t>RMSE</m:t>
              </m:r>
            </m:e>
            <m:sub>
              <m:r>
                <w:rPr>
                  <w:rFonts w:ascii="Cambria Math" w:hAnsi="Cambria Math"/>
                </w:rPr>
                <m:t>m</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test</m:t>
                      </m:r>
                    </m:sub>
                  </m:sSub>
                </m:den>
              </m:f>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test</m:t>
                      </m:r>
                    </m:sub>
                  </m:sSub>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π</m:t>
                                  </m:r>
                                </m:e>
                              </m:acc>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m</m:t>
                              </m:r>
                            </m:sup>
                          </m:sSubSup>
                        </m:e>
                      </m:d>
                    </m:e>
                    <m:sup>
                      <m:r>
                        <w:rPr>
                          <w:rFonts w:ascii="Cambria Math" w:hAnsi="Cambria Math"/>
                        </w:rPr>
                        <m:t>2</m:t>
                      </m:r>
                    </m:sup>
                  </m:sSup>
                </m:e>
              </m:nary>
            </m:e>
          </m:rad>
        </m:oMath>
      </m:oMathPara>
    </w:p>
    <w:p w14:paraId="299075B2" w14:textId="77777777" w:rsidR="004515F3" w:rsidRDefault="004515F3" w:rsidP="00087194">
      <w:pPr>
        <w:pStyle w:val="FirstParagraph"/>
        <w:jc w:val="both"/>
      </w:pPr>
    </w:p>
    <w:p w14:paraId="25FFF2E6" w14:textId="77777777" w:rsidR="004515F3" w:rsidRDefault="006A4657" w:rsidP="00087194">
      <w:pPr>
        <w:pStyle w:val="BodyText"/>
        <w:jc w:val="both"/>
      </w:pPr>
      <w:r>
        <w:lastRenderedPageBreak/>
        <w:t xml:space="preserve">Also, the </w:t>
      </w:r>
      <w:r w:rsidR="003607A6">
        <w:t>Clark–West MSFE-adjusted statistic</w:t>
      </w:r>
      <w:r>
        <w:t xml:space="preserve"> was employed</w:t>
      </w:r>
      <w:r w:rsidR="003607A6">
        <w:t>. This approach accounts for the sampling noise generated by the nested model. Because Model 2 nests Model 1, the standard Diebold–Mariano test is biased against detecting genuine forecast improvements in nested comparisons (Clark and West 2007). The Clark–West MSFE-adjusted statistic is therefore used as the primary test:</w:t>
      </w:r>
    </w:p>
    <w:p w14:paraId="67163519" w14:textId="77777777" w:rsidR="004515F3" w:rsidRDefault="00230CBE" w:rsidP="00087194">
      <w:pPr>
        <w:pStyle w:val="BodyText"/>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π</m:t>
                          </m:r>
                        </m:e>
                      </m:acc>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1</m:t>
                      </m:r>
                    </m:sup>
                  </m:sSubSup>
                </m:e>
              </m:d>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π</m:t>
                              </m:r>
                            </m:e>
                          </m:acc>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2</m:t>
                          </m:r>
                        </m:sup>
                      </m:sSubSup>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π</m:t>
                              </m:r>
                            </m:e>
                          </m:acc>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π</m:t>
                              </m:r>
                            </m:e>
                          </m:acc>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2</m:t>
                          </m:r>
                        </m:sup>
                      </m:sSubSup>
                    </m:e>
                  </m:d>
                </m:e>
                <m:sup>
                  <m:r>
                    <w:rPr>
                      <w:rFonts w:ascii="Cambria Math" w:hAnsi="Cambria Math"/>
                    </w:rPr>
                    <m:t>2</m:t>
                  </m:r>
                </m:sup>
              </m:sSup>
            </m:e>
          </m:d>
        </m:oMath>
      </m:oMathPara>
    </w:p>
    <w:p w14:paraId="59FFEE3A" w14:textId="77777777" w:rsidR="004515F3" w:rsidRDefault="003607A6" w:rsidP="00087194">
      <w:pPr>
        <w:pStyle w:val="FirstParagraph"/>
        <w:jc w:val="both"/>
      </w:pPr>
      <m:oMathPara>
        <m:oMathParaPr>
          <m:jc m:val="center"/>
        </m:oMathParaPr>
        <m:oMath>
          <m:r>
            <w:rPr>
              <w:rFonts w:ascii="Cambria Math" w:hAnsi="Cambria Math"/>
            </w:rPr>
            <m:t>CW</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T</m:t>
                      </m:r>
                    </m:e>
                    <m:sub>
                      <m:r>
                        <w:rPr>
                          <w:rFonts w:ascii="Cambria Math" w:hAnsi="Cambria Math"/>
                        </w:rPr>
                        <m:t>test</m:t>
                      </m:r>
                    </m:sub>
                  </m:sSub>
                </m:e>
              </m:rad>
            </m:den>
          </m:f>
        </m:oMath>
      </m:oMathPara>
    </w:p>
    <w:p w14:paraId="4A63015C" w14:textId="77777777" w:rsidR="004515F3" w:rsidRDefault="003607A6" w:rsidP="00087194">
      <w:pPr>
        <w:pStyle w:val="FirstParagraph"/>
        <w:jc w:val="both"/>
      </w:pPr>
      <w:r>
        <w:t xml:space="preserve">The null is rejected if </w:t>
      </w:r>
      <m:oMath>
        <m:r>
          <w:rPr>
            <w:rFonts w:ascii="Cambria Math" w:hAnsi="Cambria Math"/>
          </w:rPr>
          <m:t>CW</m:t>
        </m:r>
        <m:r>
          <m:rPr>
            <m:sty m:val="p"/>
          </m:rPr>
          <w:rPr>
            <w:rFonts w:ascii="Cambria Math" w:hAnsi="Cambria Math"/>
          </w:rPr>
          <m:t>&gt;</m:t>
        </m:r>
        <m:r>
          <w:rPr>
            <w:rFonts w:ascii="Cambria Math" w:hAnsi="Cambria Math"/>
          </w:rPr>
          <m:t>1.645</m:t>
        </m:r>
      </m:oMath>
      <w:r>
        <w:t xml:space="preserve"> at the 5 per cent significance level.</w:t>
      </w:r>
    </w:p>
    <w:p w14:paraId="5337FB8A" w14:textId="77777777" w:rsidR="004515F3" w:rsidRDefault="003607A6" w:rsidP="00087194">
      <w:pPr>
        <w:pStyle w:val="Heading1"/>
        <w:jc w:val="both"/>
      </w:pPr>
      <w:r>
        <w:t>Results and Discussion</w:t>
      </w:r>
    </w:p>
    <w:p w14:paraId="25B9C429" w14:textId="77777777" w:rsidR="003607A6" w:rsidRDefault="003607A6" w:rsidP="00087194">
      <w:pPr>
        <w:pStyle w:val="FirstParagraph"/>
        <w:jc w:val="both"/>
      </w:pPr>
      <w:r>
        <w:t>Pre evaluation test</w:t>
      </w:r>
    </w:p>
    <w:p w14:paraId="62A7295E" w14:textId="77777777" w:rsidR="00E573DD" w:rsidRDefault="003607A6" w:rsidP="00087194">
      <w:pPr>
        <w:pStyle w:val="BodyText"/>
        <w:jc w:val="both"/>
      </w:pPr>
      <w:r>
        <w:t>To determine the most appropriate unit root test for checking the stationarity in our data, a Cross sectional dependence (CD) test was first carried out on the data to check if individual countries show any co-movement due to regional similarities and shared exposures. The test involves the consideration of the correlation coefficient between individual countries’ residuals (Pesaran, 2004). This is essential because the Im-Pesaran-Shin panel (IPS) unit root test assumes that each country’s process is unrelated to the others, however, neighboring African countries have similar exposures to shocks such as oil price and they are more likely to move together in situations of such shocks.</w:t>
      </w:r>
    </w:p>
    <w:p w14:paraId="41EAD822" w14:textId="77777777" w:rsidR="00E573DD" w:rsidRDefault="00E573DD" w:rsidP="00087194">
      <w:pPr>
        <w:pStyle w:val="BodyText"/>
        <w:jc w:val="both"/>
      </w:pPr>
      <w:r>
        <w:t xml:space="preserve">Under the null hypothesis of zero cross dependence (γᵢ = 0), the CD test is carried out at the 5% 2-sided nominal significance level; the null is rejected if the CD statistic is greater than 1.96 </w:t>
      </w:r>
    </w:p>
    <w:p w14:paraId="69727A26" w14:textId="77777777" w:rsidR="004515F3" w:rsidRDefault="003607A6" w:rsidP="00087194">
      <w:pPr>
        <w:pStyle w:val="BodyText"/>
        <w:jc w:val="both"/>
      </w:pPr>
      <w:r>
        <w:rPr>
          <w:b/>
          <w:bCs/>
        </w:rPr>
        <w:t>Table 4: Pesaran Cross-Sectional Dependence (CD) Test Results</w:t>
      </w:r>
    </w:p>
    <w:tbl>
      <w:tblPr>
        <w:tblW w:w="9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9"/>
        <w:gridCol w:w="2372"/>
        <w:gridCol w:w="2372"/>
        <w:gridCol w:w="2372"/>
      </w:tblGrid>
      <w:tr w:rsidR="00E573DD" w14:paraId="5DA7EB70" w14:textId="77777777" w:rsidTr="0036615C">
        <w:trPr>
          <w:trHeight w:val="341"/>
        </w:trPr>
        <w:tc>
          <w:tcPr>
            <w:tcW w:w="2649" w:type="dxa"/>
            <w:shd w:val="clear" w:color="auto" w:fill="201B17"/>
          </w:tcPr>
          <w:p w14:paraId="67C4EFED" w14:textId="77777777" w:rsidR="00E573DD" w:rsidRDefault="00E573DD" w:rsidP="00087194">
            <w:pPr>
              <w:jc w:val="both"/>
            </w:pPr>
            <w:r>
              <w:rPr>
                <w:b/>
                <w:bCs/>
                <w:color w:val="FFFFFF"/>
                <w:sz w:val="17"/>
                <w:szCs w:val="17"/>
              </w:rPr>
              <w:t>Variable</w:t>
            </w:r>
          </w:p>
        </w:tc>
        <w:tc>
          <w:tcPr>
            <w:tcW w:w="2372" w:type="dxa"/>
            <w:shd w:val="clear" w:color="auto" w:fill="201B17"/>
          </w:tcPr>
          <w:p w14:paraId="09353510" w14:textId="77777777" w:rsidR="00E573DD" w:rsidRDefault="00E573DD" w:rsidP="00087194">
            <w:pPr>
              <w:jc w:val="both"/>
            </w:pPr>
            <w:r>
              <w:rPr>
                <w:b/>
                <w:bCs/>
                <w:color w:val="FFFFFF"/>
                <w:sz w:val="17"/>
                <w:szCs w:val="17"/>
              </w:rPr>
              <w:t>RAW: CD stat</w:t>
            </w:r>
          </w:p>
        </w:tc>
        <w:tc>
          <w:tcPr>
            <w:tcW w:w="2372" w:type="dxa"/>
            <w:shd w:val="clear" w:color="auto" w:fill="201B17"/>
          </w:tcPr>
          <w:p w14:paraId="594151BF" w14:textId="77777777" w:rsidR="00E573DD" w:rsidRDefault="00E573DD" w:rsidP="00087194">
            <w:pPr>
              <w:jc w:val="both"/>
            </w:pPr>
            <w:r>
              <w:rPr>
                <w:b/>
                <w:bCs/>
                <w:color w:val="FFFFFF"/>
                <w:sz w:val="17"/>
                <w:szCs w:val="17"/>
              </w:rPr>
              <w:t>RAW: p</w:t>
            </w:r>
          </w:p>
        </w:tc>
        <w:tc>
          <w:tcPr>
            <w:tcW w:w="2372" w:type="dxa"/>
            <w:shd w:val="clear" w:color="auto" w:fill="201B17"/>
          </w:tcPr>
          <w:p w14:paraId="39E9E94C" w14:textId="77777777" w:rsidR="00E573DD" w:rsidRDefault="00E573DD" w:rsidP="00087194">
            <w:pPr>
              <w:jc w:val="both"/>
            </w:pPr>
            <w:r>
              <w:t>CD Present</w:t>
            </w:r>
          </w:p>
        </w:tc>
      </w:tr>
      <w:tr w:rsidR="00E573DD" w14:paraId="692E6A3D" w14:textId="77777777" w:rsidTr="0036615C">
        <w:trPr>
          <w:trHeight w:val="349"/>
        </w:trPr>
        <w:tc>
          <w:tcPr>
            <w:tcW w:w="2649" w:type="dxa"/>
            <w:shd w:val="clear" w:color="auto" w:fill="FFFFFF"/>
          </w:tcPr>
          <w:p w14:paraId="0E0017EF" w14:textId="77777777" w:rsidR="00E573DD" w:rsidRDefault="00E573DD" w:rsidP="00087194">
            <w:pPr>
              <w:jc w:val="both"/>
            </w:pPr>
            <w:r>
              <w:rPr>
                <w:color w:val="201B17"/>
                <w:sz w:val="17"/>
                <w:szCs w:val="17"/>
              </w:rPr>
              <w:t>Inflation (π)</w:t>
            </w:r>
          </w:p>
        </w:tc>
        <w:tc>
          <w:tcPr>
            <w:tcW w:w="2372" w:type="dxa"/>
            <w:shd w:val="clear" w:color="auto" w:fill="FFFFFF"/>
          </w:tcPr>
          <w:p w14:paraId="34A2E30C" w14:textId="77777777" w:rsidR="00E573DD" w:rsidRDefault="00E573DD" w:rsidP="00087194">
            <w:pPr>
              <w:jc w:val="both"/>
            </w:pPr>
            <w:r>
              <w:rPr>
                <w:color w:val="201B17"/>
                <w:sz w:val="17"/>
                <w:szCs w:val="17"/>
              </w:rPr>
              <w:t>82.3</w:t>
            </w:r>
          </w:p>
        </w:tc>
        <w:tc>
          <w:tcPr>
            <w:tcW w:w="2372" w:type="dxa"/>
            <w:shd w:val="clear" w:color="auto" w:fill="FFFFFF"/>
          </w:tcPr>
          <w:p w14:paraId="67ED182D" w14:textId="77777777" w:rsidR="00E573DD" w:rsidRDefault="00E573DD" w:rsidP="00087194">
            <w:pPr>
              <w:jc w:val="both"/>
            </w:pPr>
            <w:r>
              <w:rPr>
                <w:color w:val="201B17"/>
                <w:sz w:val="17"/>
                <w:szCs w:val="17"/>
              </w:rPr>
              <w:t>0.000</w:t>
            </w:r>
          </w:p>
        </w:tc>
        <w:tc>
          <w:tcPr>
            <w:tcW w:w="2372" w:type="dxa"/>
            <w:shd w:val="clear" w:color="auto" w:fill="FFFFFF"/>
          </w:tcPr>
          <w:p w14:paraId="0DC567DE" w14:textId="77777777" w:rsidR="00E573DD" w:rsidRDefault="00E573DD" w:rsidP="00087194">
            <w:pPr>
              <w:jc w:val="both"/>
            </w:pPr>
            <w:r>
              <w:t>yes</w:t>
            </w:r>
          </w:p>
        </w:tc>
      </w:tr>
      <w:tr w:rsidR="00E573DD" w14:paraId="2BCC0DBE" w14:textId="77777777" w:rsidTr="0036615C">
        <w:trPr>
          <w:trHeight w:val="341"/>
        </w:trPr>
        <w:tc>
          <w:tcPr>
            <w:tcW w:w="2649" w:type="dxa"/>
            <w:shd w:val="clear" w:color="auto" w:fill="FAF7F3"/>
          </w:tcPr>
          <w:p w14:paraId="34AEA803" w14:textId="77777777" w:rsidR="00E573DD" w:rsidRDefault="00E573DD" w:rsidP="00087194">
            <w:pPr>
              <w:jc w:val="both"/>
            </w:pPr>
            <w:r>
              <w:rPr>
                <w:color w:val="201B17"/>
                <w:sz w:val="17"/>
                <w:szCs w:val="17"/>
              </w:rPr>
              <w:t>AIRI Pillar</w:t>
            </w:r>
          </w:p>
        </w:tc>
        <w:tc>
          <w:tcPr>
            <w:tcW w:w="2372" w:type="dxa"/>
            <w:shd w:val="clear" w:color="auto" w:fill="FAF7F3"/>
          </w:tcPr>
          <w:p w14:paraId="2B704C9D" w14:textId="77777777" w:rsidR="00E573DD" w:rsidRDefault="00E573DD" w:rsidP="00087194">
            <w:pPr>
              <w:jc w:val="both"/>
            </w:pPr>
            <w:r>
              <w:rPr>
                <w:color w:val="201B17"/>
                <w:sz w:val="17"/>
                <w:szCs w:val="17"/>
              </w:rPr>
              <w:t>84.1</w:t>
            </w:r>
          </w:p>
        </w:tc>
        <w:tc>
          <w:tcPr>
            <w:tcW w:w="2372" w:type="dxa"/>
            <w:shd w:val="clear" w:color="auto" w:fill="FAF7F3"/>
          </w:tcPr>
          <w:p w14:paraId="0E37EE7E" w14:textId="77777777" w:rsidR="00E573DD" w:rsidRDefault="00E573DD" w:rsidP="00087194">
            <w:pPr>
              <w:jc w:val="both"/>
            </w:pPr>
            <w:r>
              <w:rPr>
                <w:color w:val="201B17"/>
                <w:sz w:val="17"/>
                <w:szCs w:val="17"/>
              </w:rPr>
              <w:t>0.000</w:t>
            </w:r>
          </w:p>
        </w:tc>
        <w:tc>
          <w:tcPr>
            <w:tcW w:w="2372" w:type="dxa"/>
            <w:shd w:val="clear" w:color="auto" w:fill="FAF7F3"/>
          </w:tcPr>
          <w:p w14:paraId="12C507E1" w14:textId="77777777" w:rsidR="00E573DD" w:rsidRDefault="00E573DD" w:rsidP="00087194">
            <w:pPr>
              <w:jc w:val="both"/>
            </w:pPr>
            <w:r>
              <w:t>yes</w:t>
            </w:r>
          </w:p>
        </w:tc>
      </w:tr>
      <w:tr w:rsidR="00E573DD" w14:paraId="4FCF5A8B" w14:textId="77777777" w:rsidTr="0036615C">
        <w:trPr>
          <w:trHeight w:val="341"/>
        </w:trPr>
        <w:tc>
          <w:tcPr>
            <w:tcW w:w="2649" w:type="dxa"/>
            <w:shd w:val="clear" w:color="auto" w:fill="FFFFFF"/>
          </w:tcPr>
          <w:p w14:paraId="4E38050B" w14:textId="77777777" w:rsidR="00E573DD" w:rsidRDefault="00E573DD" w:rsidP="00087194">
            <w:pPr>
              <w:jc w:val="both"/>
            </w:pPr>
            <w:r>
              <w:rPr>
                <w:color w:val="201B17"/>
                <w:sz w:val="17"/>
                <w:szCs w:val="17"/>
              </w:rPr>
              <w:t>GDP Growth</w:t>
            </w:r>
          </w:p>
        </w:tc>
        <w:tc>
          <w:tcPr>
            <w:tcW w:w="2372" w:type="dxa"/>
            <w:shd w:val="clear" w:color="auto" w:fill="FFFFFF"/>
          </w:tcPr>
          <w:p w14:paraId="56265ABA" w14:textId="77777777" w:rsidR="00E573DD" w:rsidRDefault="00E573DD" w:rsidP="00087194">
            <w:pPr>
              <w:jc w:val="both"/>
            </w:pPr>
            <w:r>
              <w:rPr>
                <w:color w:val="201B17"/>
                <w:sz w:val="17"/>
                <w:szCs w:val="17"/>
              </w:rPr>
              <w:t>120.0</w:t>
            </w:r>
          </w:p>
        </w:tc>
        <w:tc>
          <w:tcPr>
            <w:tcW w:w="2372" w:type="dxa"/>
            <w:shd w:val="clear" w:color="auto" w:fill="FFFFFF"/>
          </w:tcPr>
          <w:p w14:paraId="18736259" w14:textId="77777777" w:rsidR="00E573DD" w:rsidRDefault="00E573DD" w:rsidP="00087194">
            <w:pPr>
              <w:jc w:val="both"/>
            </w:pPr>
            <w:r>
              <w:rPr>
                <w:color w:val="201B17"/>
                <w:sz w:val="17"/>
                <w:szCs w:val="17"/>
              </w:rPr>
              <w:t>0.000</w:t>
            </w:r>
          </w:p>
        </w:tc>
        <w:tc>
          <w:tcPr>
            <w:tcW w:w="2372" w:type="dxa"/>
            <w:shd w:val="clear" w:color="auto" w:fill="FFFFFF"/>
          </w:tcPr>
          <w:p w14:paraId="1D909C78" w14:textId="77777777" w:rsidR="00E573DD" w:rsidRDefault="00E573DD" w:rsidP="00087194">
            <w:pPr>
              <w:jc w:val="both"/>
            </w:pPr>
            <w:r>
              <w:t>yes</w:t>
            </w:r>
          </w:p>
        </w:tc>
      </w:tr>
      <w:tr w:rsidR="00E573DD" w14:paraId="04A4A854" w14:textId="77777777" w:rsidTr="0036615C">
        <w:trPr>
          <w:trHeight w:val="349"/>
        </w:trPr>
        <w:tc>
          <w:tcPr>
            <w:tcW w:w="2649" w:type="dxa"/>
            <w:shd w:val="clear" w:color="auto" w:fill="FAF7F3"/>
          </w:tcPr>
          <w:p w14:paraId="60D1741D" w14:textId="77777777" w:rsidR="00E573DD" w:rsidRDefault="00E573DD" w:rsidP="00087194">
            <w:pPr>
              <w:jc w:val="both"/>
            </w:pPr>
            <w:r>
              <w:rPr>
                <w:color w:val="201B17"/>
                <w:sz w:val="17"/>
                <w:szCs w:val="17"/>
              </w:rPr>
              <w:t>Money Growth</w:t>
            </w:r>
          </w:p>
        </w:tc>
        <w:tc>
          <w:tcPr>
            <w:tcW w:w="2372" w:type="dxa"/>
            <w:shd w:val="clear" w:color="auto" w:fill="FAF7F3"/>
          </w:tcPr>
          <w:p w14:paraId="5E6072C5" w14:textId="77777777" w:rsidR="00E573DD" w:rsidRDefault="00E573DD" w:rsidP="00087194">
            <w:pPr>
              <w:jc w:val="both"/>
            </w:pPr>
            <w:r>
              <w:rPr>
                <w:color w:val="201B17"/>
                <w:sz w:val="17"/>
                <w:szCs w:val="17"/>
              </w:rPr>
              <w:t>21.1</w:t>
            </w:r>
          </w:p>
        </w:tc>
        <w:tc>
          <w:tcPr>
            <w:tcW w:w="2372" w:type="dxa"/>
            <w:shd w:val="clear" w:color="auto" w:fill="FAF7F3"/>
          </w:tcPr>
          <w:p w14:paraId="351FE189" w14:textId="77777777" w:rsidR="00E573DD" w:rsidRDefault="00E573DD" w:rsidP="00087194">
            <w:pPr>
              <w:jc w:val="both"/>
            </w:pPr>
            <w:r>
              <w:rPr>
                <w:color w:val="201B17"/>
                <w:sz w:val="17"/>
                <w:szCs w:val="17"/>
              </w:rPr>
              <w:t>0.000</w:t>
            </w:r>
          </w:p>
        </w:tc>
        <w:tc>
          <w:tcPr>
            <w:tcW w:w="2372" w:type="dxa"/>
            <w:shd w:val="clear" w:color="auto" w:fill="FAF7F3"/>
          </w:tcPr>
          <w:p w14:paraId="231C02D0" w14:textId="77777777" w:rsidR="00E573DD" w:rsidRDefault="00E573DD" w:rsidP="00087194">
            <w:pPr>
              <w:jc w:val="both"/>
            </w:pPr>
            <w:r>
              <w:t>yes</w:t>
            </w:r>
          </w:p>
        </w:tc>
      </w:tr>
      <w:tr w:rsidR="00E573DD" w14:paraId="4A6A4C2D" w14:textId="77777777" w:rsidTr="0036615C">
        <w:trPr>
          <w:trHeight w:val="341"/>
        </w:trPr>
        <w:tc>
          <w:tcPr>
            <w:tcW w:w="2649" w:type="dxa"/>
            <w:shd w:val="clear" w:color="auto" w:fill="FFFFFF"/>
          </w:tcPr>
          <w:p w14:paraId="3BDA4BEC" w14:textId="77777777" w:rsidR="00E573DD" w:rsidRDefault="00E573DD" w:rsidP="00087194">
            <w:pPr>
              <w:jc w:val="both"/>
            </w:pPr>
            <w:r>
              <w:rPr>
                <w:color w:val="201B17"/>
                <w:sz w:val="17"/>
                <w:szCs w:val="17"/>
              </w:rPr>
              <w:t>FX Growth</w:t>
            </w:r>
          </w:p>
        </w:tc>
        <w:tc>
          <w:tcPr>
            <w:tcW w:w="2372" w:type="dxa"/>
            <w:shd w:val="clear" w:color="auto" w:fill="FFFFFF"/>
          </w:tcPr>
          <w:p w14:paraId="409F796C" w14:textId="77777777" w:rsidR="00E573DD" w:rsidRDefault="00E573DD" w:rsidP="00087194">
            <w:pPr>
              <w:jc w:val="both"/>
            </w:pPr>
            <w:r>
              <w:rPr>
                <w:color w:val="201B17"/>
                <w:sz w:val="17"/>
                <w:szCs w:val="17"/>
              </w:rPr>
              <w:t>78.4</w:t>
            </w:r>
          </w:p>
        </w:tc>
        <w:tc>
          <w:tcPr>
            <w:tcW w:w="2372" w:type="dxa"/>
            <w:shd w:val="clear" w:color="auto" w:fill="FFFFFF"/>
          </w:tcPr>
          <w:p w14:paraId="4101F229" w14:textId="77777777" w:rsidR="00E573DD" w:rsidRDefault="00E573DD" w:rsidP="00087194">
            <w:pPr>
              <w:jc w:val="both"/>
            </w:pPr>
            <w:r>
              <w:rPr>
                <w:color w:val="201B17"/>
                <w:sz w:val="17"/>
                <w:szCs w:val="17"/>
              </w:rPr>
              <w:t>0.000</w:t>
            </w:r>
          </w:p>
        </w:tc>
        <w:tc>
          <w:tcPr>
            <w:tcW w:w="2372" w:type="dxa"/>
            <w:shd w:val="clear" w:color="auto" w:fill="FFFFFF"/>
          </w:tcPr>
          <w:p w14:paraId="02B3E524" w14:textId="77777777" w:rsidR="00E573DD" w:rsidRDefault="00E573DD" w:rsidP="00087194">
            <w:pPr>
              <w:jc w:val="both"/>
            </w:pPr>
            <w:r>
              <w:t>yes</w:t>
            </w:r>
          </w:p>
        </w:tc>
      </w:tr>
    </w:tbl>
    <w:p w14:paraId="6AF939BB" w14:textId="77777777" w:rsidR="00E573DD" w:rsidRDefault="00E573DD" w:rsidP="00087194">
      <w:pPr>
        <w:pStyle w:val="BodyText"/>
        <w:jc w:val="both"/>
      </w:pPr>
    </w:p>
    <w:p w14:paraId="7628B48A" w14:textId="77777777" w:rsidR="00EA674C" w:rsidRDefault="00EA674C" w:rsidP="00087194">
      <w:pPr>
        <w:pStyle w:val="BodyText"/>
        <w:jc w:val="both"/>
      </w:pPr>
      <w:r>
        <w:t>The panel exhibits significant cross-sectional dependence (</w:t>
      </w:r>
      <w:proofErr w:type="spellStart"/>
      <w:r>
        <w:t>Pesaran</w:t>
      </w:r>
      <w:proofErr w:type="spellEnd"/>
      <w:r>
        <w:t xml:space="preserve">, 2004/2021). Ignoring this can severely bias standard panel unit root tests, because O'Connell (1998) shows that </w:t>
      </w:r>
      <w:r>
        <w:lastRenderedPageBreak/>
        <w:t>failing to control for cross-sectional dependence can inflate the level of significance as seen in O'Connell (1998). We therefore supplement the standard IPS test (</w:t>
      </w:r>
      <w:proofErr w:type="spellStart"/>
      <w:r>
        <w:t>Im</w:t>
      </w:r>
      <w:proofErr w:type="spellEnd"/>
      <w:r>
        <w:t xml:space="preserve">, </w:t>
      </w:r>
      <w:proofErr w:type="spellStart"/>
      <w:r>
        <w:t>Pesaran</w:t>
      </w:r>
      <w:proofErr w:type="spellEnd"/>
      <w:r>
        <w:t xml:space="preserve"> &amp; Shin, 2003) with the cross-sectionally augmented IPS test (CIPS; </w:t>
      </w:r>
      <w:proofErr w:type="spellStart"/>
      <w:r>
        <w:t>Pesaran</w:t>
      </w:r>
      <w:proofErr w:type="spellEnd"/>
      <w:r>
        <w:t>, 2007).</w:t>
      </w:r>
    </w:p>
    <w:p w14:paraId="12A30AD8" w14:textId="77777777" w:rsidR="000C0D7A" w:rsidRDefault="000C0D7A" w:rsidP="00087194">
      <w:pPr>
        <w:pStyle w:val="BodyText"/>
        <w:jc w:val="both"/>
      </w:pPr>
      <w:r>
        <w:t>CIPS builds each country's Dickey-Fuller regression using the  country's own past values, but also the average of all countries in the panel at each point in time. This average accounts for common shocks the countries are exposed to. The computed CIPS statistic is compared to the Pesaran ( 2007) critical value. If the CIPS statistic is more negative than the critical value then the series is stationary. For our panel (46 countries, 131 months), the relevant critical values from Pesaran's tables are approximately -2.11 at the 5% level and -2.23 at the 1% level. The IPS test was also done for robustness, in this case, the p-value is the indicator of stationarity.</w:t>
      </w:r>
    </w:p>
    <w:p w14:paraId="13E3CBED" w14:textId="77777777" w:rsidR="00A22503" w:rsidRDefault="00A22503" w:rsidP="00087194">
      <w:pPr>
        <w:pStyle w:val="BodyText"/>
        <w:jc w:val="both"/>
      </w:pPr>
    </w:p>
    <w:p w14:paraId="2512F334" w14:textId="77777777" w:rsidR="00A22503" w:rsidRDefault="00A22503" w:rsidP="00087194">
      <w:pPr>
        <w:pStyle w:val="BodyText"/>
        <w:jc w:val="both"/>
      </w:pPr>
    </w:p>
    <w:p w14:paraId="6308DCE4" w14:textId="77777777" w:rsidR="004515F3" w:rsidRDefault="003607A6" w:rsidP="00087194">
      <w:pPr>
        <w:pStyle w:val="BodyText"/>
        <w:jc w:val="both"/>
      </w:pPr>
      <w:r>
        <w:rPr>
          <w:b/>
          <w:bCs/>
        </w:rPr>
        <w:t>Table 5: IPS and CIPS Panel Unit Root Test Results</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1696"/>
        <w:gridCol w:w="1461"/>
        <w:gridCol w:w="1455"/>
        <w:gridCol w:w="1515"/>
        <w:gridCol w:w="1422"/>
      </w:tblGrid>
      <w:tr w:rsidR="00ED7E9C" w14:paraId="03631A61" w14:textId="77777777" w:rsidTr="0036615C">
        <w:trPr>
          <w:trHeight w:val="294"/>
        </w:trPr>
        <w:tc>
          <w:tcPr>
            <w:tcW w:w="2260" w:type="dxa"/>
            <w:shd w:val="clear" w:color="auto" w:fill="201B17"/>
          </w:tcPr>
          <w:p w14:paraId="660F1036" w14:textId="77777777" w:rsidR="00ED7E9C" w:rsidRDefault="00ED7E9C" w:rsidP="00087194">
            <w:pPr>
              <w:jc w:val="both"/>
            </w:pPr>
            <w:r>
              <w:rPr>
                <w:b/>
                <w:bCs/>
                <w:color w:val="FFFFFF"/>
                <w:sz w:val="17"/>
                <w:szCs w:val="17"/>
              </w:rPr>
              <w:t>Variable</w:t>
            </w:r>
          </w:p>
        </w:tc>
        <w:tc>
          <w:tcPr>
            <w:tcW w:w="1696" w:type="dxa"/>
            <w:shd w:val="clear" w:color="auto" w:fill="201B17"/>
          </w:tcPr>
          <w:p w14:paraId="6AEDCB58" w14:textId="77777777" w:rsidR="00ED7E9C" w:rsidRDefault="00ED7E9C" w:rsidP="00087194">
            <w:pPr>
              <w:jc w:val="both"/>
            </w:pPr>
            <w:r>
              <w:rPr>
                <w:b/>
                <w:bCs/>
                <w:color w:val="FFFFFF"/>
                <w:sz w:val="17"/>
                <w:szCs w:val="17"/>
              </w:rPr>
              <w:t>IPS</w:t>
            </w:r>
          </w:p>
        </w:tc>
        <w:tc>
          <w:tcPr>
            <w:tcW w:w="1461" w:type="dxa"/>
            <w:shd w:val="clear" w:color="auto" w:fill="201B17"/>
          </w:tcPr>
          <w:p w14:paraId="3F9EE61B" w14:textId="77777777" w:rsidR="00ED7E9C" w:rsidRDefault="00ED7E9C" w:rsidP="00087194">
            <w:pPr>
              <w:jc w:val="both"/>
            </w:pPr>
            <w:r>
              <w:rPr>
                <w:b/>
                <w:bCs/>
                <w:color w:val="FFFFFF"/>
                <w:sz w:val="17"/>
                <w:szCs w:val="17"/>
              </w:rPr>
              <w:t xml:space="preserve"> IPS p value</w:t>
            </w:r>
          </w:p>
        </w:tc>
        <w:tc>
          <w:tcPr>
            <w:tcW w:w="1455" w:type="dxa"/>
            <w:shd w:val="clear" w:color="auto" w:fill="201B17"/>
          </w:tcPr>
          <w:p w14:paraId="4DEE6C74" w14:textId="77777777" w:rsidR="00ED7E9C" w:rsidRDefault="00ED7E9C" w:rsidP="00087194">
            <w:pPr>
              <w:jc w:val="both"/>
            </w:pPr>
            <w:r>
              <w:rPr>
                <w:b/>
                <w:bCs/>
                <w:color w:val="FFFFFF"/>
                <w:sz w:val="17"/>
                <w:szCs w:val="17"/>
              </w:rPr>
              <w:t xml:space="preserve"> CIPS</w:t>
            </w:r>
          </w:p>
        </w:tc>
        <w:tc>
          <w:tcPr>
            <w:tcW w:w="1515" w:type="dxa"/>
            <w:shd w:val="clear" w:color="auto" w:fill="201B17"/>
          </w:tcPr>
          <w:p w14:paraId="4EC38564" w14:textId="77777777" w:rsidR="00ED7E9C" w:rsidRDefault="00ED7E9C" w:rsidP="00087194">
            <w:pPr>
              <w:jc w:val="both"/>
              <w:rPr>
                <w:b/>
                <w:bCs/>
                <w:color w:val="FFFFFF"/>
                <w:sz w:val="17"/>
                <w:szCs w:val="17"/>
              </w:rPr>
            </w:pPr>
            <w:r>
              <w:t>1% threshold (-2.23)?</w:t>
            </w:r>
          </w:p>
        </w:tc>
        <w:tc>
          <w:tcPr>
            <w:tcW w:w="1422" w:type="dxa"/>
            <w:shd w:val="clear" w:color="auto" w:fill="201B17"/>
          </w:tcPr>
          <w:p w14:paraId="3DE132B5" w14:textId="77777777" w:rsidR="00ED7E9C" w:rsidRDefault="00ED7E9C" w:rsidP="00087194">
            <w:pPr>
              <w:jc w:val="both"/>
            </w:pPr>
          </w:p>
        </w:tc>
      </w:tr>
      <w:tr w:rsidR="00ED7E9C" w14:paraId="4C85EB55" w14:textId="77777777" w:rsidTr="0036615C">
        <w:trPr>
          <w:trHeight w:val="294"/>
        </w:trPr>
        <w:tc>
          <w:tcPr>
            <w:tcW w:w="2260" w:type="dxa"/>
            <w:shd w:val="clear" w:color="auto" w:fill="FFFFFF"/>
          </w:tcPr>
          <w:p w14:paraId="0BF7BFCD" w14:textId="77777777" w:rsidR="00ED7E9C" w:rsidRDefault="00ED7E9C" w:rsidP="00087194">
            <w:pPr>
              <w:jc w:val="both"/>
            </w:pPr>
            <w:r>
              <w:rPr>
                <w:color w:val="201B17"/>
                <w:sz w:val="17"/>
                <w:szCs w:val="17"/>
              </w:rPr>
              <w:t>Inflation (π)</w:t>
            </w:r>
          </w:p>
        </w:tc>
        <w:tc>
          <w:tcPr>
            <w:tcW w:w="1696" w:type="dxa"/>
            <w:shd w:val="clear" w:color="auto" w:fill="FFFFFF"/>
          </w:tcPr>
          <w:p w14:paraId="3A85D6AB" w14:textId="77777777" w:rsidR="00ED7E9C" w:rsidRDefault="00ED7E9C" w:rsidP="00087194">
            <w:pPr>
              <w:jc w:val="both"/>
            </w:pPr>
            <w:r>
              <w:rPr>
                <w:color w:val="201B17"/>
                <w:sz w:val="17"/>
                <w:szCs w:val="17"/>
              </w:rPr>
              <w:t>-10.8</w:t>
            </w:r>
          </w:p>
        </w:tc>
        <w:tc>
          <w:tcPr>
            <w:tcW w:w="1461" w:type="dxa"/>
            <w:shd w:val="clear" w:color="auto" w:fill="FFFFFF"/>
          </w:tcPr>
          <w:p w14:paraId="3B8924A1" w14:textId="77777777" w:rsidR="00ED7E9C" w:rsidRDefault="00ED7E9C" w:rsidP="00087194">
            <w:pPr>
              <w:jc w:val="both"/>
            </w:pPr>
            <w:r>
              <w:rPr>
                <w:color w:val="201B17"/>
                <w:sz w:val="17"/>
                <w:szCs w:val="17"/>
              </w:rPr>
              <w:t>0.000</w:t>
            </w:r>
          </w:p>
        </w:tc>
        <w:tc>
          <w:tcPr>
            <w:tcW w:w="1455" w:type="dxa"/>
            <w:shd w:val="clear" w:color="auto" w:fill="FFFFFF"/>
          </w:tcPr>
          <w:p w14:paraId="174F0B68" w14:textId="77777777" w:rsidR="00ED7E9C" w:rsidRDefault="00ED7E9C" w:rsidP="00087194">
            <w:pPr>
              <w:jc w:val="both"/>
            </w:pPr>
            <w:r>
              <w:rPr>
                <w:color w:val="201B17"/>
                <w:sz w:val="17"/>
                <w:szCs w:val="17"/>
              </w:rPr>
              <w:t>-2.29</w:t>
            </w:r>
          </w:p>
        </w:tc>
        <w:tc>
          <w:tcPr>
            <w:tcW w:w="1515" w:type="dxa"/>
            <w:shd w:val="clear" w:color="auto" w:fill="FFFFFF"/>
          </w:tcPr>
          <w:p w14:paraId="4E75633B" w14:textId="77777777" w:rsidR="00ED7E9C" w:rsidRDefault="00ED7E9C" w:rsidP="00087194">
            <w:pPr>
              <w:jc w:val="both"/>
              <w:rPr>
                <w:color w:val="201B17"/>
                <w:sz w:val="17"/>
                <w:szCs w:val="17"/>
              </w:rPr>
            </w:pPr>
            <w:r>
              <w:rPr>
                <w:color w:val="201B17"/>
                <w:sz w:val="17"/>
                <w:szCs w:val="17"/>
              </w:rPr>
              <w:t>YES</w:t>
            </w:r>
          </w:p>
        </w:tc>
        <w:tc>
          <w:tcPr>
            <w:tcW w:w="1422" w:type="dxa"/>
            <w:shd w:val="clear" w:color="auto" w:fill="FFFFFF"/>
          </w:tcPr>
          <w:p w14:paraId="086CAF18" w14:textId="77777777" w:rsidR="00ED7E9C" w:rsidRDefault="00EC439E" w:rsidP="00087194">
            <w:pPr>
              <w:jc w:val="both"/>
              <w:rPr>
                <w:color w:val="201B17"/>
                <w:sz w:val="17"/>
                <w:szCs w:val="17"/>
              </w:rPr>
            </w:pPr>
            <w:r>
              <w:rPr>
                <w:color w:val="201B17"/>
                <w:sz w:val="17"/>
                <w:szCs w:val="17"/>
              </w:rPr>
              <w:t>Stationary</w:t>
            </w:r>
          </w:p>
        </w:tc>
      </w:tr>
      <w:tr w:rsidR="00ED7E9C" w14:paraId="0BB7580E" w14:textId="77777777" w:rsidTr="0036615C">
        <w:trPr>
          <w:trHeight w:val="294"/>
        </w:trPr>
        <w:tc>
          <w:tcPr>
            <w:tcW w:w="2260" w:type="dxa"/>
            <w:shd w:val="clear" w:color="auto" w:fill="FAF7F3"/>
          </w:tcPr>
          <w:p w14:paraId="48A1FDE3" w14:textId="77777777" w:rsidR="00ED7E9C" w:rsidRDefault="00ED7E9C" w:rsidP="00087194">
            <w:pPr>
              <w:jc w:val="both"/>
            </w:pPr>
            <w:r>
              <w:rPr>
                <w:color w:val="201B17"/>
                <w:sz w:val="17"/>
                <w:szCs w:val="17"/>
              </w:rPr>
              <w:t>AIRI Pillar</w:t>
            </w:r>
          </w:p>
        </w:tc>
        <w:tc>
          <w:tcPr>
            <w:tcW w:w="1696" w:type="dxa"/>
            <w:shd w:val="clear" w:color="auto" w:fill="FAF7F3"/>
          </w:tcPr>
          <w:p w14:paraId="0995B76C" w14:textId="77777777" w:rsidR="00ED7E9C" w:rsidRDefault="00ED7E9C" w:rsidP="00087194">
            <w:pPr>
              <w:jc w:val="both"/>
            </w:pPr>
            <w:r>
              <w:rPr>
                <w:color w:val="201B17"/>
                <w:sz w:val="17"/>
                <w:szCs w:val="17"/>
              </w:rPr>
              <w:t>-12.4</w:t>
            </w:r>
          </w:p>
        </w:tc>
        <w:tc>
          <w:tcPr>
            <w:tcW w:w="1461" w:type="dxa"/>
            <w:shd w:val="clear" w:color="auto" w:fill="FAF7F3"/>
          </w:tcPr>
          <w:p w14:paraId="4FAA686D" w14:textId="77777777" w:rsidR="00ED7E9C" w:rsidRDefault="00ED7E9C" w:rsidP="00087194">
            <w:pPr>
              <w:jc w:val="both"/>
            </w:pPr>
            <w:r>
              <w:rPr>
                <w:color w:val="201B17"/>
                <w:sz w:val="17"/>
                <w:szCs w:val="17"/>
              </w:rPr>
              <w:t>0.000</w:t>
            </w:r>
          </w:p>
        </w:tc>
        <w:tc>
          <w:tcPr>
            <w:tcW w:w="1455" w:type="dxa"/>
            <w:shd w:val="clear" w:color="auto" w:fill="FAF7F3"/>
          </w:tcPr>
          <w:p w14:paraId="5774EE4B" w14:textId="77777777" w:rsidR="00ED7E9C" w:rsidRDefault="00ED7E9C" w:rsidP="00087194">
            <w:pPr>
              <w:jc w:val="both"/>
            </w:pPr>
            <w:r>
              <w:rPr>
                <w:color w:val="201B17"/>
                <w:sz w:val="17"/>
                <w:szCs w:val="17"/>
              </w:rPr>
              <w:t>-4.40</w:t>
            </w:r>
          </w:p>
        </w:tc>
        <w:tc>
          <w:tcPr>
            <w:tcW w:w="1515" w:type="dxa"/>
            <w:shd w:val="clear" w:color="auto" w:fill="FAF7F3"/>
          </w:tcPr>
          <w:p w14:paraId="3BE6A523" w14:textId="77777777" w:rsidR="00ED7E9C" w:rsidRDefault="00ED7E9C" w:rsidP="00087194">
            <w:pPr>
              <w:jc w:val="both"/>
              <w:rPr>
                <w:color w:val="201B17"/>
                <w:sz w:val="17"/>
                <w:szCs w:val="17"/>
              </w:rPr>
            </w:pPr>
            <w:r>
              <w:rPr>
                <w:color w:val="201B17"/>
                <w:sz w:val="17"/>
                <w:szCs w:val="17"/>
              </w:rPr>
              <w:t>YES</w:t>
            </w:r>
          </w:p>
        </w:tc>
        <w:tc>
          <w:tcPr>
            <w:tcW w:w="1422" w:type="dxa"/>
            <w:shd w:val="clear" w:color="auto" w:fill="FAF7F3"/>
          </w:tcPr>
          <w:p w14:paraId="1A5A0D27" w14:textId="77777777" w:rsidR="00ED7E9C" w:rsidRDefault="00EC439E" w:rsidP="00087194">
            <w:pPr>
              <w:jc w:val="both"/>
              <w:rPr>
                <w:color w:val="201B17"/>
                <w:sz w:val="17"/>
                <w:szCs w:val="17"/>
              </w:rPr>
            </w:pPr>
            <w:r>
              <w:rPr>
                <w:color w:val="201B17"/>
                <w:sz w:val="17"/>
                <w:szCs w:val="17"/>
              </w:rPr>
              <w:t>Stationary</w:t>
            </w:r>
          </w:p>
        </w:tc>
      </w:tr>
      <w:tr w:rsidR="00ED7E9C" w14:paraId="0E83B888" w14:textId="77777777" w:rsidTr="0036615C">
        <w:trPr>
          <w:trHeight w:val="294"/>
        </w:trPr>
        <w:tc>
          <w:tcPr>
            <w:tcW w:w="2260" w:type="dxa"/>
            <w:shd w:val="clear" w:color="auto" w:fill="FFFFFF"/>
          </w:tcPr>
          <w:p w14:paraId="13B9BE1F" w14:textId="77777777" w:rsidR="00ED7E9C" w:rsidRDefault="00ED7E9C" w:rsidP="00087194">
            <w:pPr>
              <w:jc w:val="both"/>
            </w:pPr>
            <w:r>
              <w:rPr>
                <w:color w:val="201B17"/>
                <w:sz w:val="17"/>
                <w:szCs w:val="17"/>
              </w:rPr>
              <w:t>GDP Growth</w:t>
            </w:r>
          </w:p>
        </w:tc>
        <w:tc>
          <w:tcPr>
            <w:tcW w:w="1696" w:type="dxa"/>
            <w:shd w:val="clear" w:color="auto" w:fill="FFFFFF"/>
          </w:tcPr>
          <w:p w14:paraId="57BF651B" w14:textId="77777777" w:rsidR="00ED7E9C" w:rsidRDefault="00ED7E9C" w:rsidP="00087194">
            <w:pPr>
              <w:jc w:val="both"/>
            </w:pPr>
            <w:r>
              <w:rPr>
                <w:color w:val="201B17"/>
                <w:sz w:val="17"/>
                <w:szCs w:val="17"/>
              </w:rPr>
              <w:t>-13.5</w:t>
            </w:r>
          </w:p>
        </w:tc>
        <w:tc>
          <w:tcPr>
            <w:tcW w:w="1461" w:type="dxa"/>
            <w:shd w:val="clear" w:color="auto" w:fill="FFFFFF"/>
          </w:tcPr>
          <w:p w14:paraId="64969F56" w14:textId="77777777" w:rsidR="00ED7E9C" w:rsidRDefault="00ED7E9C" w:rsidP="00087194">
            <w:pPr>
              <w:jc w:val="both"/>
            </w:pPr>
            <w:r>
              <w:rPr>
                <w:color w:val="201B17"/>
                <w:sz w:val="17"/>
                <w:szCs w:val="17"/>
              </w:rPr>
              <w:t>0.000</w:t>
            </w:r>
          </w:p>
        </w:tc>
        <w:tc>
          <w:tcPr>
            <w:tcW w:w="1455" w:type="dxa"/>
            <w:shd w:val="clear" w:color="auto" w:fill="FFFFFF"/>
          </w:tcPr>
          <w:p w14:paraId="016BA0FB" w14:textId="77777777" w:rsidR="00ED7E9C" w:rsidRDefault="00ED7E9C" w:rsidP="00087194">
            <w:pPr>
              <w:jc w:val="both"/>
            </w:pPr>
            <w:r>
              <w:rPr>
                <w:color w:val="201B17"/>
                <w:sz w:val="17"/>
                <w:szCs w:val="17"/>
              </w:rPr>
              <w:t>-3.01</w:t>
            </w:r>
          </w:p>
        </w:tc>
        <w:tc>
          <w:tcPr>
            <w:tcW w:w="1515" w:type="dxa"/>
            <w:shd w:val="clear" w:color="auto" w:fill="FFFFFF"/>
          </w:tcPr>
          <w:p w14:paraId="190B5E88" w14:textId="77777777" w:rsidR="00ED7E9C" w:rsidRDefault="00ED7E9C" w:rsidP="00087194">
            <w:pPr>
              <w:jc w:val="both"/>
              <w:rPr>
                <w:color w:val="201B17"/>
                <w:sz w:val="17"/>
                <w:szCs w:val="17"/>
              </w:rPr>
            </w:pPr>
            <w:r>
              <w:rPr>
                <w:color w:val="201B17"/>
                <w:sz w:val="17"/>
                <w:szCs w:val="17"/>
              </w:rPr>
              <w:t>YES</w:t>
            </w:r>
          </w:p>
        </w:tc>
        <w:tc>
          <w:tcPr>
            <w:tcW w:w="1422" w:type="dxa"/>
            <w:shd w:val="clear" w:color="auto" w:fill="FFFFFF"/>
          </w:tcPr>
          <w:p w14:paraId="6436345D" w14:textId="77777777" w:rsidR="00ED7E9C" w:rsidRDefault="00EC439E" w:rsidP="00087194">
            <w:pPr>
              <w:jc w:val="both"/>
              <w:rPr>
                <w:color w:val="201B17"/>
                <w:sz w:val="17"/>
                <w:szCs w:val="17"/>
              </w:rPr>
            </w:pPr>
            <w:r>
              <w:rPr>
                <w:color w:val="201B17"/>
                <w:sz w:val="17"/>
                <w:szCs w:val="17"/>
              </w:rPr>
              <w:t>Stationary</w:t>
            </w:r>
          </w:p>
        </w:tc>
      </w:tr>
      <w:tr w:rsidR="00ED7E9C" w14:paraId="4AE8AB29" w14:textId="77777777" w:rsidTr="0036615C">
        <w:trPr>
          <w:trHeight w:val="294"/>
        </w:trPr>
        <w:tc>
          <w:tcPr>
            <w:tcW w:w="2260" w:type="dxa"/>
            <w:shd w:val="clear" w:color="auto" w:fill="FAF7F3"/>
          </w:tcPr>
          <w:p w14:paraId="6E4AE204" w14:textId="77777777" w:rsidR="00ED7E9C" w:rsidRDefault="00ED7E9C" w:rsidP="00087194">
            <w:pPr>
              <w:jc w:val="both"/>
            </w:pPr>
            <w:r>
              <w:rPr>
                <w:color w:val="201B17"/>
                <w:sz w:val="17"/>
                <w:szCs w:val="17"/>
              </w:rPr>
              <w:t>Money Growth</w:t>
            </w:r>
          </w:p>
        </w:tc>
        <w:tc>
          <w:tcPr>
            <w:tcW w:w="1696" w:type="dxa"/>
            <w:shd w:val="clear" w:color="auto" w:fill="FAF7F3"/>
          </w:tcPr>
          <w:p w14:paraId="49CD9E86" w14:textId="77777777" w:rsidR="00ED7E9C" w:rsidRDefault="00ED7E9C" w:rsidP="00087194">
            <w:pPr>
              <w:jc w:val="both"/>
            </w:pPr>
            <w:r>
              <w:rPr>
                <w:color w:val="201B17"/>
                <w:sz w:val="17"/>
                <w:szCs w:val="17"/>
              </w:rPr>
              <w:t>-48.2</w:t>
            </w:r>
          </w:p>
        </w:tc>
        <w:tc>
          <w:tcPr>
            <w:tcW w:w="1461" w:type="dxa"/>
            <w:shd w:val="clear" w:color="auto" w:fill="FAF7F3"/>
          </w:tcPr>
          <w:p w14:paraId="70476A3F" w14:textId="77777777" w:rsidR="00ED7E9C" w:rsidRDefault="00ED7E9C" w:rsidP="00087194">
            <w:pPr>
              <w:jc w:val="both"/>
            </w:pPr>
            <w:r>
              <w:rPr>
                <w:color w:val="201B17"/>
                <w:sz w:val="17"/>
                <w:szCs w:val="17"/>
              </w:rPr>
              <w:t>0.000</w:t>
            </w:r>
          </w:p>
        </w:tc>
        <w:tc>
          <w:tcPr>
            <w:tcW w:w="1455" w:type="dxa"/>
            <w:shd w:val="clear" w:color="auto" w:fill="FAF7F3"/>
          </w:tcPr>
          <w:p w14:paraId="7EC3DE7B" w14:textId="77777777" w:rsidR="00ED7E9C" w:rsidRDefault="00ED7E9C" w:rsidP="00087194">
            <w:pPr>
              <w:jc w:val="both"/>
            </w:pPr>
            <w:r>
              <w:rPr>
                <w:color w:val="201B17"/>
                <w:sz w:val="17"/>
                <w:szCs w:val="17"/>
              </w:rPr>
              <w:t>-5.73</w:t>
            </w:r>
          </w:p>
        </w:tc>
        <w:tc>
          <w:tcPr>
            <w:tcW w:w="1515" w:type="dxa"/>
            <w:shd w:val="clear" w:color="auto" w:fill="FAF7F3"/>
          </w:tcPr>
          <w:p w14:paraId="3B3B0E98" w14:textId="77777777" w:rsidR="00ED7E9C" w:rsidRDefault="00ED7E9C" w:rsidP="00087194">
            <w:pPr>
              <w:jc w:val="both"/>
              <w:rPr>
                <w:color w:val="201B17"/>
                <w:sz w:val="17"/>
                <w:szCs w:val="17"/>
              </w:rPr>
            </w:pPr>
            <w:r>
              <w:rPr>
                <w:color w:val="201B17"/>
                <w:sz w:val="17"/>
                <w:szCs w:val="17"/>
              </w:rPr>
              <w:t>YES</w:t>
            </w:r>
          </w:p>
        </w:tc>
        <w:tc>
          <w:tcPr>
            <w:tcW w:w="1422" w:type="dxa"/>
            <w:shd w:val="clear" w:color="auto" w:fill="FAF7F3"/>
          </w:tcPr>
          <w:p w14:paraId="63ABA513" w14:textId="77777777" w:rsidR="00ED7E9C" w:rsidRDefault="00EC439E" w:rsidP="00087194">
            <w:pPr>
              <w:jc w:val="both"/>
              <w:rPr>
                <w:color w:val="201B17"/>
                <w:sz w:val="17"/>
                <w:szCs w:val="17"/>
              </w:rPr>
            </w:pPr>
            <w:r>
              <w:rPr>
                <w:color w:val="201B17"/>
                <w:sz w:val="17"/>
                <w:szCs w:val="17"/>
              </w:rPr>
              <w:t>Stationary</w:t>
            </w:r>
          </w:p>
        </w:tc>
      </w:tr>
      <w:tr w:rsidR="00ED7E9C" w14:paraId="20E96D96" w14:textId="77777777" w:rsidTr="0036615C">
        <w:trPr>
          <w:trHeight w:val="294"/>
        </w:trPr>
        <w:tc>
          <w:tcPr>
            <w:tcW w:w="2260" w:type="dxa"/>
            <w:shd w:val="clear" w:color="auto" w:fill="FFFFFF"/>
          </w:tcPr>
          <w:p w14:paraId="5AFB14E4" w14:textId="77777777" w:rsidR="00ED7E9C" w:rsidRDefault="00ED7E9C" w:rsidP="00087194">
            <w:pPr>
              <w:jc w:val="both"/>
            </w:pPr>
            <w:r>
              <w:rPr>
                <w:color w:val="201B17"/>
                <w:sz w:val="17"/>
                <w:szCs w:val="17"/>
              </w:rPr>
              <w:t>FX Growth</w:t>
            </w:r>
          </w:p>
        </w:tc>
        <w:tc>
          <w:tcPr>
            <w:tcW w:w="1696" w:type="dxa"/>
            <w:shd w:val="clear" w:color="auto" w:fill="FFFFFF"/>
          </w:tcPr>
          <w:p w14:paraId="6D5D563A" w14:textId="77777777" w:rsidR="00ED7E9C" w:rsidRDefault="00ED7E9C" w:rsidP="00087194">
            <w:pPr>
              <w:jc w:val="both"/>
            </w:pPr>
            <w:r>
              <w:rPr>
                <w:color w:val="201B17"/>
                <w:sz w:val="17"/>
                <w:szCs w:val="17"/>
              </w:rPr>
              <w:t>-47.6</w:t>
            </w:r>
          </w:p>
        </w:tc>
        <w:tc>
          <w:tcPr>
            <w:tcW w:w="1461" w:type="dxa"/>
            <w:shd w:val="clear" w:color="auto" w:fill="FFFFFF"/>
          </w:tcPr>
          <w:p w14:paraId="30C1E263" w14:textId="77777777" w:rsidR="00ED7E9C" w:rsidRDefault="00ED7E9C" w:rsidP="00087194">
            <w:pPr>
              <w:jc w:val="both"/>
            </w:pPr>
            <w:r>
              <w:rPr>
                <w:color w:val="201B17"/>
                <w:sz w:val="17"/>
                <w:szCs w:val="17"/>
              </w:rPr>
              <w:t>0.000</w:t>
            </w:r>
          </w:p>
        </w:tc>
        <w:tc>
          <w:tcPr>
            <w:tcW w:w="1455" w:type="dxa"/>
            <w:shd w:val="clear" w:color="auto" w:fill="FFFFFF"/>
          </w:tcPr>
          <w:p w14:paraId="1916B86C" w14:textId="77777777" w:rsidR="00ED7E9C" w:rsidRDefault="00ED7E9C" w:rsidP="00087194">
            <w:pPr>
              <w:jc w:val="both"/>
            </w:pPr>
            <w:r>
              <w:rPr>
                <w:color w:val="201B17"/>
                <w:sz w:val="17"/>
                <w:szCs w:val="17"/>
              </w:rPr>
              <w:t>-5.84</w:t>
            </w:r>
          </w:p>
        </w:tc>
        <w:tc>
          <w:tcPr>
            <w:tcW w:w="1515" w:type="dxa"/>
            <w:shd w:val="clear" w:color="auto" w:fill="FFFFFF"/>
          </w:tcPr>
          <w:p w14:paraId="17ADD384" w14:textId="77777777" w:rsidR="00ED7E9C" w:rsidRDefault="00ED7E9C" w:rsidP="00087194">
            <w:pPr>
              <w:jc w:val="both"/>
              <w:rPr>
                <w:color w:val="201B17"/>
                <w:sz w:val="17"/>
                <w:szCs w:val="17"/>
              </w:rPr>
            </w:pPr>
            <w:r>
              <w:rPr>
                <w:color w:val="201B17"/>
                <w:sz w:val="17"/>
                <w:szCs w:val="17"/>
              </w:rPr>
              <w:t>YES</w:t>
            </w:r>
          </w:p>
        </w:tc>
        <w:tc>
          <w:tcPr>
            <w:tcW w:w="1422" w:type="dxa"/>
            <w:shd w:val="clear" w:color="auto" w:fill="FFFFFF"/>
          </w:tcPr>
          <w:p w14:paraId="02981EFC" w14:textId="77777777" w:rsidR="00ED7E9C" w:rsidRDefault="00EC439E" w:rsidP="00087194">
            <w:pPr>
              <w:jc w:val="both"/>
              <w:rPr>
                <w:color w:val="201B17"/>
                <w:sz w:val="17"/>
                <w:szCs w:val="17"/>
              </w:rPr>
            </w:pPr>
            <w:r>
              <w:rPr>
                <w:color w:val="201B17"/>
                <w:sz w:val="17"/>
                <w:szCs w:val="17"/>
              </w:rPr>
              <w:t>Stationary</w:t>
            </w:r>
          </w:p>
        </w:tc>
      </w:tr>
    </w:tbl>
    <w:p w14:paraId="361DC446" w14:textId="77777777" w:rsidR="003607A6" w:rsidRDefault="00EC439E" w:rsidP="00087194">
      <w:pPr>
        <w:pStyle w:val="BodyText"/>
        <w:jc w:val="both"/>
      </w:pPr>
      <w:r>
        <w:t>Tables 4 and 5 show that both tests agree, indicating that the existence of cross-sectional dependence between countries doesn’t affect the stationarity of our series.</w:t>
      </w:r>
    </w:p>
    <w:p w14:paraId="2EFF856D" w14:textId="77777777" w:rsidR="000C0D7A" w:rsidRDefault="005E465C" w:rsidP="00087194">
      <w:pPr>
        <w:pStyle w:val="NormalWeb"/>
        <w:jc w:val="both"/>
        <w:rPr>
          <w:lang w:val="en-US"/>
        </w:rPr>
      </w:pPr>
      <w:r>
        <w:rPr>
          <w:lang w:val="en-US"/>
        </w:rPr>
        <w:t>Panel VAR Result</w:t>
      </w:r>
    </w:p>
    <w:p w14:paraId="1BAE71D4" w14:textId="77777777" w:rsidR="00A15DE8" w:rsidRDefault="00A15DE8" w:rsidP="00087194">
      <w:pPr>
        <w:pStyle w:val="NormalWeb"/>
        <w:jc w:val="both"/>
        <w:rPr>
          <w:lang w:val="en-US"/>
        </w:rPr>
      </w:pPr>
      <w:r>
        <w:rPr>
          <w:lang w:val="en-US"/>
        </w:rPr>
        <w:t>Lag Selection</w:t>
      </w:r>
    </w:p>
    <w:p w14:paraId="0E519395" w14:textId="77777777" w:rsidR="005E465C" w:rsidRDefault="005E465C" w:rsidP="00087194">
      <w:pPr>
        <w:pStyle w:val="NormalWeb"/>
        <w:jc w:val="both"/>
      </w:pPr>
      <w:r>
        <w:rPr>
          <w:lang w:val="en-US"/>
        </w:rPr>
        <w:t xml:space="preserve">Before estimating the panel </w:t>
      </w:r>
      <w:r w:rsidR="00786810">
        <w:rPr>
          <w:lang w:val="en-US"/>
        </w:rPr>
        <w:t>VAR</w:t>
      </w:r>
      <w:r>
        <w:rPr>
          <w:lang w:val="en-US"/>
        </w:rPr>
        <w:t xml:space="preserve">, a common lag order was selected for the countries. We ran a separate </w:t>
      </w:r>
      <w:r w:rsidR="00786810">
        <w:rPr>
          <w:lang w:val="en-US"/>
        </w:rPr>
        <w:t>var selection for the three criteria</w:t>
      </w:r>
      <w:r w:rsidR="00786810" w:rsidRPr="00786810">
        <w:rPr>
          <w:b/>
          <w:lang w:val="en-US"/>
        </w:rPr>
        <w:t>;</w:t>
      </w:r>
      <w:r w:rsidR="00786810" w:rsidRPr="00786810">
        <w:rPr>
          <w:lang w:val="en-US"/>
        </w:rPr>
        <w:t xml:space="preserve"> </w:t>
      </w:r>
      <w:r w:rsidR="00786810" w:rsidRPr="00786810">
        <w:rPr>
          <w:rStyle w:val="Strong"/>
          <w:b w:val="0"/>
        </w:rPr>
        <w:t>Akaike Information Criterion (AIC)</w:t>
      </w:r>
      <w:r w:rsidR="00786810" w:rsidRPr="00786810">
        <w:rPr>
          <w:b/>
        </w:rPr>
        <w:t xml:space="preserve">, </w:t>
      </w:r>
      <w:r w:rsidR="00786810" w:rsidRPr="00786810">
        <w:rPr>
          <w:rStyle w:val="Strong"/>
          <w:b w:val="0"/>
        </w:rPr>
        <w:t>Hannan–Quinn Criterion (HQ)</w:t>
      </w:r>
      <w:r w:rsidR="00786810" w:rsidRPr="00786810">
        <w:rPr>
          <w:b/>
        </w:rPr>
        <w:t>,</w:t>
      </w:r>
      <w:r w:rsidR="00786810">
        <w:rPr>
          <w:b/>
          <w:lang w:val="en-US"/>
        </w:rPr>
        <w:t xml:space="preserve"> </w:t>
      </w:r>
      <w:r w:rsidR="00786810">
        <w:rPr>
          <w:lang w:val="en-US"/>
        </w:rPr>
        <w:t xml:space="preserve">and </w:t>
      </w:r>
      <w:r w:rsidR="00786810" w:rsidRPr="00786810">
        <w:rPr>
          <w:rStyle w:val="Strong"/>
          <w:b w:val="0"/>
        </w:rPr>
        <w:t>Schwarz Criterion / Bayesian Information Criterion (SC/BIC)</w:t>
      </w:r>
      <w:r w:rsidR="00786810">
        <w:rPr>
          <w:rStyle w:val="Strong"/>
          <w:b w:val="0"/>
          <w:lang w:val="en-US"/>
        </w:rPr>
        <w:t xml:space="preserve">. </w:t>
      </w:r>
      <w:r w:rsidR="00786810">
        <w:t xml:space="preserve">SC/BIC showed the strongest, most consistent agreement across countries, recommending lag </w:t>
      </w:r>
      <w:r w:rsidR="00A15DE8">
        <w:t xml:space="preserve">2 </w:t>
      </w:r>
      <w:r w:rsidR="00A15DE8">
        <w:rPr>
          <w:lang w:val="en-US"/>
        </w:rPr>
        <w:t>for</w:t>
      </w:r>
      <w:r w:rsidR="00786810">
        <w:rPr>
          <w:lang w:val="en-US"/>
        </w:rPr>
        <w:t xml:space="preserve"> </w:t>
      </w:r>
      <w:r w:rsidR="00786810">
        <w:t>83</w:t>
      </w:r>
      <w:r w:rsidR="00786810">
        <w:rPr>
          <w:lang w:val="en-US"/>
        </w:rPr>
        <w:t>% of the countries</w:t>
      </w:r>
      <w:r w:rsidR="00786810">
        <w:t xml:space="preserve">. </w:t>
      </w:r>
    </w:p>
    <w:p w14:paraId="6A976C21" w14:textId="77777777" w:rsidR="004515F3" w:rsidRDefault="003607A6" w:rsidP="00087194">
      <w:pPr>
        <w:pStyle w:val="BodyText"/>
        <w:jc w:val="both"/>
      </w:pPr>
      <w:r>
        <w:rPr>
          <w:b/>
          <w:bCs/>
        </w:rPr>
        <w:t>Table 6: Lag Selection Criteria (AIC, HQ, SC/BIC)</w:t>
      </w: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145"/>
      </w:tblGrid>
      <w:tr w:rsidR="00A15DE8" w14:paraId="3A7625F0" w14:textId="77777777" w:rsidTr="00A15DE8">
        <w:trPr>
          <w:trHeight w:val="363"/>
        </w:trPr>
        <w:tc>
          <w:tcPr>
            <w:tcW w:w="4360" w:type="dxa"/>
            <w:shd w:val="clear" w:color="auto" w:fill="201B17"/>
          </w:tcPr>
          <w:p w14:paraId="4E1C263F" w14:textId="77777777" w:rsidR="00A15DE8" w:rsidRDefault="00A15DE8" w:rsidP="00087194">
            <w:pPr>
              <w:jc w:val="both"/>
            </w:pPr>
            <w:r>
              <w:rPr>
                <w:b/>
                <w:bCs/>
                <w:color w:val="FFFFFF"/>
                <w:sz w:val="17"/>
                <w:szCs w:val="17"/>
              </w:rPr>
              <w:t>Criterion</w:t>
            </w:r>
          </w:p>
        </w:tc>
        <w:tc>
          <w:tcPr>
            <w:tcW w:w="5145" w:type="dxa"/>
            <w:shd w:val="clear" w:color="auto" w:fill="201B17"/>
          </w:tcPr>
          <w:p w14:paraId="28F42D2F" w14:textId="77777777" w:rsidR="00A15DE8" w:rsidRDefault="00A15DE8" w:rsidP="00087194">
            <w:pPr>
              <w:jc w:val="both"/>
            </w:pPr>
            <w:r>
              <w:rPr>
                <w:b/>
                <w:bCs/>
                <w:color w:val="FFFFFF"/>
                <w:sz w:val="17"/>
                <w:szCs w:val="17"/>
              </w:rPr>
              <w:t>Modal lag</w:t>
            </w:r>
          </w:p>
        </w:tc>
      </w:tr>
      <w:tr w:rsidR="00A15DE8" w14:paraId="3B550049" w14:textId="77777777" w:rsidTr="00A15DE8">
        <w:trPr>
          <w:trHeight w:val="363"/>
        </w:trPr>
        <w:tc>
          <w:tcPr>
            <w:tcW w:w="4360" w:type="dxa"/>
            <w:shd w:val="clear" w:color="auto" w:fill="FFFFFF"/>
          </w:tcPr>
          <w:p w14:paraId="619A3510" w14:textId="77777777" w:rsidR="00A15DE8" w:rsidRDefault="00A15DE8" w:rsidP="00087194">
            <w:pPr>
              <w:jc w:val="both"/>
            </w:pPr>
            <w:r>
              <w:rPr>
                <w:color w:val="201B17"/>
                <w:sz w:val="17"/>
                <w:szCs w:val="17"/>
              </w:rPr>
              <w:t>AIC</w:t>
            </w:r>
          </w:p>
        </w:tc>
        <w:tc>
          <w:tcPr>
            <w:tcW w:w="5145" w:type="dxa"/>
            <w:shd w:val="clear" w:color="auto" w:fill="FFFFFF"/>
          </w:tcPr>
          <w:p w14:paraId="73F28E96" w14:textId="77777777" w:rsidR="00A15DE8" w:rsidRDefault="00A15DE8" w:rsidP="00087194">
            <w:pPr>
              <w:jc w:val="both"/>
            </w:pPr>
            <w:r>
              <w:rPr>
                <w:color w:val="201B17"/>
                <w:sz w:val="17"/>
                <w:szCs w:val="17"/>
              </w:rPr>
              <w:t>6 (24/46, 52%)</w:t>
            </w:r>
          </w:p>
        </w:tc>
      </w:tr>
      <w:tr w:rsidR="00A15DE8" w14:paraId="3C4F02AC" w14:textId="77777777" w:rsidTr="00A15DE8">
        <w:trPr>
          <w:trHeight w:val="363"/>
        </w:trPr>
        <w:tc>
          <w:tcPr>
            <w:tcW w:w="4360" w:type="dxa"/>
            <w:shd w:val="clear" w:color="auto" w:fill="FAF7F3"/>
          </w:tcPr>
          <w:p w14:paraId="46F8CAA8" w14:textId="77777777" w:rsidR="00A15DE8" w:rsidRDefault="00A15DE8" w:rsidP="00087194">
            <w:pPr>
              <w:jc w:val="both"/>
            </w:pPr>
            <w:r>
              <w:rPr>
                <w:color w:val="201B17"/>
                <w:sz w:val="17"/>
                <w:szCs w:val="17"/>
              </w:rPr>
              <w:lastRenderedPageBreak/>
              <w:t>HQ</w:t>
            </w:r>
          </w:p>
        </w:tc>
        <w:tc>
          <w:tcPr>
            <w:tcW w:w="5145" w:type="dxa"/>
            <w:shd w:val="clear" w:color="auto" w:fill="FAF7F3"/>
          </w:tcPr>
          <w:p w14:paraId="51837C93" w14:textId="77777777" w:rsidR="00A15DE8" w:rsidRDefault="00A15DE8" w:rsidP="00087194">
            <w:pPr>
              <w:jc w:val="both"/>
            </w:pPr>
            <w:r>
              <w:rPr>
                <w:color w:val="201B17"/>
                <w:sz w:val="17"/>
                <w:szCs w:val="17"/>
              </w:rPr>
              <w:t>3 (36/46, 78%)</w:t>
            </w:r>
          </w:p>
        </w:tc>
      </w:tr>
      <w:tr w:rsidR="00A15DE8" w14:paraId="4E6BE7CD" w14:textId="77777777" w:rsidTr="00A15DE8">
        <w:trPr>
          <w:trHeight w:val="363"/>
        </w:trPr>
        <w:tc>
          <w:tcPr>
            <w:tcW w:w="4360" w:type="dxa"/>
            <w:shd w:val="clear" w:color="auto" w:fill="F6EDE3"/>
          </w:tcPr>
          <w:p w14:paraId="3E265035" w14:textId="77777777" w:rsidR="00A15DE8" w:rsidRDefault="00A15DE8" w:rsidP="00087194">
            <w:pPr>
              <w:jc w:val="both"/>
            </w:pPr>
            <w:r>
              <w:rPr>
                <w:b/>
                <w:bCs/>
                <w:color w:val="201B17"/>
                <w:sz w:val="17"/>
                <w:szCs w:val="17"/>
              </w:rPr>
              <w:t>SC / BIC</w:t>
            </w:r>
          </w:p>
        </w:tc>
        <w:tc>
          <w:tcPr>
            <w:tcW w:w="5145" w:type="dxa"/>
            <w:shd w:val="clear" w:color="auto" w:fill="F6EDE3"/>
          </w:tcPr>
          <w:p w14:paraId="5EDFE548" w14:textId="77777777" w:rsidR="00A15DE8" w:rsidRDefault="00A15DE8" w:rsidP="00087194">
            <w:pPr>
              <w:jc w:val="both"/>
            </w:pPr>
            <w:r>
              <w:rPr>
                <w:b/>
                <w:bCs/>
                <w:color w:val="201B17"/>
                <w:sz w:val="17"/>
                <w:szCs w:val="17"/>
              </w:rPr>
              <w:t>2 (38/46, 83%)</w:t>
            </w:r>
          </w:p>
        </w:tc>
      </w:tr>
    </w:tbl>
    <w:p w14:paraId="1CA88BDA" w14:textId="77777777" w:rsidR="00A15DE8" w:rsidRDefault="00A15DE8" w:rsidP="00087194">
      <w:pPr>
        <w:pStyle w:val="NormalWeb"/>
        <w:jc w:val="both"/>
        <w:rPr>
          <w:b/>
          <w:lang w:val="en-US"/>
        </w:rPr>
      </w:pPr>
      <w:r>
        <w:rPr>
          <w:b/>
          <w:lang w:val="en-US"/>
        </w:rPr>
        <w:t>Mean group Panel Result</w:t>
      </w:r>
    </w:p>
    <w:p w14:paraId="0909DEA6" w14:textId="77777777" w:rsidR="005E465C" w:rsidRDefault="00737781" w:rsidP="00087194">
      <w:pPr>
        <w:pStyle w:val="NormalWeb"/>
        <w:jc w:val="both"/>
        <w:rPr>
          <w:lang w:val="en-US"/>
        </w:rPr>
      </w:pPr>
      <w:r>
        <w:t xml:space="preserve">We selected the Mean Group Panel VAR approach to account for the uniqueness of context across African countries. </w:t>
      </w:r>
      <w:proofErr w:type="spellStart"/>
      <w:r>
        <w:t>Pesaran</w:t>
      </w:r>
      <w:proofErr w:type="spellEnd"/>
      <w:r>
        <w:t xml:space="preserve"> et al. (1995) proposed that forcing a single coefficient on heterogeneous contexts results in biased conclusions. The Mean Group approach runs the regression separately for each country, allowing the coefficient to vary by the uniqueness of each country, then averages the resulting coefficients. African economies exhibit substantial heterogeneity in inflation experience. In the present sample, headline inflation ranges from 1.15% in Benin to 95.71% in South Sudan; there are countries like South Africa with 4.8% and Angola with 21.8%. </w:t>
      </w:r>
      <w:r>
        <w:rPr>
          <w:lang w:val="en-US"/>
        </w:rPr>
        <w:t>Also,</w:t>
      </w:r>
      <w:r>
        <w:t xml:space="preserve"> media coverage, which </w:t>
      </w:r>
      <w:r>
        <w:rPr>
          <w:lang w:val="en-US"/>
        </w:rPr>
        <w:t>forms the</w:t>
      </w:r>
      <w:r>
        <w:t xml:space="preserve"> base for the AIRI, varies across countries. Nguyen et al. (2015)</w:t>
      </w:r>
      <w:r>
        <w:rPr>
          <w:lang w:val="en-US"/>
        </w:rPr>
        <w:t xml:space="preserve"> </w:t>
      </w:r>
      <w:r>
        <w:t>show</w:t>
      </w:r>
      <w:r>
        <w:rPr>
          <w:lang w:val="en-US"/>
        </w:rPr>
        <w:t>s</w:t>
      </w:r>
      <w:r>
        <w:t xml:space="preserve"> that country-specific characteristics,</w:t>
      </w:r>
      <w:r>
        <w:rPr>
          <w:lang w:val="en-US"/>
        </w:rPr>
        <w:t xml:space="preserve"> such as </w:t>
      </w:r>
      <w:r>
        <w:t>oil and food import dependence, exposure to weather shocks, importance of agriculture, and others shape how inflationary shocks transmit within a given African economy</w:t>
      </w:r>
      <w:r>
        <w:rPr>
          <w:lang w:val="en-US"/>
        </w:rPr>
        <w:t>. Hence, a justification for the approach. The result is as follows.</w:t>
      </w:r>
    </w:p>
    <w:p w14:paraId="5AAF3F79" w14:textId="77777777" w:rsidR="00D3330E" w:rsidRPr="00737781" w:rsidRDefault="00D3330E" w:rsidP="00087194">
      <w:pPr>
        <w:pStyle w:val="NormalWeb"/>
        <w:jc w:val="both"/>
        <w:rPr>
          <w:lang w:val="en-US"/>
        </w:rPr>
      </w:pPr>
    </w:p>
    <w:p w14:paraId="1022F581" w14:textId="77777777" w:rsidR="004515F3" w:rsidRDefault="003607A6" w:rsidP="00087194">
      <w:pPr>
        <w:pStyle w:val="BodyText"/>
        <w:jc w:val="both"/>
      </w:pPr>
      <w:r>
        <w:rPr>
          <w:b/>
          <w:bCs/>
        </w:rPr>
        <w:t>Table 7: Mean Group Panel VAR Results — Inflation Equation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6"/>
        <w:gridCol w:w="2945"/>
        <w:gridCol w:w="2945"/>
      </w:tblGrid>
      <w:tr w:rsidR="004E1AB0" w14:paraId="0C4F3021" w14:textId="77777777" w:rsidTr="004E1AB0">
        <w:trPr>
          <w:trHeight w:val="332"/>
        </w:trPr>
        <w:tc>
          <w:tcPr>
            <w:tcW w:w="3886" w:type="dxa"/>
            <w:shd w:val="clear" w:color="auto" w:fill="201B17"/>
          </w:tcPr>
          <w:p w14:paraId="28310299" w14:textId="77777777" w:rsidR="004E1AB0" w:rsidRDefault="004E1AB0" w:rsidP="00087194">
            <w:pPr>
              <w:jc w:val="both"/>
            </w:pPr>
            <w:r>
              <w:rPr>
                <w:b/>
                <w:bCs/>
                <w:color w:val="FFFFFF"/>
                <w:sz w:val="17"/>
                <w:szCs w:val="17"/>
              </w:rPr>
              <w:t>Predictor</w:t>
            </w:r>
          </w:p>
        </w:tc>
        <w:tc>
          <w:tcPr>
            <w:tcW w:w="2945" w:type="dxa"/>
            <w:shd w:val="clear" w:color="auto" w:fill="201B17"/>
          </w:tcPr>
          <w:p w14:paraId="7B3D6BEA" w14:textId="77777777" w:rsidR="004E1AB0" w:rsidRDefault="004E1AB0" w:rsidP="00087194">
            <w:pPr>
              <w:jc w:val="both"/>
            </w:pPr>
            <w:r>
              <w:rPr>
                <w:b/>
                <w:bCs/>
                <w:color w:val="FFFFFF"/>
                <w:sz w:val="17"/>
                <w:szCs w:val="17"/>
              </w:rPr>
              <w:t>Estimate</w:t>
            </w:r>
          </w:p>
        </w:tc>
        <w:tc>
          <w:tcPr>
            <w:tcW w:w="2945" w:type="dxa"/>
            <w:shd w:val="clear" w:color="auto" w:fill="201B17"/>
          </w:tcPr>
          <w:p w14:paraId="7E61E305" w14:textId="77777777" w:rsidR="004E1AB0" w:rsidRDefault="004E1AB0" w:rsidP="00087194">
            <w:pPr>
              <w:jc w:val="both"/>
            </w:pPr>
            <w:r>
              <w:rPr>
                <w:b/>
                <w:bCs/>
                <w:color w:val="FFFFFF"/>
                <w:sz w:val="17"/>
                <w:szCs w:val="17"/>
              </w:rPr>
              <w:t>P value</w:t>
            </w:r>
          </w:p>
        </w:tc>
      </w:tr>
      <w:tr w:rsidR="004E1AB0" w14:paraId="08C2270A" w14:textId="77777777" w:rsidTr="004E1AB0">
        <w:trPr>
          <w:trHeight w:val="332"/>
        </w:trPr>
        <w:tc>
          <w:tcPr>
            <w:tcW w:w="3886" w:type="dxa"/>
            <w:shd w:val="clear" w:color="auto" w:fill="FFFFFF"/>
          </w:tcPr>
          <w:p w14:paraId="54F61876" w14:textId="77777777" w:rsidR="004E1AB0" w:rsidRDefault="004E1AB0" w:rsidP="00087194">
            <w:pPr>
              <w:jc w:val="both"/>
            </w:pPr>
            <w:r>
              <w:rPr>
                <w:color w:val="201B17"/>
                <w:sz w:val="17"/>
                <w:szCs w:val="17"/>
              </w:rPr>
              <w:t>Inflation (lag 1)</w:t>
            </w:r>
          </w:p>
        </w:tc>
        <w:tc>
          <w:tcPr>
            <w:tcW w:w="2945" w:type="dxa"/>
            <w:shd w:val="clear" w:color="auto" w:fill="FFFFFF"/>
          </w:tcPr>
          <w:p w14:paraId="001542BC" w14:textId="77777777" w:rsidR="004E1AB0" w:rsidRDefault="004E1AB0" w:rsidP="00087194">
            <w:pPr>
              <w:jc w:val="both"/>
            </w:pPr>
            <w:r>
              <w:rPr>
                <w:color w:val="201B17"/>
                <w:sz w:val="17"/>
                <w:szCs w:val="17"/>
              </w:rPr>
              <w:t>1.160</w:t>
            </w:r>
          </w:p>
        </w:tc>
        <w:tc>
          <w:tcPr>
            <w:tcW w:w="2945" w:type="dxa"/>
            <w:shd w:val="clear" w:color="auto" w:fill="FFFFFF"/>
          </w:tcPr>
          <w:p w14:paraId="4AADCDEF" w14:textId="77777777" w:rsidR="004E1AB0" w:rsidRDefault="004E1AB0" w:rsidP="00087194">
            <w:pPr>
              <w:jc w:val="both"/>
            </w:pPr>
            <w:r>
              <w:rPr>
                <w:color w:val="201B17"/>
                <w:sz w:val="17"/>
                <w:szCs w:val="17"/>
              </w:rPr>
              <w:t>0.000</w:t>
            </w:r>
          </w:p>
        </w:tc>
      </w:tr>
      <w:tr w:rsidR="004E1AB0" w14:paraId="1FF3B2FF" w14:textId="77777777" w:rsidTr="004E1AB0">
        <w:trPr>
          <w:trHeight w:val="332"/>
        </w:trPr>
        <w:tc>
          <w:tcPr>
            <w:tcW w:w="3886" w:type="dxa"/>
            <w:shd w:val="clear" w:color="auto" w:fill="FAF7F3"/>
          </w:tcPr>
          <w:p w14:paraId="1B606A40" w14:textId="77777777" w:rsidR="004E1AB0" w:rsidRDefault="004E1AB0" w:rsidP="00087194">
            <w:pPr>
              <w:jc w:val="both"/>
            </w:pPr>
            <w:r>
              <w:rPr>
                <w:color w:val="201B17"/>
                <w:sz w:val="17"/>
                <w:szCs w:val="17"/>
              </w:rPr>
              <w:t>Inflation (lag 2)</w:t>
            </w:r>
          </w:p>
        </w:tc>
        <w:tc>
          <w:tcPr>
            <w:tcW w:w="2945" w:type="dxa"/>
            <w:shd w:val="clear" w:color="auto" w:fill="FAF7F3"/>
          </w:tcPr>
          <w:p w14:paraId="5CD8D4E4" w14:textId="77777777" w:rsidR="004E1AB0" w:rsidRDefault="004E1AB0" w:rsidP="00087194">
            <w:pPr>
              <w:jc w:val="both"/>
            </w:pPr>
            <w:r>
              <w:rPr>
                <w:color w:val="201B17"/>
                <w:sz w:val="17"/>
                <w:szCs w:val="17"/>
              </w:rPr>
              <w:t>-0.231</w:t>
            </w:r>
          </w:p>
        </w:tc>
        <w:tc>
          <w:tcPr>
            <w:tcW w:w="2945" w:type="dxa"/>
            <w:shd w:val="clear" w:color="auto" w:fill="FAF7F3"/>
          </w:tcPr>
          <w:p w14:paraId="056C1F26" w14:textId="77777777" w:rsidR="004E1AB0" w:rsidRDefault="004E1AB0" w:rsidP="00087194">
            <w:pPr>
              <w:jc w:val="both"/>
            </w:pPr>
            <w:r>
              <w:rPr>
                <w:color w:val="201B17"/>
                <w:sz w:val="17"/>
                <w:szCs w:val="17"/>
              </w:rPr>
              <w:t>0.000</w:t>
            </w:r>
          </w:p>
        </w:tc>
      </w:tr>
      <w:tr w:rsidR="004E1AB0" w14:paraId="5FCDF73E" w14:textId="77777777" w:rsidTr="004E1AB0">
        <w:trPr>
          <w:trHeight w:val="332"/>
        </w:trPr>
        <w:tc>
          <w:tcPr>
            <w:tcW w:w="3886" w:type="dxa"/>
            <w:shd w:val="clear" w:color="auto" w:fill="FFFFFF"/>
          </w:tcPr>
          <w:p w14:paraId="6326B155" w14:textId="77777777" w:rsidR="004E1AB0" w:rsidRDefault="004E1AB0" w:rsidP="00087194">
            <w:pPr>
              <w:jc w:val="both"/>
            </w:pPr>
            <w:r>
              <w:rPr>
                <w:color w:val="201B17"/>
                <w:sz w:val="17"/>
                <w:szCs w:val="17"/>
              </w:rPr>
              <w:t>Intercept</w:t>
            </w:r>
          </w:p>
        </w:tc>
        <w:tc>
          <w:tcPr>
            <w:tcW w:w="2945" w:type="dxa"/>
            <w:shd w:val="clear" w:color="auto" w:fill="FFFFFF"/>
          </w:tcPr>
          <w:p w14:paraId="5E6DFBC5" w14:textId="77777777" w:rsidR="004E1AB0" w:rsidRDefault="004E1AB0" w:rsidP="00087194">
            <w:pPr>
              <w:jc w:val="both"/>
            </w:pPr>
            <w:r>
              <w:rPr>
                <w:color w:val="201B17"/>
                <w:sz w:val="17"/>
                <w:szCs w:val="17"/>
              </w:rPr>
              <w:t>0.213</w:t>
            </w:r>
          </w:p>
        </w:tc>
        <w:tc>
          <w:tcPr>
            <w:tcW w:w="2945" w:type="dxa"/>
            <w:shd w:val="clear" w:color="auto" w:fill="FFFFFF"/>
          </w:tcPr>
          <w:p w14:paraId="3C609201" w14:textId="77777777" w:rsidR="004E1AB0" w:rsidRDefault="004E1AB0" w:rsidP="00087194">
            <w:pPr>
              <w:jc w:val="both"/>
            </w:pPr>
            <w:r>
              <w:rPr>
                <w:color w:val="201B17"/>
                <w:sz w:val="17"/>
                <w:szCs w:val="17"/>
              </w:rPr>
              <w:t>0.038</w:t>
            </w:r>
          </w:p>
        </w:tc>
      </w:tr>
      <w:tr w:rsidR="004E1AB0" w14:paraId="7130B6CB" w14:textId="77777777" w:rsidTr="004E1AB0">
        <w:trPr>
          <w:trHeight w:val="332"/>
        </w:trPr>
        <w:tc>
          <w:tcPr>
            <w:tcW w:w="3886" w:type="dxa"/>
            <w:shd w:val="clear" w:color="auto" w:fill="F6EDE3"/>
          </w:tcPr>
          <w:p w14:paraId="7B92FF47" w14:textId="77777777" w:rsidR="004E1AB0" w:rsidRDefault="00E60C58" w:rsidP="00087194">
            <w:pPr>
              <w:jc w:val="both"/>
            </w:pPr>
            <w:r>
              <w:rPr>
                <w:b/>
                <w:bCs/>
                <w:color w:val="201B17"/>
                <w:sz w:val="17"/>
                <w:szCs w:val="17"/>
              </w:rPr>
              <w:t>AIRI (</w:t>
            </w:r>
            <w:r w:rsidR="004E1AB0">
              <w:rPr>
                <w:b/>
                <w:bCs/>
                <w:color w:val="201B17"/>
                <w:sz w:val="17"/>
                <w:szCs w:val="17"/>
              </w:rPr>
              <w:t>lag 1)</w:t>
            </w:r>
          </w:p>
        </w:tc>
        <w:tc>
          <w:tcPr>
            <w:tcW w:w="2945" w:type="dxa"/>
            <w:shd w:val="clear" w:color="auto" w:fill="F6EDE3"/>
          </w:tcPr>
          <w:p w14:paraId="51584D5D" w14:textId="77777777" w:rsidR="004E1AB0" w:rsidRDefault="004E1AB0" w:rsidP="00087194">
            <w:pPr>
              <w:jc w:val="both"/>
            </w:pPr>
            <w:r>
              <w:rPr>
                <w:b/>
                <w:bCs/>
                <w:color w:val="201B17"/>
                <w:sz w:val="17"/>
                <w:szCs w:val="17"/>
              </w:rPr>
              <w:t>0.0801</w:t>
            </w:r>
          </w:p>
        </w:tc>
        <w:tc>
          <w:tcPr>
            <w:tcW w:w="2945" w:type="dxa"/>
            <w:shd w:val="clear" w:color="auto" w:fill="F6EDE3"/>
          </w:tcPr>
          <w:p w14:paraId="439CCB51" w14:textId="77777777" w:rsidR="004E1AB0" w:rsidRDefault="004E1AB0" w:rsidP="00087194">
            <w:pPr>
              <w:jc w:val="both"/>
            </w:pPr>
            <w:r>
              <w:rPr>
                <w:b/>
                <w:bCs/>
                <w:color w:val="AD4E31"/>
                <w:sz w:val="17"/>
                <w:szCs w:val="17"/>
              </w:rPr>
              <w:t>0.040</w:t>
            </w:r>
          </w:p>
        </w:tc>
      </w:tr>
      <w:tr w:rsidR="004E1AB0" w14:paraId="39C93E0A" w14:textId="77777777" w:rsidTr="004E1AB0">
        <w:trPr>
          <w:trHeight w:val="332"/>
        </w:trPr>
        <w:tc>
          <w:tcPr>
            <w:tcW w:w="3886" w:type="dxa"/>
            <w:shd w:val="clear" w:color="auto" w:fill="FFFFFF"/>
          </w:tcPr>
          <w:p w14:paraId="74E177D0" w14:textId="77777777" w:rsidR="004E1AB0" w:rsidRDefault="004E1AB0" w:rsidP="00087194">
            <w:pPr>
              <w:jc w:val="both"/>
            </w:pPr>
            <w:r>
              <w:rPr>
                <w:color w:val="201B17"/>
                <w:sz w:val="17"/>
                <w:szCs w:val="17"/>
              </w:rPr>
              <w:t>GDP Growth (lag 1)</w:t>
            </w:r>
          </w:p>
        </w:tc>
        <w:tc>
          <w:tcPr>
            <w:tcW w:w="2945" w:type="dxa"/>
            <w:shd w:val="clear" w:color="auto" w:fill="FFFFFF"/>
          </w:tcPr>
          <w:p w14:paraId="08BE6053" w14:textId="77777777" w:rsidR="004E1AB0" w:rsidRDefault="004E1AB0" w:rsidP="00087194">
            <w:pPr>
              <w:jc w:val="both"/>
            </w:pPr>
            <w:r>
              <w:rPr>
                <w:color w:val="201B17"/>
                <w:sz w:val="17"/>
                <w:szCs w:val="17"/>
              </w:rPr>
              <w:t>-0.117</w:t>
            </w:r>
          </w:p>
        </w:tc>
        <w:tc>
          <w:tcPr>
            <w:tcW w:w="2945" w:type="dxa"/>
            <w:shd w:val="clear" w:color="auto" w:fill="FFFFFF"/>
          </w:tcPr>
          <w:p w14:paraId="0A820A13" w14:textId="77777777" w:rsidR="004E1AB0" w:rsidRDefault="004E1AB0" w:rsidP="00087194">
            <w:pPr>
              <w:jc w:val="both"/>
            </w:pPr>
            <w:r>
              <w:rPr>
                <w:color w:val="201B17"/>
                <w:sz w:val="17"/>
                <w:szCs w:val="17"/>
              </w:rPr>
              <w:t>0.048</w:t>
            </w:r>
          </w:p>
        </w:tc>
      </w:tr>
      <w:tr w:rsidR="004E1AB0" w14:paraId="3D31C6C0" w14:textId="77777777" w:rsidTr="004E1AB0">
        <w:trPr>
          <w:trHeight w:val="332"/>
        </w:trPr>
        <w:tc>
          <w:tcPr>
            <w:tcW w:w="3886" w:type="dxa"/>
            <w:shd w:val="clear" w:color="auto" w:fill="FAF7F3"/>
          </w:tcPr>
          <w:p w14:paraId="785DD5E1" w14:textId="77777777" w:rsidR="004E1AB0" w:rsidRDefault="004E1AB0" w:rsidP="00087194">
            <w:pPr>
              <w:jc w:val="both"/>
            </w:pPr>
            <w:r>
              <w:rPr>
                <w:color w:val="201B17"/>
                <w:sz w:val="17"/>
                <w:szCs w:val="17"/>
              </w:rPr>
              <w:t>Exchange Rate Growth (lag 1)</w:t>
            </w:r>
          </w:p>
        </w:tc>
        <w:tc>
          <w:tcPr>
            <w:tcW w:w="2945" w:type="dxa"/>
            <w:shd w:val="clear" w:color="auto" w:fill="FAF7F3"/>
          </w:tcPr>
          <w:p w14:paraId="42E3072F" w14:textId="77777777" w:rsidR="004E1AB0" w:rsidRDefault="004E1AB0" w:rsidP="00087194">
            <w:pPr>
              <w:jc w:val="both"/>
            </w:pPr>
            <w:r>
              <w:rPr>
                <w:color w:val="201B17"/>
                <w:sz w:val="17"/>
                <w:szCs w:val="17"/>
              </w:rPr>
              <w:t>0.0357</w:t>
            </w:r>
          </w:p>
        </w:tc>
        <w:tc>
          <w:tcPr>
            <w:tcW w:w="2945" w:type="dxa"/>
            <w:shd w:val="clear" w:color="auto" w:fill="FAF7F3"/>
          </w:tcPr>
          <w:p w14:paraId="1A976606" w14:textId="77777777" w:rsidR="004E1AB0" w:rsidRDefault="004E1AB0" w:rsidP="00087194">
            <w:pPr>
              <w:jc w:val="both"/>
            </w:pPr>
            <w:r>
              <w:rPr>
                <w:color w:val="201B17"/>
                <w:sz w:val="17"/>
                <w:szCs w:val="17"/>
              </w:rPr>
              <w:t>0.058</w:t>
            </w:r>
          </w:p>
        </w:tc>
      </w:tr>
      <w:tr w:rsidR="004E1AB0" w14:paraId="580FE8FC" w14:textId="77777777" w:rsidTr="004E1AB0">
        <w:trPr>
          <w:trHeight w:val="332"/>
        </w:trPr>
        <w:tc>
          <w:tcPr>
            <w:tcW w:w="3886" w:type="dxa"/>
            <w:shd w:val="clear" w:color="auto" w:fill="FFFFFF"/>
          </w:tcPr>
          <w:p w14:paraId="39A29409" w14:textId="77777777" w:rsidR="004E1AB0" w:rsidRDefault="004E1AB0" w:rsidP="00087194">
            <w:pPr>
              <w:jc w:val="both"/>
            </w:pPr>
            <w:r>
              <w:rPr>
                <w:color w:val="201B17"/>
                <w:sz w:val="17"/>
                <w:szCs w:val="17"/>
              </w:rPr>
              <w:t>GDP Growth (lag 2)</w:t>
            </w:r>
          </w:p>
        </w:tc>
        <w:tc>
          <w:tcPr>
            <w:tcW w:w="2945" w:type="dxa"/>
            <w:shd w:val="clear" w:color="auto" w:fill="FFFFFF"/>
          </w:tcPr>
          <w:p w14:paraId="2D15E068" w14:textId="77777777" w:rsidR="004E1AB0" w:rsidRDefault="004E1AB0" w:rsidP="00087194">
            <w:pPr>
              <w:jc w:val="both"/>
            </w:pPr>
            <w:r>
              <w:rPr>
                <w:color w:val="201B17"/>
                <w:sz w:val="17"/>
                <w:szCs w:val="17"/>
              </w:rPr>
              <w:t>0.0889</w:t>
            </w:r>
          </w:p>
        </w:tc>
        <w:tc>
          <w:tcPr>
            <w:tcW w:w="2945" w:type="dxa"/>
            <w:shd w:val="clear" w:color="auto" w:fill="FFFFFF"/>
          </w:tcPr>
          <w:p w14:paraId="3B4EC608" w14:textId="77777777" w:rsidR="004E1AB0" w:rsidRDefault="004E1AB0" w:rsidP="00087194">
            <w:pPr>
              <w:jc w:val="both"/>
            </w:pPr>
            <w:r>
              <w:rPr>
                <w:color w:val="201B17"/>
                <w:sz w:val="17"/>
                <w:szCs w:val="17"/>
              </w:rPr>
              <w:t>0.086</w:t>
            </w:r>
          </w:p>
        </w:tc>
      </w:tr>
      <w:tr w:rsidR="004E1AB0" w14:paraId="6FBB7B40" w14:textId="77777777" w:rsidTr="004E1AB0">
        <w:trPr>
          <w:trHeight w:val="332"/>
        </w:trPr>
        <w:tc>
          <w:tcPr>
            <w:tcW w:w="3886" w:type="dxa"/>
            <w:shd w:val="clear" w:color="auto" w:fill="FAF7F3"/>
          </w:tcPr>
          <w:p w14:paraId="756A01B5" w14:textId="77777777" w:rsidR="004E1AB0" w:rsidRDefault="004E1AB0" w:rsidP="00087194">
            <w:pPr>
              <w:jc w:val="both"/>
            </w:pPr>
            <w:r>
              <w:rPr>
                <w:color w:val="201B17"/>
                <w:sz w:val="17"/>
                <w:szCs w:val="17"/>
              </w:rPr>
              <w:t>Exchange Rate Growth (lag 2)</w:t>
            </w:r>
          </w:p>
        </w:tc>
        <w:tc>
          <w:tcPr>
            <w:tcW w:w="2945" w:type="dxa"/>
            <w:shd w:val="clear" w:color="auto" w:fill="FAF7F3"/>
          </w:tcPr>
          <w:p w14:paraId="7ED067BF" w14:textId="77777777" w:rsidR="004E1AB0" w:rsidRDefault="004E1AB0" w:rsidP="00087194">
            <w:pPr>
              <w:jc w:val="both"/>
            </w:pPr>
            <w:r>
              <w:rPr>
                <w:color w:val="201B17"/>
                <w:sz w:val="17"/>
                <w:szCs w:val="17"/>
              </w:rPr>
              <w:t>0.0198</w:t>
            </w:r>
          </w:p>
        </w:tc>
        <w:tc>
          <w:tcPr>
            <w:tcW w:w="2945" w:type="dxa"/>
            <w:shd w:val="clear" w:color="auto" w:fill="FAF7F3"/>
          </w:tcPr>
          <w:p w14:paraId="1C291947" w14:textId="77777777" w:rsidR="004E1AB0" w:rsidRDefault="004E1AB0" w:rsidP="00087194">
            <w:pPr>
              <w:jc w:val="both"/>
            </w:pPr>
            <w:r>
              <w:rPr>
                <w:color w:val="201B17"/>
                <w:sz w:val="17"/>
                <w:szCs w:val="17"/>
              </w:rPr>
              <w:t>0.171</w:t>
            </w:r>
          </w:p>
        </w:tc>
      </w:tr>
      <w:tr w:rsidR="004E1AB0" w14:paraId="6E3C8B9C" w14:textId="77777777" w:rsidTr="004E1AB0">
        <w:trPr>
          <w:trHeight w:val="332"/>
        </w:trPr>
        <w:tc>
          <w:tcPr>
            <w:tcW w:w="3886" w:type="dxa"/>
            <w:shd w:val="clear" w:color="auto" w:fill="FFFFFF"/>
          </w:tcPr>
          <w:p w14:paraId="06744AE0" w14:textId="77777777" w:rsidR="004E1AB0" w:rsidRDefault="004E1AB0" w:rsidP="00087194">
            <w:pPr>
              <w:jc w:val="both"/>
            </w:pPr>
            <w:r>
              <w:rPr>
                <w:color w:val="201B17"/>
                <w:sz w:val="17"/>
                <w:szCs w:val="17"/>
              </w:rPr>
              <w:t>Money Growth (lag 1)</w:t>
            </w:r>
          </w:p>
        </w:tc>
        <w:tc>
          <w:tcPr>
            <w:tcW w:w="2945" w:type="dxa"/>
            <w:shd w:val="clear" w:color="auto" w:fill="FFFFFF"/>
          </w:tcPr>
          <w:p w14:paraId="36693A55" w14:textId="77777777" w:rsidR="004E1AB0" w:rsidRDefault="004E1AB0" w:rsidP="00087194">
            <w:pPr>
              <w:jc w:val="both"/>
            </w:pPr>
            <w:r>
              <w:rPr>
                <w:color w:val="201B17"/>
                <w:sz w:val="17"/>
                <w:szCs w:val="17"/>
              </w:rPr>
              <w:t>-0.00845</w:t>
            </w:r>
          </w:p>
        </w:tc>
        <w:tc>
          <w:tcPr>
            <w:tcW w:w="2945" w:type="dxa"/>
            <w:shd w:val="clear" w:color="auto" w:fill="FFFFFF"/>
          </w:tcPr>
          <w:p w14:paraId="7DEFA93D" w14:textId="77777777" w:rsidR="004E1AB0" w:rsidRDefault="004E1AB0" w:rsidP="00087194">
            <w:pPr>
              <w:jc w:val="both"/>
            </w:pPr>
            <w:r>
              <w:rPr>
                <w:color w:val="201B17"/>
                <w:sz w:val="17"/>
                <w:szCs w:val="17"/>
              </w:rPr>
              <w:t>0.496</w:t>
            </w:r>
          </w:p>
        </w:tc>
      </w:tr>
      <w:tr w:rsidR="004E1AB0" w14:paraId="4590D5C9" w14:textId="77777777" w:rsidTr="004E1AB0">
        <w:trPr>
          <w:trHeight w:val="323"/>
        </w:trPr>
        <w:tc>
          <w:tcPr>
            <w:tcW w:w="3886" w:type="dxa"/>
            <w:shd w:val="clear" w:color="auto" w:fill="FAF7F3"/>
          </w:tcPr>
          <w:p w14:paraId="23C4C2A7" w14:textId="77777777" w:rsidR="004E1AB0" w:rsidRDefault="004E1AB0" w:rsidP="00087194">
            <w:pPr>
              <w:jc w:val="both"/>
            </w:pPr>
            <w:r>
              <w:rPr>
                <w:color w:val="201B17"/>
                <w:sz w:val="17"/>
                <w:szCs w:val="17"/>
              </w:rPr>
              <w:t>AIRI Inflation Pillar (lag 2)</w:t>
            </w:r>
          </w:p>
        </w:tc>
        <w:tc>
          <w:tcPr>
            <w:tcW w:w="2945" w:type="dxa"/>
            <w:shd w:val="clear" w:color="auto" w:fill="FAF7F3"/>
          </w:tcPr>
          <w:p w14:paraId="4E6C588F" w14:textId="77777777" w:rsidR="004E1AB0" w:rsidRDefault="004E1AB0" w:rsidP="00087194">
            <w:pPr>
              <w:jc w:val="both"/>
            </w:pPr>
            <w:r>
              <w:rPr>
                <w:color w:val="201B17"/>
                <w:sz w:val="17"/>
                <w:szCs w:val="17"/>
              </w:rPr>
              <w:t>-0.00777</w:t>
            </w:r>
          </w:p>
        </w:tc>
        <w:tc>
          <w:tcPr>
            <w:tcW w:w="2945" w:type="dxa"/>
            <w:shd w:val="clear" w:color="auto" w:fill="FAF7F3"/>
          </w:tcPr>
          <w:p w14:paraId="2D8E4243" w14:textId="77777777" w:rsidR="004E1AB0" w:rsidRDefault="004E1AB0" w:rsidP="00087194">
            <w:pPr>
              <w:jc w:val="both"/>
            </w:pPr>
            <w:r>
              <w:rPr>
                <w:color w:val="201B17"/>
                <w:sz w:val="17"/>
                <w:szCs w:val="17"/>
              </w:rPr>
              <w:t>0.604</w:t>
            </w:r>
          </w:p>
        </w:tc>
      </w:tr>
      <w:tr w:rsidR="004E1AB0" w14:paraId="7B5FFAEC" w14:textId="77777777" w:rsidTr="004E1AB0">
        <w:trPr>
          <w:trHeight w:val="332"/>
        </w:trPr>
        <w:tc>
          <w:tcPr>
            <w:tcW w:w="3886" w:type="dxa"/>
            <w:shd w:val="clear" w:color="auto" w:fill="FFFFFF"/>
          </w:tcPr>
          <w:p w14:paraId="60666ADE" w14:textId="77777777" w:rsidR="004E1AB0" w:rsidRDefault="004E1AB0" w:rsidP="00087194">
            <w:pPr>
              <w:jc w:val="both"/>
            </w:pPr>
            <w:r>
              <w:rPr>
                <w:color w:val="201B17"/>
                <w:sz w:val="17"/>
                <w:szCs w:val="17"/>
              </w:rPr>
              <w:t>Money Growth (lag 2)</w:t>
            </w:r>
          </w:p>
        </w:tc>
        <w:tc>
          <w:tcPr>
            <w:tcW w:w="2945" w:type="dxa"/>
            <w:shd w:val="clear" w:color="auto" w:fill="FFFFFF"/>
          </w:tcPr>
          <w:p w14:paraId="541EA13C" w14:textId="77777777" w:rsidR="004E1AB0" w:rsidRDefault="004E1AB0" w:rsidP="00087194">
            <w:pPr>
              <w:jc w:val="both"/>
            </w:pPr>
            <w:r>
              <w:rPr>
                <w:color w:val="201B17"/>
                <w:sz w:val="17"/>
                <w:szCs w:val="17"/>
              </w:rPr>
              <w:t>-0.000392</w:t>
            </w:r>
          </w:p>
        </w:tc>
        <w:tc>
          <w:tcPr>
            <w:tcW w:w="2945" w:type="dxa"/>
            <w:shd w:val="clear" w:color="auto" w:fill="FFFFFF"/>
          </w:tcPr>
          <w:p w14:paraId="361C6BCA" w14:textId="77777777" w:rsidR="004E1AB0" w:rsidRDefault="004E1AB0" w:rsidP="00087194">
            <w:pPr>
              <w:jc w:val="both"/>
            </w:pPr>
            <w:r>
              <w:rPr>
                <w:color w:val="201B17"/>
                <w:sz w:val="17"/>
                <w:szCs w:val="17"/>
              </w:rPr>
              <w:t>0.974</w:t>
            </w:r>
          </w:p>
        </w:tc>
      </w:tr>
    </w:tbl>
    <w:p w14:paraId="2C2A2812" w14:textId="77777777" w:rsidR="002D079A" w:rsidRPr="002D079A" w:rsidRDefault="00E60C58" w:rsidP="00087194">
      <w:pPr>
        <w:pStyle w:val="NormalWeb"/>
        <w:jc w:val="both"/>
        <w:rPr>
          <w:lang w:val="en-US"/>
        </w:rPr>
      </w:pPr>
      <w:r>
        <w:rPr>
          <w:lang w:val="en-US"/>
        </w:rPr>
        <w:t xml:space="preserve">The result shows that AIRI is a leading indicator of inflation at lag one even after controlling for inflation’s persistence. A one unit increase in the AIRI is associated with 0.08 percentage point increase in next period inflation at 5% level of significance. This suggests that AIRI is a valid real time alternative to the mainstream macroeconomic variables whose reporting lag is usually large. The result aligns with the burgeoning literature that demonstrates that </w:t>
      </w:r>
      <w:proofErr w:type="gramStart"/>
      <w:r>
        <w:rPr>
          <w:lang w:val="en-US"/>
        </w:rPr>
        <w:t>news based</w:t>
      </w:r>
      <w:proofErr w:type="gramEnd"/>
      <w:r>
        <w:rPr>
          <w:lang w:val="en-US"/>
        </w:rPr>
        <w:t xml:space="preserve"> information </w:t>
      </w:r>
      <w:r>
        <w:rPr>
          <w:lang w:val="en-US"/>
        </w:rPr>
        <w:lastRenderedPageBreak/>
        <w:t>contains predictive information for macroeconomic variables as shown in Baker, Bloom, and Davis (2016) and Goshima et al. (2020)</w:t>
      </w:r>
    </w:p>
    <w:p w14:paraId="68500996" w14:textId="77777777" w:rsidR="004515F3" w:rsidRDefault="003607A6" w:rsidP="00087194">
      <w:pPr>
        <w:pStyle w:val="BodyText"/>
        <w:jc w:val="both"/>
      </w:pPr>
      <w:r>
        <w:rPr>
          <w:b/>
          <w:bCs/>
        </w:rPr>
        <w:t>Table 8: Panel Granger Causality Test Results</w:t>
      </w: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1030"/>
        <w:gridCol w:w="2038"/>
        <w:gridCol w:w="2038"/>
        <w:gridCol w:w="1534"/>
      </w:tblGrid>
      <w:tr w:rsidR="006500EB" w14:paraId="12EF9F5A" w14:textId="77777777" w:rsidTr="006500EB">
        <w:trPr>
          <w:trHeight w:val="364"/>
        </w:trPr>
        <w:tc>
          <w:tcPr>
            <w:tcW w:w="2863" w:type="dxa"/>
            <w:shd w:val="clear" w:color="auto" w:fill="201B17"/>
          </w:tcPr>
          <w:p w14:paraId="618CB188" w14:textId="77777777" w:rsidR="006500EB" w:rsidRDefault="006500EB" w:rsidP="00087194">
            <w:pPr>
              <w:jc w:val="both"/>
            </w:pPr>
            <w:r>
              <w:rPr>
                <w:b/>
                <w:bCs/>
                <w:color w:val="FFFFFF"/>
                <w:sz w:val="17"/>
                <w:szCs w:val="17"/>
              </w:rPr>
              <w:t>Sample</w:t>
            </w:r>
          </w:p>
        </w:tc>
        <w:tc>
          <w:tcPr>
            <w:tcW w:w="1030" w:type="dxa"/>
            <w:shd w:val="clear" w:color="auto" w:fill="201B17"/>
          </w:tcPr>
          <w:p w14:paraId="6D8399C7" w14:textId="77777777" w:rsidR="006500EB" w:rsidRDefault="006500EB" w:rsidP="00087194">
            <w:pPr>
              <w:jc w:val="both"/>
            </w:pPr>
            <w:r>
              <w:rPr>
                <w:b/>
                <w:bCs/>
                <w:color w:val="FFFFFF"/>
                <w:sz w:val="17"/>
                <w:szCs w:val="17"/>
              </w:rPr>
              <w:t>N</w:t>
            </w:r>
          </w:p>
        </w:tc>
        <w:tc>
          <w:tcPr>
            <w:tcW w:w="2038" w:type="dxa"/>
            <w:shd w:val="clear" w:color="auto" w:fill="201B17"/>
          </w:tcPr>
          <w:p w14:paraId="6CAF4C4B" w14:textId="77777777" w:rsidR="006500EB" w:rsidRDefault="006500EB" w:rsidP="00087194">
            <w:pPr>
              <w:jc w:val="both"/>
            </w:pPr>
            <w:r>
              <w:rPr>
                <w:b/>
                <w:bCs/>
                <w:color w:val="FFFFFF"/>
                <w:sz w:val="17"/>
                <w:szCs w:val="17"/>
              </w:rPr>
              <w:t>Z-bar</w:t>
            </w:r>
          </w:p>
        </w:tc>
        <w:tc>
          <w:tcPr>
            <w:tcW w:w="2038" w:type="dxa"/>
            <w:shd w:val="clear" w:color="auto" w:fill="201B17"/>
          </w:tcPr>
          <w:p w14:paraId="1C0ED3C2" w14:textId="77777777" w:rsidR="006500EB" w:rsidRDefault="006500EB" w:rsidP="00087194">
            <w:pPr>
              <w:jc w:val="both"/>
            </w:pPr>
            <w:r>
              <w:rPr>
                <w:b/>
                <w:bCs/>
                <w:color w:val="FFFFFF"/>
                <w:sz w:val="17"/>
                <w:szCs w:val="17"/>
              </w:rPr>
              <w:t>p-value</w:t>
            </w:r>
          </w:p>
        </w:tc>
        <w:tc>
          <w:tcPr>
            <w:tcW w:w="1534" w:type="dxa"/>
            <w:shd w:val="clear" w:color="auto" w:fill="201B17"/>
          </w:tcPr>
          <w:p w14:paraId="7FDE6C59" w14:textId="77777777" w:rsidR="006500EB" w:rsidRDefault="006500EB" w:rsidP="00087194">
            <w:pPr>
              <w:jc w:val="both"/>
            </w:pPr>
            <w:r>
              <w:rPr>
                <w:b/>
                <w:bCs/>
                <w:color w:val="FFFFFF"/>
                <w:sz w:val="17"/>
                <w:szCs w:val="17"/>
              </w:rPr>
              <w:t>Sig. (5%)?</w:t>
            </w:r>
          </w:p>
        </w:tc>
      </w:tr>
      <w:tr w:rsidR="006500EB" w14:paraId="411D87DA" w14:textId="77777777" w:rsidTr="006500EB">
        <w:trPr>
          <w:trHeight w:val="364"/>
        </w:trPr>
        <w:tc>
          <w:tcPr>
            <w:tcW w:w="2863" w:type="dxa"/>
            <w:shd w:val="clear" w:color="auto" w:fill="FAF7F3"/>
          </w:tcPr>
          <w:p w14:paraId="0DC0ED7B" w14:textId="77777777" w:rsidR="006500EB" w:rsidRDefault="006500EB" w:rsidP="00087194">
            <w:pPr>
              <w:jc w:val="both"/>
            </w:pPr>
            <w:r>
              <w:rPr>
                <w:color w:val="201B17"/>
                <w:sz w:val="17"/>
                <w:szCs w:val="17"/>
              </w:rPr>
              <w:t xml:space="preserve"> Full Panel</w:t>
            </w:r>
          </w:p>
        </w:tc>
        <w:tc>
          <w:tcPr>
            <w:tcW w:w="1030" w:type="dxa"/>
            <w:shd w:val="clear" w:color="auto" w:fill="FAF7F3"/>
          </w:tcPr>
          <w:p w14:paraId="3D633A7C" w14:textId="77777777" w:rsidR="006500EB" w:rsidRDefault="006500EB" w:rsidP="00087194">
            <w:pPr>
              <w:jc w:val="both"/>
            </w:pPr>
            <w:r>
              <w:rPr>
                <w:color w:val="201B17"/>
                <w:sz w:val="17"/>
                <w:szCs w:val="17"/>
              </w:rPr>
              <w:t>46</w:t>
            </w:r>
          </w:p>
        </w:tc>
        <w:tc>
          <w:tcPr>
            <w:tcW w:w="2038" w:type="dxa"/>
            <w:shd w:val="clear" w:color="auto" w:fill="FAF7F3"/>
          </w:tcPr>
          <w:p w14:paraId="22C786BB" w14:textId="77777777" w:rsidR="006500EB" w:rsidRDefault="006500EB" w:rsidP="00087194">
            <w:pPr>
              <w:jc w:val="both"/>
            </w:pPr>
            <w:r>
              <w:rPr>
                <w:color w:val="201B17"/>
                <w:sz w:val="17"/>
                <w:szCs w:val="17"/>
              </w:rPr>
              <w:t>3.199</w:t>
            </w:r>
          </w:p>
        </w:tc>
        <w:tc>
          <w:tcPr>
            <w:tcW w:w="2038" w:type="dxa"/>
            <w:shd w:val="clear" w:color="auto" w:fill="FAF7F3"/>
          </w:tcPr>
          <w:p w14:paraId="5B888C0C" w14:textId="77777777" w:rsidR="006500EB" w:rsidRDefault="006500EB" w:rsidP="00087194">
            <w:pPr>
              <w:jc w:val="both"/>
            </w:pPr>
            <w:r>
              <w:rPr>
                <w:b/>
                <w:bCs/>
                <w:color w:val="1E7A3A"/>
                <w:sz w:val="17"/>
                <w:szCs w:val="17"/>
              </w:rPr>
              <w:t>0.001</w:t>
            </w:r>
          </w:p>
        </w:tc>
        <w:tc>
          <w:tcPr>
            <w:tcW w:w="1534" w:type="dxa"/>
            <w:shd w:val="clear" w:color="auto" w:fill="FAF7F3"/>
          </w:tcPr>
          <w:p w14:paraId="20719994" w14:textId="77777777" w:rsidR="006500EB" w:rsidRDefault="006500EB" w:rsidP="00087194">
            <w:pPr>
              <w:jc w:val="both"/>
            </w:pPr>
            <w:r>
              <w:rPr>
                <w:b/>
                <w:bCs/>
                <w:color w:val="1E7A3A"/>
                <w:sz w:val="17"/>
                <w:szCs w:val="17"/>
              </w:rPr>
              <w:t>Yes</w:t>
            </w:r>
          </w:p>
        </w:tc>
      </w:tr>
      <w:tr w:rsidR="006500EB" w14:paraId="4A0858AC" w14:textId="77777777" w:rsidTr="006500EB">
        <w:trPr>
          <w:trHeight w:val="435"/>
        </w:trPr>
        <w:tc>
          <w:tcPr>
            <w:tcW w:w="2863" w:type="dxa"/>
            <w:shd w:val="clear" w:color="auto" w:fill="FFFFFF"/>
          </w:tcPr>
          <w:p w14:paraId="24F17BCE" w14:textId="77777777" w:rsidR="006500EB" w:rsidRDefault="006500EB" w:rsidP="00087194">
            <w:pPr>
              <w:jc w:val="both"/>
            </w:pPr>
            <w:r>
              <w:t>Hight inflation</w:t>
            </w:r>
          </w:p>
        </w:tc>
        <w:tc>
          <w:tcPr>
            <w:tcW w:w="1030" w:type="dxa"/>
            <w:shd w:val="clear" w:color="auto" w:fill="FFFFFF"/>
          </w:tcPr>
          <w:p w14:paraId="5F275DDC" w14:textId="77777777" w:rsidR="006500EB" w:rsidRDefault="006500EB" w:rsidP="00087194">
            <w:pPr>
              <w:jc w:val="both"/>
            </w:pPr>
            <w:r>
              <w:rPr>
                <w:color w:val="201B17"/>
                <w:sz w:val="17"/>
                <w:szCs w:val="17"/>
              </w:rPr>
              <w:t>23</w:t>
            </w:r>
          </w:p>
        </w:tc>
        <w:tc>
          <w:tcPr>
            <w:tcW w:w="2038" w:type="dxa"/>
            <w:shd w:val="clear" w:color="auto" w:fill="FFFFFF"/>
          </w:tcPr>
          <w:p w14:paraId="04489A77" w14:textId="77777777" w:rsidR="006500EB" w:rsidRDefault="006500EB" w:rsidP="00087194">
            <w:pPr>
              <w:jc w:val="both"/>
            </w:pPr>
            <w:r>
              <w:t>3.547</w:t>
            </w:r>
          </w:p>
        </w:tc>
        <w:tc>
          <w:tcPr>
            <w:tcW w:w="2038" w:type="dxa"/>
            <w:shd w:val="clear" w:color="auto" w:fill="FFFFFF"/>
          </w:tcPr>
          <w:p w14:paraId="705A7D07" w14:textId="77777777" w:rsidR="006500EB" w:rsidRDefault="006500EB" w:rsidP="00087194">
            <w:pPr>
              <w:jc w:val="both"/>
            </w:pPr>
            <w:r>
              <w:rPr>
                <w:color w:val="9C3B2E"/>
                <w:sz w:val="17"/>
                <w:szCs w:val="17"/>
              </w:rPr>
              <w:t>0.000</w:t>
            </w:r>
          </w:p>
        </w:tc>
        <w:tc>
          <w:tcPr>
            <w:tcW w:w="1534" w:type="dxa"/>
            <w:shd w:val="clear" w:color="auto" w:fill="FFFFFF"/>
          </w:tcPr>
          <w:p w14:paraId="5A7B5F6A" w14:textId="77777777" w:rsidR="006500EB" w:rsidRDefault="006500EB" w:rsidP="00087194">
            <w:pPr>
              <w:jc w:val="both"/>
            </w:pPr>
            <w:r>
              <w:t>yes</w:t>
            </w:r>
          </w:p>
        </w:tc>
      </w:tr>
      <w:tr w:rsidR="006500EB" w14:paraId="70BF1C03" w14:textId="77777777" w:rsidTr="006500EB">
        <w:trPr>
          <w:trHeight w:val="445"/>
        </w:trPr>
        <w:tc>
          <w:tcPr>
            <w:tcW w:w="2863" w:type="dxa"/>
            <w:shd w:val="clear" w:color="auto" w:fill="FAF7F3"/>
          </w:tcPr>
          <w:p w14:paraId="3D3E9F4B" w14:textId="77777777" w:rsidR="006500EB" w:rsidRDefault="006500EB" w:rsidP="00087194">
            <w:pPr>
              <w:jc w:val="both"/>
            </w:pPr>
            <w:r>
              <w:rPr>
                <w:color w:val="201B17"/>
                <w:sz w:val="17"/>
                <w:szCs w:val="17"/>
              </w:rPr>
              <w:t>LOW inflation</w:t>
            </w:r>
          </w:p>
        </w:tc>
        <w:tc>
          <w:tcPr>
            <w:tcW w:w="1030" w:type="dxa"/>
            <w:shd w:val="clear" w:color="auto" w:fill="FAF7F3"/>
          </w:tcPr>
          <w:p w14:paraId="2671CDCC" w14:textId="77777777" w:rsidR="006500EB" w:rsidRDefault="006500EB" w:rsidP="00087194">
            <w:pPr>
              <w:jc w:val="both"/>
            </w:pPr>
            <w:r>
              <w:rPr>
                <w:color w:val="201B17"/>
                <w:sz w:val="17"/>
                <w:szCs w:val="17"/>
              </w:rPr>
              <w:t>23</w:t>
            </w:r>
          </w:p>
        </w:tc>
        <w:tc>
          <w:tcPr>
            <w:tcW w:w="2038" w:type="dxa"/>
            <w:shd w:val="clear" w:color="auto" w:fill="FAF7F3"/>
          </w:tcPr>
          <w:p w14:paraId="76F0E4DF" w14:textId="77777777" w:rsidR="006500EB" w:rsidRDefault="006500EB" w:rsidP="00087194">
            <w:pPr>
              <w:jc w:val="both"/>
            </w:pPr>
            <w:r>
              <w:t>0.977</w:t>
            </w:r>
          </w:p>
        </w:tc>
        <w:tc>
          <w:tcPr>
            <w:tcW w:w="2038" w:type="dxa"/>
            <w:shd w:val="clear" w:color="auto" w:fill="FAF7F3"/>
          </w:tcPr>
          <w:p w14:paraId="12893015" w14:textId="77777777" w:rsidR="006500EB" w:rsidRDefault="006500EB" w:rsidP="00087194">
            <w:pPr>
              <w:jc w:val="both"/>
            </w:pPr>
            <w:r>
              <w:rPr>
                <w:color w:val="9C3B2E"/>
                <w:sz w:val="17"/>
                <w:szCs w:val="17"/>
              </w:rPr>
              <w:t>0.329</w:t>
            </w:r>
          </w:p>
        </w:tc>
        <w:tc>
          <w:tcPr>
            <w:tcW w:w="1534" w:type="dxa"/>
            <w:shd w:val="clear" w:color="auto" w:fill="FAF7F3"/>
          </w:tcPr>
          <w:p w14:paraId="34064CDA" w14:textId="77777777" w:rsidR="006500EB" w:rsidRDefault="006500EB" w:rsidP="00087194">
            <w:pPr>
              <w:jc w:val="both"/>
            </w:pPr>
            <w:r>
              <w:rPr>
                <w:color w:val="9C3B2E"/>
                <w:sz w:val="17"/>
                <w:szCs w:val="17"/>
              </w:rPr>
              <w:t>No</w:t>
            </w:r>
          </w:p>
        </w:tc>
      </w:tr>
    </w:tbl>
    <w:p w14:paraId="6EA2909B" w14:textId="77777777" w:rsidR="002D079A" w:rsidRDefault="006500EB" w:rsidP="00087194">
      <w:pPr>
        <w:pStyle w:val="NormalWeb"/>
        <w:jc w:val="both"/>
        <w:rPr>
          <w:lang w:val="en-US"/>
        </w:rPr>
      </w:pPr>
      <w:r>
        <w:rPr>
          <w:lang w:val="en-US"/>
        </w:rPr>
        <w:t xml:space="preserve"> Also, the panel Granger causality test rejects the null hypothesis that AIRI does not Granger-cause inflation for the full sample (Z-bar = 3.199, p = 0.001), confirming that AIRI carries predictive information for inflation. Splitting the panel by inflation regime reveals that this result is different across country groups: in HIGH-inflation economies, the null is rejected while in LOW-inflation economies it cannot be rejected. This asymmetry indicates that AIRI's predictive relationship with inflation is concentrated in countries experiencing higher inflation. This confirms the state-dependence mechanism documented by Coibion and Gorodnichenko (2015), explaining that the rate at which economic agents update their expectations and react to information signals depends on the state of the economy; suggesting that agents in low-inflation economies are less likely to have frequent news reports about inflation compared to areas where it is persistent.</w:t>
      </w:r>
    </w:p>
    <w:p w14:paraId="70B6BCB5" w14:textId="77777777" w:rsidR="009C7FA8" w:rsidRPr="004B4AFD" w:rsidRDefault="009C7FA8" w:rsidP="009C7FA8">
      <w:pPr>
        <w:pStyle w:val="NormalWeb"/>
        <w:jc w:val="both"/>
        <w:rPr>
          <w:lang w:val="en-US"/>
        </w:rPr>
      </w:pPr>
      <w:r>
        <w:rPr>
          <w:lang w:val="en-US"/>
        </w:rPr>
        <w:t>The impulse response function traces the dynamic effect of a shock to AIRI on inflation. The result shows that the effect on inflation starts from horizon one and peaks 0.419 at horizon 5 and starts to decay, also, the result stayed significant until horizon 12 and retains 76% of its peak magnitude, 0.319. This indicates that the AIRI produces a persistent effect on inflation. Therefore, not only does AIRI predict inflation, the magnitude of the predictive relation builds over several months.</w:t>
      </w:r>
    </w:p>
    <w:p w14:paraId="28C9F7C4" w14:textId="77777777" w:rsidR="009C7FA8" w:rsidRDefault="009C7FA8" w:rsidP="009C7FA8">
      <w:pPr>
        <w:pStyle w:val="NormalWeb"/>
        <w:jc w:val="both"/>
        <w:rPr>
          <w:lang w:val="en-US"/>
        </w:rPr>
      </w:pPr>
    </w:p>
    <w:p w14:paraId="552B5FC5" w14:textId="2531450E" w:rsidR="009C7FA8" w:rsidRPr="009C7FA8" w:rsidRDefault="009C7FA8" w:rsidP="00087194">
      <w:pPr>
        <w:pStyle w:val="BodyText"/>
        <w:jc w:val="both"/>
        <w:rPr>
          <w:b/>
          <w:bCs/>
        </w:rPr>
      </w:pPr>
      <w:r>
        <w:rPr>
          <w:b/>
          <w:bCs/>
        </w:rPr>
        <w:t>Table 9: Impulse Response Function (IRF) Results</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9"/>
        <w:gridCol w:w="3709"/>
        <w:gridCol w:w="3338"/>
      </w:tblGrid>
      <w:tr w:rsidR="00E8217C" w14:paraId="3788D2C6" w14:textId="77777777" w:rsidTr="00E8217C">
        <w:trPr>
          <w:trHeight w:val="357"/>
        </w:trPr>
        <w:tc>
          <w:tcPr>
            <w:tcW w:w="2529" w:type="dxa"/>
            <w:shd w:val="clear" w:color="auto" w:fill="201B17"/>
          </w:tcPr>
          <w:p w14:paraId="4279D229" w14:textId="77777777" w:rsidR="00E8217C" w:rsidRDefault="00E8217C" w:rsidP="00950EEC">
            <w:pPr>
              <w:jc w:val="center"/>
            </w:pPr>
            <w:r>
              <w:rPr>
                <w:b/>
                <w:bCs/>
                <w:color w:val="FFFFFF"/>
                <w:sz w:val="17"/>
                <w:szCs w:val="17"/>
              </w:rPr>
              <w:t>Horizon</w:t>
            </w:r>
          </w:p>
        </w:tc>
        <w:tc>
          <w:tcPr>
            <w:tcW w:w="3709" w:type="dxa"/>
            <w:shd w:val="clear" w:color="auto" w:fill="201B17"/>
          </w:tcPr>
          <w:p w14:paraId="56803D91" w14:textId="77777777" w:rsidR="00E8217C" w:rsidRDefault="00E8217C" w:rsidP="00950EEC">
            <w:pPr>
              <w:jc w:val="center"/>
            </w:pPr>
            <w:r>
              <w:rPr>
                <w:b/>
                <w:bCs/>
                <w:color w:val="FFFFFF"/>
                <w:sz w:val="17"/>
                <w:szCs w:val="17"/>
              </w:rPr>
              <w:t xml:space="preserve"> (IRF)</w:t>
            </w:r>
          </w:p>
        </w:tc>
        <w:tc>
          <w:tcPr>
            <w:tcW w:w="3338" w:type="dxa"/>
            <w:shd w:val="clear" w:color="auto" w:fill="201B17"/>
          </w:tcPr>
          <w:p w14:paraId="10C6D93E" w14:textId="77777777" w:rsidR="00E8217C" w:rsidRDefault="00E8217C" w:rsidP="00950EEC">
            <w:pPr>
              <w:jc w:val="center"/>
            </w:pPr>
            <w:r>
              <w:rPr>
                <w:b/>
                <w:bCs/>
                <w:color w:val="FFFFFF"/>
                <w:sz w:val="17"/>
                <w:szCs w:val="17"/>
              </w:rPr>
              <w:t>All sig. h≥1?</w:t>
            </w:r>
          </w:p>
        </w:tc>
      </w:tr>
      <w:tr w:rsidR="00E8217C" w14:paraId="500B0B97" w14:textId="77777777" w:rsidTr="00E8217C">
        <w:trPr>
          <w:trHeight w:val="357"/>
        </w:trPr>
        <w:tc>
          <w:tcPr>
            <w:tcW w:w="2529" w:type="dxa"/>
            <w:shd w:val="clear" w:color="auto" w:fill="FFFFFF"/>
          </w:tcPr>
          <w:p w14:paraId="170AD910" w14:textId="77777777" w:rsidR="00E8217C" w:rsidRDefault="00E8217C" w:rsidP="00950EEC">
            <w:r>
              <w:rPr>
                <w:color w:val="201B17"/>
                <w:sz w:val="17"/>
                <w:szCs w:val="17"/>
              </w:rPr>
              <w:t>0</w:t>
            </w:r>
          </w:p>
        </w:tc>
        <w:tc>
          <w:tcPr>
            <w:tcW w:w="3709" w:type="dxa"/>
            <w:shd w:val="clear" w:color="auto" w:fill="FFFFFF"/>
          </w:tcPr>
          <w:p w14:paraId="1635FA34" w14:textId="77777777" w:rsidR="00E8217C" w:rsidRDefault="00E8217C" w:rsidP="00950EEC">
            <w:pPr>
              <w:jc w:val="center"/>
            </w:pPr>
            <w:r>
              <w:rPr>
                <w:color w:val="201B17"/>
                <w:sz w:val="17"/>
                <w:szCs w:val="17"/>
              </w:rPr>
              <w:t>0.027</w:t>
            </w:r>
          </w:p>
        </w:tc>
        <w:tc>
          <w:tcPr>
            <w:tcW w:w="3338" w:type="dxa"/>
            <w:shd w:val="clear" w:color="auto" w:fill="FFFFFF"/>
          </w:tcPr>
          <w:p w14:paraId="2FCC69FE" w14:textId="77777777" w:rsidR="00E8217C" w:rsidRDefault="00E8217C" w:rsidP="00950EEC">
            <w:pPr>
              <w:jc w:val="center"/>
            </w:pPr>
            <w:r>
              <w:rPr>
                <w:color w:val="201B17"/>
                <w:sz w:val="17"/>
                <w:szCs w:val="17"/>
              </w:rPr>
              <w:t>No</w:t>
            </w:r>
          </w:p>
        </w:tc>
      </w:tr>
      <w:tr w:rsidR="00E8217C" w14:paraId="5F08C61B" w14:textId="77777777" w:rsidTr="00E8217C">
        <w:trPr>
          <w:trHeight w:val="357"/>
        </w:trPr>
        <w:tc>
          <w:tcPr>
            <w:tcW w:w="2529" w:type="dxa"/>
            <w:shd w:val="clear" w:color="auto" w:fill="FAF7F3"/>
          </w:tcPr>
          <w:p w14:paraId="52C88349" w14:textId="77777777" w:rsidR="00E8217C" w:rsidRDefault="00E8217C" w:rsidP="00950EEC">
            <w:r>
              <w:rPr>
                <w:color w:val="201B17"/>
                <w:sz w:val="17"/>
                <w:szCs w:val="17"/>
              </w:rPr>
              <w:t>1</w:t>
            </w:r>
          </w:p>
        </w:tc>
        <w:tc>
          <w:tcPr>
            <w:tcW w:w="3709" w:type="dxa"/>
            <w:shd w:val="clear" w:color="auto" w:fill="FAF7F3"/>
          </w:tcPr>
          <w:p w14:paraId="716162C8" w14:textId="77777777" w:rsidR="00E8217C" w:rsidRDefault="00E8217C" w:rsidP="00950EEC">
            <w:pPr>
              <w:jc w:val="center"/>
            </w:pPr>
            <w:r>
              <w:rPr>
                <w:color w:val="201B17"/>
                <w:sz w:val="17"/>
                <w:szCs w:val="17"/>
              </w:rPr>
              <w:t>0.287</w:t>
            </w:r>
          </w:p>
        </w:tc>
        <w:tc>
          <w:tcPr>
            <w:tcW w:w="3338" w:type="dxa"/>
            <w:shd w:val="clear" w:color="auto" w:fill="FAF7F3"/>
          </w:tcPr>
          <w:p w14:paraId="401775A3" w14:textId="77777777" w:rsidR="00E8217C" w:rsidRDefault="00E8217C" w:rsidP="00950EEC">
            <w:pPr>
              <w:jc w:val="center"/>
            </w:pPr>
            <w:r>
              <w:rPr>
                <w:color w:val="201B17"/>
                <w:sz w:val="17"/>
                <w:szCs w:val="17"/>
              </w:rPr>
              <w:t>Yes</w:t>
            </w:r>
          </w:p>
        </w:tc>
      </w:tr>
      <w:tr w:rsidR="00E8217C" w14:paraId="6B6A4467" w14:textId="77777777" w:rsidTr="00E8217C">
        <w:trPr>
          <w:trHeight w:val="357"/>
        </w:trPr>
        <w:tc>
          <w:tcPr>
            <w:tcW w:w="2529" w:type="dxa"/>
            <w:shd w:val="clear" w:color="auto" w:fill="FFFFFF"/>
          </w:tcPr>
          <w:p w14:paraId="6EA4D61E" w14:textId="77777777" w:rsidR="00E8217C" w:rsidRDefault="00E8217C" w:rsidP="00950EEC">
            <w:r>
              <w:rPr>
                <w:color w:val="201B17"/>
                <w:sz w:val="17"/>
                <w:szCs w:val="17"/>
              </w:rPr>
              <w:t>2</w:t>
            </w:r>
          </w:p>
        </w:tc>
        <w:tc>
          <w:tcPr>
            <w:tcW w:w="3709" w:type="dxa"/>
            <w:shd w:val="clear" w:color="auto" w:fill="FFFFFF"/>
          </w:tcPr>
          <w:p w14:paraId="44B734B5" w14:textId="77777777" w:rsidR="00E8217C" w:rsidRDefault="00E8217C" w:rsidP="00950EEC">
            <w:pPr>
              <w:jc w:val="center"/>
            </w:pPr>
            <w:r>
              <w:rPr>
                <w:color w:val="201B17"/>
                <w:sz w:val="17"/>
                <w:szCs w:val="17"/>
              </w:rPr>
              <w:t>0.318</w:t>
            </w:r>
          </w:p>
        </w:tc>
        <w:tc>
          <w:tcPr>
            <w:tcW w:w="3338" w:type="dxa"/>
            <w:shd w:val="clear" w:color="auto" w:fill="FFFFFF"/>
          </w:tcPr>
          <w:p w14:paraId="436DEEAD" w14:textId="77777777" w:rsidR="00E8217C" w:rsidRDefault="00E8217C" w:rsidP="00950EEC">
            <w:pPr>
              <w:jc w:val="center"/>
            </w:pPr>
            <w:r>
              <w:rPr>
                <w:color w:val="201B17"/>
                <w:sz w:val="17"/>
                <w:szCs w:val="17"/>
              </w:rPr>
              <w:t>Yes</w:t>
            </w:r>
          </w:p>
        </w:tc>
      </w:tr>
      <w:tr w:rsidR="00E8217C" w14:paraId="1777BB49" w14:textId="77777777" w:rsidTr="00E8217C">
        <w:trPr>
          <w:trHeight w:val="357"/>
        </w:trPr>
        <w:tc>
          <w:tcPr>
            <w:tcW w:w="2529" w:type="dxa"/>
            <w:shd w:val="clear" w:color="auto" w:fill="F6EDE3"/>
          </w:tcPr>
          <w:p w14:paraId="66CF1049" w14:textId="77777777" w:rsidR="00E8217C" w:rsidRDefault="00E8217C" w:rsidP="00950EEC">
            <w:r>
              <w:rPr>
                <w:b/>
                <w:bCs/>
                <w:color w:val="201B17"/>
                <w:sz w:val="17"/>
                <w:szCs w:val="17"/>
              </w:rPr>
              <w:t>3</w:t>
            </w:r>
          </w:p>
        </w:tc>
        <w:tc>
          <w:tcPr>
            <w:tcW w:w="3709" w:type="dxa"/>
            <w:shd w:val="clear" w:color="auto" w:fill="F6EDE3"/>
          </w:tcPr>
          <w:p w14:paraId="30B0BDE0" w14:textId="77777777" w:rsidR="00E8217C" w:rsidRDefault="00E8217C" w:rsidP="00950EEC">
            <w:pPr>
              <w:jc w:val="center"/>
            </w:pPr>
            <w:r>
              <w:rPr>
                <w:color w:val="201B17"/>
                <w:sz w:val="17"/>
                <w:szCs w:val="17"/>
              </w:rPr>
              <w:t>0.401</w:t>
            </w:r>
          </w:p>
        </w:tc>
        <w:tc>
          <w:tcPr>
            <w:tcW w:w="3338" w:type="dxa"/>
            <w:shd w:val="clear" w:color="auto" w:fill="F6EDE3"/>
          </w:tcPr>
          <w:p w14:paraId="07710FCC" w14:textId="77777777" w:rsidR="00E8217C" w:rsidRDefault="00E8217C" w:rsidP="00950EEC">
            <w:pPr>
              <w:jc w:val="center"/>
            </w:pPr>
            <w:r>
              <w:rPr>
                <w:color w:val="201B17"/>
                <w:sz w:val="17"/>
                <w:szCs w:val="17"/>
              </w:rPr>
              <w:t>Yes</w:t>
            </w:r>
          </w:p>
        </w:tc>
      </w:tr>
      <w:tr w:rsidR="00E8217C" w14:paraId="50B4A471" w14:textId="77777777" w:rsidTr="00E8217C">
        <w:trPr>
          <w:trHeight w:val="357"/>
        </w:trPr>
        <w:tc>
          <w:tcPr>
            <w:tcW w:w="2529" w:type="dxa"/>
            <w:shd w:val="clear" w:color="auto" w:fill="FFFFFF"/>
          </w:tcPr>
          <w:p w14:paraId="67589F82" w14:textId="77777777" w:rsidR="00E8217C" w:rsidRDefault="00E8217C" w:rsidP="00950EEC">
            <w:r>
              <w:rPr>
                <w:color w:val="201B17"/>
                <w:sz w:val="17"/>
                <w:szCs w:val="17"/>
              </w:rPr>
              <w:t>4</w:t>
            </w:r>
          </w:p>
        </w:tc>
        <w:tc>
          <w:tcPr>
            <w:tcW w:w="3709" w:type="dxa"/>
            <w:shd w:val="clear" w:color="auto" w:fill="FFFFFF"/>
          </w:tcPr>
          <w:p w14:paraId="4DEC1CB6" w14:textId="77777777" w:rsidR="00E8217C" w:rsidRDefault="00E8217C" w:rsidP="00950EEC">
            <w:pPr>
              <w:jc w:val="center"/>
            </w:pPr>
            <w:r>
              <w:rPr>
                <w:color w:val="201B17"/>
                <w:sz w:val="17"/>
                <w:szCs w:val="17"/>
              </w:rPr>
              <w:t>0.410</w:t>
            </w:r>
          </w:p>
        </w:tc>
        <w:tc>
          <w:tcPr>
            <w:tcW w:w="3338" w:type="dxa"/>
            <w:shd w:val="clear" w:color="auto" w:fill="FFFFFF"/>
          </w:tcPr>
          <w:p w14:paraId="76164DD4" w14:textId="77777777" w:rsidR="00E8217C" w:rsidRDefault="00E8217C" w:rsidP="00950EEC">
            <w:pPr>
              <w:jc w:val="center"/>
            </w:pPr>
            <w:r>
              <w:rPr>
                <w:color w:val="201B17"/>
                <w:sz w:val="17"/>
                <w:szCs w:val="17"/>
              </w:rPr>
              <w:t>Yes</w:t>
            </w:r>
          </w:p>
        </w:tc>
      </w:tr>
      <w:tr w:rsidR="00E8217C" w14:paraId="7A970BC2" w14:textId="77777777" w:rsidTr="00E8217C">
        <w:trPr>
          <w:trHeight w:val="357"/>
        </w:trPr>
        <w:tc>
          <w:tcPr>
            <w:tcW w:w="2529" w:type="dxa"/>
            <w:shd w:val="clear" w:color="auto" w:fill="FAF7F3"/>
          </w:tcPr>
          <w:p w14:paraId="3D156894" w14:textId="77777777" w:rsidR="00E8217C" w:rsidRDefault="00E8217C" w:rsidP="00950EEC">
            <w:r>
              <w:rPr>
                <w:color w:val="201B17"/>
                <w:sz w:val="17"/>
                <w:szCs w:val="17"/>
              </w:rPr>
              <w:t>5</w:t>
            </w:r>
          </w:p>
        </w:tc>
        <w:tc>
          <w:tcPr>
            <w:tcW w:w="3709" w:type="dxa"/>
            <w:shd w:val="clear" w:color="auto" w:fill="FAF7F3"/>
          </w:tcPr>
          <w:p w14:paraId="7959D452" w14:textId="77777777" w:rsidR="00E8217C" w:rsidRDefault="00E8217C" w:rsidP="00950EEC">
            <w:pPr>
              <w:jc w:val="center"/>
            </w:pPr>
            <w:r>
              <w:rPr>
                <w:b/>
                <w:bCs/>
                <w:color w:val="201B17"/>
                <w:sz w:val="17"/>
                <w:szCs w:val="17"/>
              </w:rPr>
              <w:t>0.419</w:t>
            </w:r>
          </w:p>
        </w:tc>
        <w:tc>
          <w:tcPr>
            <w:tcW w:w="3338" w:type="dxa"/>
            <w:shd w:val="clear" w:color="auto" w:fill="FAF7F3"/>
          </w:tcPr>
          <w:p w14:paraId="063356D6" w14:textId="77777777" w:rsidR="00E8217C" w:rsidRDefault="00E8217C" w:rsidP="00950EEC">
            <w:pPr>
              <w:jc w:val="center"/>
            </w:pPr>
            <w:r>
              <w:rPr>
                <w:color w:val="201B17"/>
                <w:sz w:val="17"/>
                <w:szCs w:val="17"/>
              </w:rPr>
              <w:t>Yes</w:t>
            </w:r>
          </w:p>
        </w:tc>
      </w:tr>
      <w:tr w:rsidR="00E8217C" w14:paraId="2E895F7C" w14:textId="77777777" w:rsidTr="00E8217C">
        <w:trPr>
          <w:trHeight w:val="357"/>
        </w:trPr>
        <w:tc>
          <w:tcPr>
            <w:tcW w:w="2529" w:type="dxa"/>
            <w:shd w:val="clear" w:color="auto" w:fill="FFFFFF"/>
          </w:tcPr>
          <w:p w14:paraId="0FAAFE47" w14:textId="77777777" w:rsidR="00E8217C" w:rsidRDefault="00E8217C" w:rsidP="00950EEC">
            <w:r>
              <w:rPr>
                <w:color w:val="201B17"/>
                <w:sz w:val="17"/>
                <w:szCs w:val="17"/>
              </w:rPr>
              <w:t>6</w:t>
            </w:r>
          </w:p>
        </w:tc>
        <w:tc>
          <w:tcPr>
            <w:tcW w:w="3709" w:type="dxa"/>
            <w:shd w:val="clear" w:color="auto" w:fill="FFFFFF"/>
          </w:tcPr>
          <w:p w14:paraId="2DE99361" w14:textId="77777777" w:rsidR="00E8217C" w:rsidRDefault="00E8217C" w:rsidP="00950EEC">
            <w:pPr>
              <w:jc w:val="center"/>
            </w:pPr>
            <w:r>
              <w:rPr>
                <w:color w:val="201B17"/>
                <w:sz w:val="17"/>
                <w:szCs w:val="17"/>
              </w:rPr>
              <w:t>0.415</w:t>
            </w:r>
          </w:p>
        </w:tc>
        <w:tc>
          <w:tcPr>
            <w:tcW w:w="3338" w:type="dxa"/>
            <w:shd w:val="clear" w:color="auto" w:fill="FFFFFF"/>
          </w:tcPr>
          <w:p w14:paraId="74C7C2CE" w14:textId="77777777" w:rsidR="00E8217C" w:rsidRDefault="00E8217C" w:rsidP="00950EEC">
            <w:pPr>
              <w:jc w:val="center"/>
            </w:pPr>
            <w:r>
              <w:rPr>
                <w:color w:val="201B17"/>
                <w:sz w:val="17"/>
                <w:szCs w:val="17"/>
              </w:rPr>
              <w:t>Yes</w:t>
            </w:r>
          </w:p>
        </w:tc>
      </w:tr>
      <w:tr w:rsidR="00E8217C" w14:paraId="34DDAFE0" w14:textId="77777777" w:rsidTr="00E8217C">
        <w:trPr>
          <w:trHeight w:val="357"/>
        </w:trPr>
        <w:tc>
          <w:tcPr>
            <w:tcW w:w="2529" w:type="dxa"/>
            <w:shd w:val="clear" w:color="auto" w:fill="FAF7F3"/>
          </w:tcPr>
          <w:p w14:paraId="6720DB41" w14:textId="77777777" w:rsidR="00E8217C" w:rsidRDefault="00E8217C" w:rsidP="00950EEC">
            <w:r>
              <w:rPr>
                <w:color w:val="201B17"/>
                <w:sz w:val="17"/>
                <w:szCs w:val="17"/>
              </w:rPr>
              <w:t>7</w:t>
            </w:r>
          </w:p>
        </w:tc>
        <w:tc>
          <w:tcPr>
            <w:tcW w:w="3709" w:type="dxa"/>
            <w:shd w:val="clear" w:color="auto" w:fill="FAF7F3"/>
          </w:tcPr>
          <w:p w14:paraId="72884A31" w14:textId="77777777" w:rsidR="00E8217C" w:rsidRDefault="00E8217C" w:rsidP="00950EEC">
            <w:pPr>
              <w:jc w:val="center"/>
            </w:pPr>
            <w:r>
              <w:rPr>
                <w:color w:val="201B17"/>
                <w:sz w:val="17"/>
                <w:szCs w:val="17"/>
              </w:rPr>
              <w:t>0.405</w:t>
            </w:r>
          </w:p>
        </w:tc>
        <w:tc>
          <w:tcPr>
            <w:tcW w:w="3338" w:type="dxa"/>
            <w:shd w:val="clear" w:color="auto" w:fill="FAF7F3"/>
          </w:tcPr>
          <w:p w14:paraId="7193241F" w14:textId="77777777" w:rsidR="00E8217C" w:rsidRDefault="00E8217C" w:rsidP="00950EEC">
            <w:pPr>
              <w:jc w:val="center"/>
            </w:pPr>
            <w:r>
              <w:rPr>
                <w:color w:val="201B17"/>
                <w:sz w:val="17"/>
                <w:szCs w:val="17"/>
              </w:rPr>
              <w:t>Yes</w:t>
            </w:r>
          </w:p>
        </w:tc>
      </w:tr>
      <w:tr w:rsidR="00E8217C" w14:paraId="44383AD2" w14:textId="77777777" w:rsidTr="00E8217C">
        <w:trPr>
          <w:trHeight w:val="357"/>
        </w:trPr>
        <w:tc>
          <w:tcPr>
            <w:tcW w:w="2529" w:type="dxa"/>
            <w:shd w:val="clear" w:color="auto" w:fill="FFFFFF"/>
          </w:tcPr>
          <w:p w14:paraId="37B0EC88" w14:textId="77777777" w:rsidR="00E8217C" w:rsidRDefault="00E8217C" w:rsidP="00950EEC">
            <w:r>
              <w:rPr>
                <w:color w:val="201B17"/>
                <w:sz w:val="17"/>
                <w:szCs w:val="17"/>
              </w:rPr>
              <w:lastRenderedPageBreak/>
              <w:t>8</w:t>
            </w:r>
          </w:p>
        </w:tc>
        <w:tc>
          <w:tcPr>
            <w:tcW w:w="3709" w:type="dxa"/>
            <w:shd w:val="clear" w:color="auto" w:fill="FFFFFF"/>
          </w:tcPr>
          <w:p w14:paraId="196EF42D" w14:textId="77777777" w:rsidR="00E8217C" w:rsidRDefault="00E8217C" w:rsidP="00950EEC">
            <w:pPr>
              <w:jc w:val="center"/>
            </w:pPr>
            <w:r>
              <w:rPr>
                <w:color w:val="201B17"/>
                <w:sz w:val="17"/>
                <w:szCs w:val="17"/>
              </w:rPr>
              <w:t>0.389</w:t>
            </w:r>
          </w:p>
        </w:tc>
        <w:tc>
          <w:tcPr>
            <w:tcW w:w="3338" w:type="dxa"/>
            <w:shd w:val="clear" w:color="auto" w:fill="FFFFFF"/>
          </w:tcPr>
          <w:p w14:paraId="509A22DC" w14:textId="77777777" w:rsidR="00E8217C" w:rsidRDefault="00E8217C" w:rsidP="00950EEC">
            <w:pPr>
              <w:jc w:val="center"/>
            </w:pPr>
            <w:r>
              <w:rPr>
                <w:color w:val="201B17"/>
                <w:sz w:val="17"/>
                <w:szCs w:val="17"/>
              </w:rPr>
              <w:t>Yes</w:t>
            </w:r>
          </w:p>
        </w:tc>
      </w:tr>
      <w:tr w:rsidR="00E8217C" w14:paraId="41F49711" w14:textId="77777777" w:rsidTr="00E8217C">
        <w:trPr>
          <w:trHeight w:val="347"/>
        </w:trPr>
        <w:tc>
          <w:tcPr>
            <w:tcW w:w="2529" w:type="dxa"/>
            <w:shd w:val="clear" w:color="auto" w:fill="FAF7F3"/>
          </w:tcPr>
          <w:p w14:paraId="3C356F85" w14:textId="77777777" w:rsidR="00E8217C" w:rsidRDefault="00E8217C" w:rsidP="00950EEC">
            <w:r>
              <w:rPr>
                <w:color w:val="201B17"/>
                <w:sz w:val="17"/>
                <w:szCs w:val="17"/>
              </w:rPr>
              <w:t>9</w:t>
            </w:r>
          </w:p>
        </w:tc>
        <w:tc>
          <w:tcPr>
            <w:tcW w:w="3709" w:type="dxa"/>
            <w:shd w:val="clear" w:color="auto" w:fill="FAF7F3"/>
          </w:tcPr>
          <w:p w14:paraId="69040400" w14:textId="77777777" w:rsidR="00E8217C" w:rsidRDefault="00E8217C" w:rsidP="00950EEC">
            <w:pPr>
              <w:jc w:val="center"/>
            </w:pPr>
            <w:r>
              <w:rPr>
                <w:color w:val="201B17"/>
                <w:sz w:val="17"/>
                <w:szCs w:val="17"/>
              </w:rPr>
              <w:t>0.372</w:t>
            </w:r>
          </w:p>
        </w:tc>
        <w:tc>
          <w:tcPr>
            <w:tcW w:w="3338" w:type="dxa"/>
            <w:shd w:val="clear" w:color="auto" w:fill="FAF7F3"/>
          </w:tcPr>
          <w:p w14:paraId="5A1A672A" w14:textId="77777777" w:rsidR="00E8217C" w:rsidRDefault="00E8217C" w:rsidP="00950EEC">
            <w:pPr>
              <w:jc w:val="center"/>
            </w:pPr>
            <w:r>
              <w:rPr>
                <w:color w:val="201B17"/>
                <w:sz w:val="17"/>
                <w:szCs w:val="17"/>
              </w:rPr>
              <w:t>Yes</w:t>
            </w:r>
          </w:p>
        </w:tc>
      </w:tr>
      <w:tr w:rsidR="00E8217C" w14:paraId="2F063F6D" w14:textId="77777777" w:rsidTr="00E8217C">
        <w:trPr>
          <w:trHeight w:val="357"/>
        </w:trPr>
        <w:tc>
          <w:tcPr>
            <w:tcW w:w="2529" w:type="dxa"/>
            <w:shd w:val="clear" w:color="auto" w:fill="FFFFFF"/>
          </w:tcPr>
          <w:p w14:paraId="5F5434BA" w14:textId="77777777" w:rsidR="00E8217C" w:rsidRDefault="00E8217C" w:rsidP="00950EEC">
            <w:r>
              <w:rPr>
                <w:color w:val="201B17"/>
                <w:sz w:val="17"/>
                <w:szCs w:val="17"/>
              </w:rPr>
              <w:t>10</w:t>
            </w:r>
          </w:p>
        </w:tc>
        <w:tc>
          <w:tcPr>
            <w:tcW w:w="3709" w:type="dxa"/>
            <w:shd w:val="clear" w:color="auto" w:fill="FFFFFF"/>
          </w:tcPr>
          <w:p w14:paraId="3C779D56" w14:textId="77777777" w:rsidR="00E8217C" w:rsidRDefault="00E8217C" w:rsidP="00950EEC">
            <w:pPr>
              <w:jc w:val="center"/>
            </w:pPr>
            <w:r>
              <w:rPr>
                <w:color w:val="201B17"/>
                <w:sz w:val="17"/>
                <w:szCs w:val="17"/>
              </w:rPr>
              <w:t>0.355</w:t>
            </w:r>
          </w:p>
        </w:tc>
        <w:tc>
          <w:tcPr>
            <w:tcW w:w="3338" w:type="dxa"/>
            <w:shd w:val="clear" w:color="auto" w:fill="FFFFFF"/>
          </w:tcPr>
          <w:p w14:paraId="53DBB6F2" w14:textId="77777777" w:rsidR="00E8217C" w:rsidRDefault="00E8217C" w:rsidP="00950EEC">
            <w:pPr>
              <w:jc w:val="center"/>
            </w:pPr>
            <w:r>
              <w:rPr>
                <w:color w:val="201B17"/>
                <w:sz w:val="17"/>
                <w:szCs w:val="17"/>
              </w:rPr>
              <w:t>Yes</w:t>
            </w:r>
          </w:p>
        </w:tc>
      </w:tr>
      <w:tr w:rsidR="00E8217C" w14:paraId="3BDEF758" w14:textId="77777777" w:rsidTr="00E8217C">
        <w:trPr>
          <w:trHeight w:val="357"/>
        </w:trPr>
        <w:tc>
          <w:tcPr>
            <w:tcW w:w="2529" w:type="dxa"/>
            <w:shd w:val="clear" w:color="auto" w:fill="FAF7F3"/>
          </w:tcPr>
          <w:p w14:paraId="1DBC0673" w14:textId="77777777" w:rsidR="00E8217C" w:rsidRDefault="00E8217C" w:rsidP="00950EEC">
            <w:r>
              <w:rPr>
                <w:color w:val="201B17"/>
                <w:sz w:val="17"/>
                <w:szCs w:val="17"/>
              </w:rPr>
              <w:t>11</w:t>
            </w:r>
          </w:p>
        </w:tc>
        <w:tc>
          <w:tcPr>
            <w:tcW w:w="3709" w:type="dxa"/>
            <w:shd w:val="clear" w:color="auto" w:fill="FAF7F3"/>
          </w:tcPr>
          <w:p w14:paraId="5150390D" w14:textId="77777777" w:rsidR="00E8217C" w:rsidRDefault="00E8217C" w:rsidP="00950EEC">
            <w:pPr>
              <w:jc w:val="center"/>
            </w:pPr>
            <w:r>
              <w:rPr>
                <w:color w:val="201B17"/>
                <w:sz w:val="17"/>
                <w:szCs w:val="17"/>
              </w:rPr>
              <w:t>0.337</w:t>
            </w:r>
          </w:p>
        </w:tc>
        <w:tc>
          <w:tcPr>
            <w:tcW w:w="3338" w:type="dxa"/>
            <w:shd w:val="clear" w:color="auto" w:fill="FAF7F3"/>
          </w:tcPr>
          <w:p w14:paraId="0DA9884F" w14:textId="77777777" w:rsidR="00E8217C" w:rsidRDefault="00E8217C" w:rsidP="00950EEC">
            <w:pPr>
              <w:jc w:val="center"/>
            </w:pPr>
            <w:r>
              <w:rPr>
                <w:color w:val="201B17"/>
                <w:sz w:val="17"/>
                <w:szCs w:val="17"/>
              </w:rPr>
              <w:t>Yes</w:t>
            </w:r>
          </w:p>
        </w:tc>
      </w:tr>
      <w:tr w:rsidR="00E8217C" w14:paraId="1247ECA4" w14:textId="77777777" w:rsidTr="00E8217C">
        <w:trPr>
          <w:trHeight w:val="357"/>
        </w:trPr>
        <w:tc>
          <w:tcPr>
            <w:tcW w:w="2529" w:type="dxa"/>
            <w:shd w:val="clear" w:color="auto" w:fill="FFFFFF"/>
          </w:tcPr>
          <w:p w14:paraId="73C3D118" w14:textId="77777777" w:rsidR="00E8217C" w:rsidRDefault="00E8217C" w:rsidP="00950EEC">
            <w:r>
              <w:rPr>
                <w:color w:val="201B17"/>
                <w:sz w:val="17"/>
                <w:szCs w:val="17"/>
              </w:rPr>
              <w:t>12</w:t>
            </w:r>
          </w:p>
        </w:tc>
        <w:tc>
          <w:tcPr>
            <w:tcW w:w="3709" w:type="dxa"/>
            <w:shd w:val="clear" w:color="auto" w:fill="FFFFFF"/>
          </w:tcPr>
          <w:p w14:paraId="3A3975AA" w14:textId="77777777" w:rsidR="00E8217C" w:rsidRDefault="00E8217C" w:rsidP="00950EEC">
            <w:pPr>
              <w:jc w:val="center"/>
            </w:pPr>
            <w:r>
              <w:rPr>
                <w:color w:val="201B17"/>
                <w:sz w:val="17"/>
                <w:szCs w:val="17"/>
              </w:rPr>
              <w:t>0.319</w:t>
            </w:r>
          </w:p>
        </w:tc>
        <w:tc>
          <w:tcPr>
            <w:tcW w:w="3338" w:type="dxa"/>
            <w:shd w:val="clear" w:color="auto" w:fill="FFFFFF"/>
          </w:tcPr>
          <w:p w14:paraId="4963BC9F" w14:textId="77777777" w:rsidR="00E8217C" w:rsidRDefault="00E8217C" w:rsidP="00950EEC">
            <w:pPr>
              <w:jc w:val="center"/>
            </w:pPr>
            <w:r>
              <w:rPr>
                <w:color w:val="201B17"/>
                <w:sz w:val="17"/>
                <w:szCs w:val="17"/>
              </w:rPr>
              <w:t>Yes</w:t>
            </w:r>
          </w:p>
        </w:tc>
      </w:tr>
    </w:tbl>
    <w:p w14:paraId="6C4E10FD" w14:textId="77777777" w:rsidR="00E8217C" w:rsidRDefault="00E8217C" w:rsidP="00087194">
      <w:pPr>
        <w:pStyle w:val="NormalWeb"/>
        <w:jc w:val="both"/>
        <w:rPr>
          <w:lang w:val="en-US"/>
        </w:rPr>
      </w:pPr>
    </w:p>
    <w:p w14:paraId="23F13888" w14:textId="1773E0E6" w:rsidR="00E60C58" w:rsidRDefault="009C7FA8" w:rsidP="00087194">
      <w:pPr>
        <w:spacing w:before="100" w:beforeAutospacing="1" w:after="100" w:afterAutospacing="1"/>
        <w:jc w:val="both"/>
        <w:rPr>
          <w:rFonts w:ascii="Times New Roman" w:eastAsia="Times New Roman" w:hAnsi="Times New Roman" w:cs="Times New Roman"/>
          <w:lang w:eastAsia="en-NG"/>
        </w:rPr>
      </w:pPr>
      <w:r>
        <w:rPr>
          <w:rFonts w:ascii="Times New Roman" w:eastAsia="Times New Roman" w:hAnsi="Times New Roman" w:cs="Times New Roman"/>
          <w:lang w:eastAsia="en-NG"/>
        </w:rPr>
        <w:t>F</w:t>
      </w:r>
      <w:r w:rsidR="00DB6745">
        <w:rPr>
          <w:rFonts w:ascii="Times New Roman" w:eastAsia="Times New Roman" w:hAnsi="Times New Roman" w:cs="Times New Roman"/>
          <w:lang w:eastAsia="en-NG"/>
        </w:rPr>
        <w:t>orecast Evaluation</w:t>
      </w:r>
    </w:p>
    <w:p w14:paraId="78128096" w14:textId="77777777" w:rsidR="00E60C58" w:rsidRDefault="00DB6745" w:rsidP="00D64EF6">
      <w:pPr>
        <w:spacing w:before="100" w:beforeAutospacing="1" w:after="100" w:afterAutospacing="1"/>
        <w:jc w:val="both"/>
        <w:rPr>
          <w:rFonts w:ascii="Times New Roman" w:eastAsia="Times New Roman" w:hAnsi="Times New Roman" w:cs="Times New Roman"/>
          <w:lang w:eastAsia="en-NG"/>
        </w:rPr>
      </w:pPr>
      <w:r>
        <w:rPr>
          <w:rFonts w:ascii="Times New Roman" w:eastAsia="Times New Roman" w:hAnsi="Times New Roman" w:cs="Times New Roman"/>
          <w:lang w:eastAsia="en-NG"/>
        </w:rPr>
        <w:t xml:space="preserve">The Clark-West test was prioritized because of the nested nature of our forecast model. Clark and West (2005) proposed that the MSPE (Mean Squared Prediction Error) adds to the forecast error of larger models because additional variables introduce noise. </w:t>
      </w:r>
    </w:p>
    <w:p w14:paraId="78DBE9C2" w14:textId="77777777" w:rsidR="004515F3" w:rsidRDefault="003607A6" w:rsidP="00087194">
      <w:pPr>
        <w:pStyle w:val="BodyText"/>
        <w:jc w:val="both"/>
      </w:pPr>
      <w:r>
        <w:rPr>
          <w:b/>
          <w:bCs/>
        </w:rPr>
        <w:t>Table 10: Out-of-Sample Forecast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6"/>
        <w:gridCol w:w="1229"/>
        <w:gridCol w:w="1217"/>
        <w:gridCol w:w="1000"/>
        <w:gridCol w:w="1092"/>
        <w:gridCol w:w="1202"/>
        <w:gridCol w:w="1202"/>
        <w:gridCol w:w="1202"/>
      </w:tblGrid>
      <w:tr w:rsidR="003274A4" w14:paraId="76E97CDE" w14:textId="77777777" w:rsidTr="003274A4">
        <w:trPr>
          <w:trHeight w:val="204"/>
        </w:trPr>
        <w:tc>
          <w:tcPr>
            <w:tcW w:w="1206" w:type="dxa"/>
            <w:shd w:val="clear" w:color="auto" w:fill="201B17"/>
          </w:tcPr>
          <w:p w14:paraId="27A3ADA4" w14:textId="77777777" w:rsidR="003274A4" w:rsidRDefault="003274A4" w:rsidP="00CA3C0E">
            <w:pPr>
              <w:jc w:val="center"/>
            </w:pPr>
            <w:r>
              <w:rPr>
                <w:b/>
                <w:bCs/>
                <w:color w:val="FFFFFF"/>
                <w:sz w:val="19"/>
                <w:szCs w:val="19"/>
              </w:rPr>
              <w:t>Horizon</w:t>
            </w:r>
          </w:p>
        </w:tc>
        <w:tc>
          <w:tcPr>
            <w:tcW w:w="1229" w:type="dxa"/>
            <w:shd w:val="clear" w:color="auto" w:fill="201B17"/>
          </w:tcPr>
          <w:p w14:paraId="4D493149" w14:textId="77777777" w:rsidR="003274A4" w:rsidRDefault="003274A4" w:rsidP="00CA3C0E">
            <w:pPr>
              <w:jc w:val="center"/>
              <w:rPr>
                <w:b/>
                <w:bCs/>
                <w:color w:val="FFFFFF"/>
                <w:sz w:val="19"/>
                <w:szCs w:val="19"/>
              </w:rPr>
            </w:pPr>
            <w:r>
              <w:rPr>
                <w:b/>
                <w:bCs/>
                <w:color w:val="FFFFFF"/>
                <w:sz w:val="19"/>
                <w:szCs w:val="19"/>
              </w:rPr>
              <w:t>M0/M2 CW stat</w:t>
            </w:r>
          </w:p>
        </w:tc>
        <w:tc>
          <w:tcPr>
            <w:tcW w:w="1217" w:type="dxa"/>
            <w:shd w:val="clear" w:color="auto" w:fill="201B17"/>
          </w:tcPr>
          <w:p w14:paraId="0BF4AD04" w14:textId="77777777" w:rsidR="003274A4" w:rsidRDefault="003274A4" w:rsidP="00CA3C0E">
            <w:pPr>
              <w:jc w:val="center"/>
              <w:rPr>
                <w:b/>
                <w:bCs/>
                <w:color w:val="FFFFFF"/>
                <w:sz w:val="19"/>
                <w:szCs w:val="19"/>
              </w:rPr>
            </w:pPr>
            <w:r>
              <w:rPr>
                <w:b/>
                <w:bCs/>
                <w:color w:val="FFFFFF"/>
                <w:sz w:val="19"/>
                <w:szCs w:val="19"/>
              </w:rPr>
              <w:t>P value</w:t>
            </w:r>
          </w:p>
        </w:tc>
        <w:tc>
          <w:tcPr>
            <w:tcW w:w="1000" w:type="dxa"/>
            <w:shd w:val="clear" w:color="auto" w:fill="201B17"/>
          </w:tcPr>
          <w:p w14:paraId="449E30B8" w14:textId="77777777" w:rsidR="003274A4" w:rsidRDefault="003274A4" w:rsidP="00CA3C0E">
            <w:pPr>
              <w:jc w:val="center"/>
              <w:rPr>
                <w:b/>
                <w:bCs/>
                <w:color w:val="FFFFFF"/>
                <w:sz w:val="19"/>
                <w:szCs w:val="19"/>
              </w:rPr>
            </w:pPr>
            <w:r>
              <w:rPr>
                <w:b/>
                <w:bCs/>
                <w:color w:val="FFFFFF"/>
                <w:sz w:val="19"/>
                <w:szCs w:val="19"/>
              </w:rPr>
              <w:t>M1/M2 CW stat</w:t>
            </w:r>
          </w:p>
        </w:tc>
        <w:tc>
          <w:tcPr>
            <w:tcW w:w="1092" w:type="dxa"/>
            <w:shd w:val="clear" w:color="auto" w:fill="201B17"/>
          </w:tcPr>
          <w:p w14:paraId="03BFDA84" w14:textId="77777777" w:rsidR="003274A4" w:rsidRDefault="003274A4" w:rsidP="00CA3C0E">
            <w:pPr>
              <w:jc w:val="center"/>
              <w:rPr>
                <w:b/>
                <w:bCs/>
                <w:color w:val="FFFFFF"/>
                <w:sz w:val="19"/>
                <w:szCs w:val="19"/>
              </w:rPr>
            </w:pPr>
            <w:r>
              <w:rPr>
                <w:b/>
                <w:bCs/>
                <w:color w:val="FFFFFF"/>
                <w:sz w:val="19"/>
                <w:szCs w:val="19"/>
              </w:rPr>
              <w:t>P value</w:t>
            </w:r>
          </w:p>
        </w:tc>
        <w:tc>
          <w:tcPr>
            <w:tcW w:w="1202" w:type="dxa"/>
            <w:shd w:val="clear" w:color="auto" w:fill="201B17"/>
          </w:tcPr>
          <w:p w14:paraId="722E9AFE" w14:textId="77777777" w:rsidR="003274A4" w:rsidRDefault="003274A4" w:rsidP="00CA3C0E">
            <w:pPr>
              <w:jc w:val="center"/>
            </w:pPr>
            <w:r>
              <w:rPr>
                <w:b/>
                <w:bCs/>
                <w:color w:val="FFFFFF"/>
                <w:sz w:val="19"/>
                <w:szCs w:val="19"/>
              </w:rPr>
              <w:t>RMSE M0</w:t>
            </w:r>
          </w:p>
        </w:tc>
        <w:tc>
          <w:tcPr>
            <w:tcW w:w="1202" w:type="dxa"/>
            <w:shd w:val="clear" w:color="auto" w:fill="201B17"/>
          </w:tcPr>
          <w:p w14:paraId="00FD0673" w14:textId="77777777" w:rsidR="003274A4" w:rsidRDefault="003274A4" w:rsidP="00CA3C0E">
            <w:pPr>
              <w:jc w:val="center"/>
            </w:pPr>
            <w:r>
              <w:rPr>
                <w:b/>
                <w:bCs/>
                <w:color w:val="FFFFFF"/>
                <w:sz w:val="19"/>
                <w:szCs w:val="19"/>
              </w:rPr>
              <w:t>RMSE M1</w:t>
            </w:r>
          </w:p>
        </w:tc>
        <w:tc>
          <w:tcPr>
            <w:tcW w:w="1202" w:type="dxa"/>
            <w:shd w:val="clear" w:color="auto" w:fill="201B17"/>
          </w:tcPr>
          <w:p w14:paraId="05ED2D24" w14:textId="77777777" w:rsidR="003274A4" w:rsidRDefault="003274A4" w:rsidP="00CA3C0E">
            <w:pPr>
              <w:jc w:val="center"/>
            </w:pPr>
            <w:r>
              <w:rPr>
                <w:b/>
                <w:bCs/>
                <w:color w:val="FFFFFF"/>
                <w:sz w:val="19"/>
                <w:szCs w:val="19"/>
              </w:rPr>
              <w:t>RMSE M2</w:t>
            </w:r>
          </w:p>
        </w:tc>
      </w:tr>
      <w:tr w:rsidR="003274A4" w14:paraId="698E0184" w14:textId="77777777" w:rsidTr="003274A4">
        <w:trPr>
          <w:trHeight w:val="311"/>
        </w:trPr>
        <w:tc>
          <w:tcPr>
            <w:tcW w:w="1206" w:type="dxa"/>
            <w:shd w:val="clear" w:color="auto" w:fill="F6EDE3"/>
          </w:tcPr>
          <w:p w14:paraId="76683E39" w14:textId="77777777" w:rsidR="003274A4" w:rsidRDefault="003274A4" w:rsidP="00CA3C0E">
            <w:pPr>
              <w:jc w:val="center"/>
            </w:pPr>
            <w:r>
              <w:rPr>
                <w:b/>
                <w:bCs/>
                <w:color w:val="201B17"/>
                <w:sz w:val="19"/>
                <w:szCs w:val="19"/>
              </w:rPr>
              <w:t>1</w:t>
            </w:r>
          </w:p>
        </w:tc>
        <w:tc>
          <w:tcPr>
            <w:tcW w:w="1229" w:type="dxa"/>
            <w:shd w:val="clear" w:color="auto" w:fill="F6EDE3"/>
          </w:tcPr>
          <w:p w14:paraId="18280F1D" w14:textId="77777777" w:rsidR="003274A4" w:rsidRPr="00865C04" w:rsidRDefault="003274A4" w:rsidP="00CA3C0E">
            <w:pPr>
              <w:jc w:val="center"/>
              <w:rPr>
                <w:sz w:val="19"/>
                <w:szCs w:val="19"/>
              </w:rPr>
            </w:pPr>
            <w:r w:rsidRPr="00865C04">
              <w:rPr>
                <w:bCs/>
                <w:sz w:val="19"/>
                <w:szCs w:val="19"/>
              </w:rPr>
              <w:t xml:space="preserve">2.637 </w:t>
            </w:r>
          </w:p>
        </w:tc>
        <w:tc>
          <w:tcPr>
            <w:tcW w:w="1217" w:type="dxa"/>
            <w:shd w:val="clear" w:color="auto" w:fill="F6EDE3"/>
          </w:tcPr>
          <w:p w14:paraId="53D88F7F" w14:textId="77777777" w:rsidR="003274A4" w:rsidRPr="00865C04" w:rsidRDefault="003274A4" w:rsidP="00CA3C0E">
            <w:pPr>
              <w:jc w:val="center"/>
              <w:rPr>
                <w:sz w:val="19"/>
                <w:szCs w:val="19"/>
              </w:rPr>
            </w:pPr>
            <w:r w:rsidRPr="00865C04">
              <w:rPr>
                <w:bCs/>
                <w:sz w:val="19"/>
                <w:szCs w:val="19"/>
              </w:rPr>
              <w:t>0.0042</w:t>
            </w:r>
          </w:p>
        </w:tc>
        <w:tc>
          <w:tcPr>
            <w:tcW w:w="1000" w:type="dxa"/>
            <w:shd w:val="clear" w:color="auto" w:fill="F6EDE3"/>
          </w:tcPr>
          <w:p w14:paraId="3605CB50" w14:textId="10CA7713" w:rsidR="003274A4" w:rsidRDefault="00865C04" w:rsidP="00CA3C0E">
            <w:pPr>
              <w:jc w:val="center"/>
              <w:rPr>
                <w:color w:val="201B17"/>
                <w:sz w:val="19"/>
                <w:szCs w:val="19"/>
              </w:rPr>
            </w:pPr>
            <w:r>
              <w:rPr>
                <w:color w:val="201B17"/>
                <w:sz w:val="19"/>
                <w:szCs w:val="19"/>
              </w:rPr>
              <w:t>2.955</w:t>
            </w:r>
          </w:p>
        </w:tc>
        <w:tc>
          <w:tcPr>
            <w:tcW w:w="1092" w:type="dxa"/>
            <w:shd w:val="clear" w:color="auto" w:fill="F6EDE3"/>
          </w:tcPr>
          <w:p w14:paraId="17557D2E" w14:textId="7132D76D" w:rsidR="003274A4" w:rsidRDefault="00865C04" w:rsidP="00CA3C0E">
            <w:pPr>
              <w:jc w:val="center"/>
              <w:rPr>
                <w:color w:val="201B17"/>
                <w:sz w:val="19"/>
                <w:szCs w:val="19"/>
              </w:rPr>
            </w:pPr>
            <w:r>
              <w:rPr>
                <w:color w:val="201B17"/>
                <w:sz w:val="19"/>
                <w:szCs w:val="19"/>
              </w:rPr>
              <w:t>0.002</w:t>
            </w:r>
          </w:p>
        </w:tc>
        <w:tc>
          <w:tcPr>
            <w:tcW w:w="1202" w:type="dxa"/>
            <w:shd w:val="clear" w:color="auto" w:fill="F6EDE3"/>
          </w:tcPr>
          <w:p w14:paraId="45AFFB44" w14:textId="77777777" w:rsidR="003274A4" w:rsidRDefault="003274A4" w:rsidP="00CA3C0E">
            <w:pPr>
              <w:jc w:val="center"/>
            </w:pPr>
            <w:r>
              <w:rPr>
                <w:color w:val="201B17"/>
                <w:sz w:val="19"/>
                <w:szCs w:val="19"/>
              </w:rPr>
              <w:t>5.960</w:t>
            </w:r>
          </w:p>
        </w:tc>
        <w:tc>
          <w:tcPr>
            <w:tcW w:w="1202" w:type="dxa"/>
            <w:shd w:val="clear" w:color="auto" w:fill="F6EDE3"/>
          </w:tcPr>
          <w:p w14:paraId="0B474A54" w14:textId="77777777" w:rsidR="003274A4" w:rsidRDefault="003274A4" w:rsidP="00CA3C0E">
            <w:pPr>
              <w:jc w:val="center"/>
            </w:pPr>
            <w:r>
              <w:rPr>
                <w:color w:val="201B17"/>
                <w:sz w:val="19"/>
                <w:szCs w:val="19"/>
              </w:rPr>
              <w:t>5.961</w:t>
            </w:r>
          </w:p>
        </w:tc>
        <w:tc>
          <w:tcPr>
            <w:tcW w:w="1202" w:type="dxa"/>
            <w:shd w:val="clear" w:color="auto" w:fill="F6EDE3"/>
          </w:tcPr>
          <w:p w14:paraId="48FB3E33" w14:textId="77777777" w:rsidR="003274A4" w:rsidRDefault="003274A4" w:rsidP="00CA3C0E">
            <w:pPr>
              <w:jc w:val="center"/>
            </w:pPr>
            <w:r>
              <w:rPr>
                <w:color w:val="201B17"/>
                <w:sz w:val="19"/>
                <w:szCs w:val="19"/>
              </w:rPr>
              <w:t>5.950</w:t>
            </w:r>
          </w:p>
        </w:tc>
      </w:tr>
      <w:tr w:rsidR="003274A4" w14:paraId="0B3E568D" w14:textId="77777777" w:rsidTr="003274A4">
        <w:trPr>
          <w:trHeight w:val="311"/>
        </w:trPr>
        <w:tc>
          <w:tcPr>
            <w:tcW w:w="1206" w:type="dxa"/>
            <w:shd w:val="clear" w:color="auto" w:fill="F6EDE3"/>
          </w:tcPr>
          <w:p w14:paraId="07DD20BD" w14:textId="77777777" w:rsidR="003274A4" w:rsidRDefault="003274A4" w:rsidP="00CA3C0E">
            <w:pPr>
              <w:jc w:val="center"/>
            </w:pPr>
            <w:r>
              <w:rPr>
                <w:b/>
                <w:bCs/>
                <w:color w:val="201B17"/>
                <w:sz w:val="19"/>
                <w:szCs w:val="19"/>
              </w:rPr>
              <w:t>3</w:t>
            </w:r>
          </w:p>
        </w:tc>
        <w:tc>
          <w:tcPr>
            <w:tcW w:w="1229" w:type="dxa"/>
            <w:shd w:val="clear" w:color="auto" w:fill="F6EDE3"/>
          </w:tcPr>
          <w:p w14:paraId="493DA8D5" w14:textId="77777777" w:rsidR="003274A4" w:rsidRPr="00865C04" w:rsidRDefault="003274A4" w:rsidP="00CA3C0E">
            <w:pPr>
              <w:jc w:val="center"/>
              <w:rPr>
                <w:sz w:val="19"/>
                <w:szCs w:val="19"/>
              </w:rPr>
            </w:pPr>
            <w:r w:rsidRPr="00865C04">
              <w:rPr>
                <w:bCs/>
                <w:sz w:val="19"/>
                <w:szCs w:val="19"/>
              </w:rPr>
              <w:t xml:space="preserve">2.095 </w:t>
            </w:r>
          </w:p>
        </w:tc>
        <w:tc>
          <w:tcPr>
            <w:tcW w:w="1217" w:type="dxa"/>
            <w:shd w:val="clear" w:color="auto" w:fill="F6EDE3"/>
          </w:tcPr>
          <w:p w14:paraId="5D82D9BB" w14:textId="77777777" w:rsidR="003274A4" w:rsidRPr="00865C04" w:rsidRDefault="003274A4" w:rsidP="00CA3C0E">
            <w:pPr>
              <w:jc w:val="center"/>
              <w:rPr>
                <w:sz w:val="19"/>
                <w:szCs w:val="19"/>
              </w:rPr>
            </w:pPr>
            <w:r w:rsidRPr="00865C04">
              <w:rPr>
                <w:bCs/>
                <w:sz w:val="19"/>
                <w:szCs w:val="19"/>
              </w:rPr>
              <w:t>0.0181</w:t>
            </w:r>
          </w:p>
        </w:tc>
        <w:tc>
          <w:tcPr>
            <w:tcW w:w="1000" w:type="dxa"/>
            <w:shd w:val="clear" w:color="auto" w:fill="F6EDE3"/>
          </w:tcPr>
          <w:p w14:paraId="7FE7B96A" w14:textId="0C8A1C24" w:rsidR="003274A4" w:rsidRDefault="00865C04" w:rsidP="00CA3C0E">
            <w:pPr>
              <w:jc w:val="center"/>
              <w:rPr>
                <w:color w:val="201B17"/>
                <w:sz w:val="19"/>
                <w:szCs w:val="19"/>
              </w:rPr>
            </w:pPr>
            <w:r>
              <w:rPr>
                <w:color w:val="201B17"/>
                <w:sz w:val="19"/>
                <w:szCs w:val="19"/>
              </w:rPr>
              <w:t>2.532</w:t>
            </w:r>
          </w:p>
        </w:tc>
        <w:tc>
          <w:tcPr>
            <w:tcW w:w="1092" w:type="dxa"/>
            <w:shd w:val="clear" w:color="auto" w:fill="F6EDE3"/>
          </w:tcPr>
          <w:p w14:paraId="77C11995" w14:textId="6C758B8D" w:rsidR="003274A4" w:rsidRDefault="00865C04" w:rsidP="00CA3C0E">
            <w:pPr>
              <w:jc w:val="center"/>
              <w:rPr>
                <w:color w:val="201B17"/>
                <w:sz w:val="19"/>
                <w:szCs w:val="19"/>
              </w:rPr>
            </w:pPr>
            <w:r>
              <w:rPr>
                <w:color w:val="201B17"/>
                <w:sz w:val="19"/>
                <w:szCs w:val="19"/>
              </w:rPr>
              <w:t>0.006</w:t>
            </w:r>
          </w:p>
        </w:tc>
        <w:tc>
          <w:tcPr>
            <w:tcW w:w="1202" w:type="dxa"/>
            <w:shd w:val="clear" w:color="auto" w:fill="F6EDE3"/>
          </w:tcPr>
          <w:p w14:paraId="45FF4F8E" w14:textId="77777777" w:rsidR="003274A4" w:rsidRDefault="003274A4" w:rsidP="00CA3C0E">
            <w:pPr>
              <w:jc w:val="center"/>
            </w:pPr>
            <w:r>
              <w:rPr>
                <w:color w:val="201B17"/>
                <w:sz w:val="19"/>
                <w:szCs w:val="19"/>
              </w:rPr>
              <w:t>8.632</w:t>
            </w:r>
          </w:p>
        </w:tc>
        <w:tc>
          <w:tcPr>
            <w:tcW w:w="1202" w:type="dxa"/>
            <w:shd w:val="clear" w:color="auto" w:fill="F6EDE3"/>
          </w:tcPr>
          <w:p w14:paraId="6E9BE01C" w14:textId="77777777" w:rsidR="003274A4" w:rsidRDefault="003274A4" w:rsidP="00CA3C0E">
            <w:pPr>
              <w:jc w:val="center"/>
            </w:pPr>
            <w:r>
              <w:rPr>
                <w:color w:val="201B17"/>
                <w:sz w:val="19"/>
                <w:szCs w:val="19"/>
              </w:rPr>
              <w:t>8.494</w:t>
            </w:r>
          </w:p>
        </w:tc>
        <w:tc>
          <w:tcPr>
            <w:tcW w:w="1202" w:type="dxa"/>
            <w:shd w:val="clear" w:color="auto" w:fill="F6EDE3"/>
          </w:tcPr>
          <w:p w14:paraId="6CF19718" w14:textId="77777777" w:rsidR="003274A4" w:rsidRDefault="003274A4" w:rsidP="00CA3C0E">
            <w:pPr>
              <w:jc w:val="center"/>
            </w:pPr>
            <w:r>
              <w:rPr>
                <w:color w:val="201B17"/>
                <w:sz w:val="19"/>
                <w:szCs w:val="19"/>
              </w:rPr>
              <w:t>8.500</w:t>
            </w:r>
          </w:p>
        </w:tc>
      </w:tr>
      <w:tr w:rsidR="003274A4" w14:paraId="516CA0F0" w14:textId="77777777" w:rsidTr="003274A4">
        <w:trPr>
          <w:trHeight w:val="316"/>
        </w:trPr>
        <w:tc>
          <w:tcPr>
            <w:tcW w:w="1206" w:type="dxa"/>
            <w:shd w:val="clear" w:color="auto" w:fill="F6EDE3"/>
          </w:tcPr>
          <w:p w14:paraId="718B292D" w14:textId="77777777" w:rsidR="003274A4" w:rsidRDefault="003274A4" w:rsidP="00CA3C0E">
            <w:pPr>
              <w:jc w:val="center"/>
            </w:pPr>
            <w:r>
              <w:rPr>
                <w:b/>
                <w:bCs/>
                <w:color w:val="201B17"/>
                <w:sz w:val="19"/>
                <w:szCs w:val="19"/>
              </w:rPr>
              <w:t>6</w:t>
            </w:r>
          </w:p>
        </w:tc>
        <w:tc>
          <w:tcPr>
            <w:tcW w:w="1229" w:type="dxa"/>
            <w:shd w:val="clear" w:color="auto" w:fill="F6EDE3"/>
          </w:tcPr>
          <w:p w14:paraId="02B787E8" w14:textId="77777777" w:rsidR="003274A4" w:rsidRPr="00865C04" w:rsidRDefault="003274A4" w:rsidP="00CA3C0E">
            <w:pPr>
              <w:jc w:val="center"/>
              <w:rPr>
                <w:sz w:val="19"/>
                <w:szCs w:val="19"/>
              </w:rPr>
            </w:pPr>
            <w:r w:rsidRPr="00865C04">
              <w:rPr>
                <w:bCs/>
                <w:sz w:val="19"/>
                <w:szCs w:val="19"/>
              </w:rPr>
              <w:t xml:space="preserve">1.701 </w:t>
            </w:r>
          </w:p>
        </w:tc>
        <w:tc>
          <w:tcPr>
            <w:tcW w:w="1217" w:type="dxa"/>
            <w:shd w:val="clear" w:color="auto" w:fill="F6EDE3"/>
          </w:tcPr>
          <w:p w14:paraId="55E579C4" w14:textId="77777777" w:rsidR="003274A4" w:rsidRPr="00865C04" w:rsidRDefault="003274A4" w:rsidP="00CA3C0E">
            <w:pPr>
              <w:jc w:val="center"/>
              <w:rPr>
                <w:sz w:val="19"/>
                <w:szCs w:val="19"/>
              </w:rPr>
            </w:pPr>
            <w:r w:rsidRPr="00865C04">
              <w:rPr>
                <w:bCs/>
                <w:sz w:val="19"/>
                <w:szCs w:val="19"/>
              </w:rPr>
              <w:t>0.0445</w:t>
            </w:r>
          </w:p>
        </w:tc>
        <w:tc>
          <w:tcPr>
            <w:tcW w:w="1000" w:type="dxa"/>
            <w:shd w:val="clear" w:color="auto" w:fill="F6EDE3"/>
          </w:tcPr>
          <w:p w14:paraId="5F7D2DAB" w14:textId="171198FE" w:rsidR="003274A4" w:rsidRDefault="00865C04" w:rsidP="00CA3C0E">
            <w:pPr>
              <w:jc w:val="center"/>
              <w:rPr>
                <w:color w:val="201B17"/>
                <w:sz w:val="19"/>
                <w:szCs w:val="19"/>
              </w:rPr>
            </w:pPr>
            <w:r>
              <w:rPr>
                <w:color w:val="201B17"/>
                <w:sz w:val="19"/>
                <w:szCs w:val="19"/>
              </w:rPr>
              <w:t>1.955</w:t>
            </w:r>
          </w:p>
        </w:tc>
        <w:tc>
          <w:tcPr>
            <w:tcW w:w="1092" w:type="dxa"/>
            <w:shd w:val="clear" w:color="auto" w:fill="F6EDE3"/>
          </w:tcPr>
          <w:p w14:paraId="604DE551" w14:textId="6E0C6128" w:rsidR="003274A4" w:rsidRDefault="00865C04" w:rsidP="00CA3C0E">
            <w:pPr>
              <w:jc w:val="center"/>
              <w:rPr>
                <w:color w:val="201B17"/>
                <w:sz w:val="19"/>
                <w:szCs w:val="19"/>
              </w:rPr>
            </w:pPr>
            <w:r>
              <w:rPr>
                <w:color w:val="201B17"/>
                <w:sz w:val="19"/>
                <w:szCs w:val="19"/>
              </w:rPr>
              <w:t>0.025</w:t>
            </w:r>
          </w:p>
        </w:tc>
        <w:tc>
          <w:tcPr>
            <w:tcW w:w="1202" w:type="dxa"/>
            <w:shd w:val="clear" w:color="auto" w:fill="F6EDE3"/>
          </w:tcPr>
          <w:p w14:paraId="2763395B" w14:textId="77777777" w:rsidR="003274A4" w:rsidRDefault="003274A4" w:rsidP="00CA3C0E">
            <w:pPr>
              <w:jc w:val="center"/>
            </w:pPr>
            <w:r>
              <w:rPr>
                <w:color w:val="201B17"/>
                <w:sz w:val="19"/>
                <w:szCs w:val="19"/>
              </w:rPr>
              <w:t>12.648</w:t>
            </w:r>
          </w:p>
        </w:tc>
        <w:tc>
          <w:tcPr>
            <w:tcW w:w="1202" w:type="dxa"/>
            <w:shd w:val="clear" w:color="auto" w:fill="F6EDE3"/>
          </w:tcPr>
          <w:p w14:paraId="249C253D" w14:textId="77777777" w:rsidR="003274A4" w:rsidRDefault="003274A4" w:rsidP="00CA3C0E">
            <w:pPr>
              <w:jc w:val="center"/>
            </w:pPr>
            <w:r>
              <w:rPr>
                <w:color w:val="201B17"/>
                <w:sz w:val="19"/>
                <w:szCs w:val="19"/>
              </w:rPr>
              <w:t>12.408</w:t>
            </w:r>
          </w:p>
        </w:tc>
        <w:tc>
          <w:tcPr>
            <w:tcW w:w="1202" w:type="dxa"/>
            <w:shd w:val="clear" w:color="auto" w:fill="F6EDE3"/>
          </w:tcPr>
          <w:p w14:paraId="154D4C16" w14:textId="77777777" w:rsidR="003274A4" w:rsidRDefault="003274A4" w:rsidP="00CA3C0E">
            <w:pPr>
              <w:jc w:val="center"/>
            </w:pPr>
            <w:r>
              <w:rPr>
                <w:color w:val="201B17"/>
                <w:sz w:val="19"/>
                <w:szCs w:val="19"/>
              </w:rPr>
              <w:t>12.409</w:t>
            </w:r>
          </w:p>
        </w:tc>
      </w:tr>
      <w:tr w:rsidR="003274A4" w14:paraId="264ACCFA" w14:textId="77777777" w:rsidTr="003274A4">
        <w:trPr>
          <w:trHeight w:val="201"/>
        </w:trPr>
        <w:tc>
          <w:tcPr>
            <w:tcW w:w="1206" w:type="dxa"/>
            <w:shd w:val="clear" w:color="auto" w:fill="FAF7F3"/>
          </w:tcPr>
          <w:p w14:paraId="4F66F2D3" w14:textId="77777777" w:rsidR="003274A4" w:rsidRDefault="003274A4" w:rsidP="00CA3C0E">
            <w:pPr>
              <w:jc w:val="center"/>
            </w:pPr>
            <w:r>
              <w:rPr>
                <w:b/>
                <w:bCs/>
                <w:color w:val="201B17"/>
                <w:sz w:val="19"/>
                <w:szCs w:val="19"/>
              </w:rPr>
              <w:t>12</w:t>
            </w:r>
          </w:p>
        </w:tc>
        <w:tc>
          <w:tcPr>
            <w:tcW w:w="1229" w:type="dxa"/>
            <w:shd w:val="clear" w:color="auto" w:fill="FAF7F3"/>
          </w:tcPr>
          <w:p w14:paraId="3B7E681D" w14:textId="77777777" w:rsidR="003274A4" w:rsidRPr="00865C04" w:rsidRDefault="003274A4" w:rsidP="00CA3C0E">
            <w:pPr>
              <w:jc w:val="center"/>
              <w:rPr>
                <w:sz w:val="19"/>
                <w:szCs w:val="19"/>
              </w:rPr>
            </w:pPr>
            <w:r w:rsidRPr="00865C04">
              <w:rPr>
                <w:bCs/>
                <w:sz w:val="19"/>
                <w:szCs w:val="19"/>
              </w:rPr>
              <w:t xml:space="preserve">0.783 </w:t>
            </w:r>
          </w:p>
        </w:tc>
        <w:tc>
          <w:tcPr>
            <w:tcW w:w="1217" w:type="dxa"/>
            <w:shd w:val="clear" w:color="auto" w:fill="FAF7F3"/>
          </w:tcPr>
          <w:p w14:paraId="7B6CE3BE" w14:textId="77777777" w:rsidR="003274A4" w:rsidRPr="00865C04" w:rsidRDefault="003274A4" w:rsidP="00CA3C0E">
            <w:pPr>
              <w:jc w:val="center"/>
              <w:rPr>
                <w:sz w:val="19"/>
                <w:szCs w:val="19"/>
              </w:rPr>
            </w:pPr>
            <w:r w:rsidRPr="00865C04">
              <w:rPr>
                <w:bCs/>
                <w:sz w:val="19"/>
                <w:szCs w:val="19"/>
              </w:rPr>
              <w:t>0.2168</w:t>
            </w:r>
          </w:p>
        </w:tc>
        <w:tc>
          <w:tcPr>
            <w:tcW w:w="1000" w:type="dxa"/>
            <w:shd w:val="clear" w:color="auto" w:fill="FAF7F3"/>
          </w:tcPr>
          <w:p w14:paraId="1B69ED9B" w14:textId="1718D0AE" w:rsidR="003274A4" w:rsidRDefault="00865C04" w:rsidP="00CA3C0E">
            <w:pPr>
              <w:jc w:val="center"/>
              <w:rPr>
                <w:color w:val="201B17"/>
                <w:sz w:val="19"/>
                <w:szCs w:val="19"/>
              </w:rPr>
            </w:pPr>
            <w:r>
              <w:rPr>
                <w:color w:val="201B17"/>
                <w:sz w:val="19"/>
                <w:szCs w:val="19"/>
              </w:rPr>
              <w:t>1.005</w:t>
            </w:r>
          </w:p>
        </w:tc>
        <w:tc>
          <w:tcPr>
            <w:tcW w:w="1092" w:type="dxa"/>
            <w:shd w:val="clear" w:color="auto" w:fill="FAF7F3"/>
          </w:tcPr>
          <w:p w14:paraId="49CD1745" w14:textId="0D7326B0" w:rsidR="003274A4" w:rsidRDefault="00865C04" w:rsidP="00CA3C0E">
            <w:pPr>
              <w:jc w:val="center"/>
              <w:rPr>
                <w:color w:val="201B17"/>
                <w:sz w:val="19"/>
                <w:szCs w:val="19"/>
              </w:rPr>
            </w:pPr>
            <w:r>
              <w:rPr>
                <w:color w:val="201B17"/>
                <w:sz w:val="19"/>
                <w:szCs w:val="19"/>
              </w:rPr>
              <w:t>0.157</w:t>
            </w:r>
          </w:p>
        </w:tc>
        <w:tc>
          <w:tcPr>
            <w:tcW w:w="1202" w:type="dxa"/>
            <w:shd w:val="clear" w:color="auto" w:fill="FAF7F3"/>
          </w:tcPr>
          <w:p w14:paraId="5C02823D" w14:textId="77777777" w:rsidR="003274A4" w:rsidRDefault="003274A4" w:rsidP="00CA3C0E">
            <w:pPr>
              <w:jc w:val="center"/>
            </w:pPr>
            <w:r>
              <w:rPr>
                <w:color w:val="201B17"/>
                <w:sz w:val="19"/>
                <w:szCs w:val="19"/>
              </w:rPr>
              <w:t>18.537</w:t>
            </w:r>
          </w:p>
        </w:tc>
        <w:tc>
          <w:tcPr>
            <w:tcW w:w="1202" w:type="dxa"/>
            <w:shd w:val="clear" w:color="auto" w:fill="FAF7F3"/>
          </w:tcPr>
          <w:p w14:paraId="674B45A2" w14:textId="77777777" w:rsidR="003274A4" w:rsidRDefault="003274A4" w:rsidP="00CA3C0E">
            <w:pPr>
              <w:jc w:val="center"/>
            </w:pPr>
            <w:r>
              <w:rPr>
                <w:color w:val="201B17"/>
                <w:sz w:val="19"/>
                <w:szCs w:val="19"/>
              </w:rPr>
              <w:t>17.993</w:t>
            </w:r>
          </w:p>
        </w:tc>
        <w:tc>
          <w:tcPr>
            <w:tcW w:w="1202" w:type="dxa"/>
            <w:shd w:val="clear" w:color="auto" w:fill="FAF7F3"/>
          </w:tcPr>
          <w:p w14:paraId="4DBB5222" w14:textId="77777777" w:rsidR="003274A4" w:rsidRDefault="003274A4" w:rsidP="00CA3C0E">
            <w:pPr>
              <w:jc w:val="center"/>
            </w:pPr>
            <w:r>
              <w:rPr>
                <w:color w:val="201B17"/>
                <w:sz w:val="19"/>
                <w:szCs w:val="19"/>
              </w:rPr>
              <w:t>18.009</w:t>
            </w:r>
          </w:p>
        </w:tc>
      </w:tr>
    </w:tbl>
    <w:p w14:paraId="6E9E23DA" w14:textId="27EB6172" w:rsidR="00E60C58" w:rsidRPr="00964F5E" w:rsidRDefault="00CA3C0E" w:rsidP="00964F5E">
      <w:pPr>
        <w:spacing w:before="100" w:beforeAutospacing="1" w:after="100" w:afterAutospacing="1"/>
        <w:jc w:val="both"/>
        <w:rPr>
          <w:rFonts w:ascii="Times New Roman" w:eastAsia="Times New Roman" w:hAnsi="Times New Roman" w:cs="Times New Roman"/>
          <w:lang w:eastAsia="en-NG"/>
        </w:rPr>
      </w:pPr>
      <w:r>
        <w:rPr>
          <w:rFonts w:ascii="Times New Roman" w:eastAsia="Times New Roman" w:hAnsi="Times New Roman" w:cs="Times New Roman"/>
          <w:lang w:eastAsia="en-NG"/>
        </w:rPr>
        <w:t>The Clark-West asked the question is model M2 better than M0</w:t>
      </w:r>
      <w:r w:rsidR="00865C04">
        <w:rPr>
          <w:rFonts w:ascii="Times New Roman" w:eastAsia="Times New Roman" w:hAnsi="Times New Roman" w:cs="Times New Roman"/>
          <w:lang w:eastAsia="en-NG"/>
        </w:rPr>
        <w:t xml:space="preserve"> and is M2 better than M1. T</w:t>
      </w:r>
      <w:r>
        <w:rPr>
          <w:rFonts w:ascii="Times New Roman" w:eastAsia="Times New Roman" w:hAnsi="Times New Roman" w:cs="Times New Roman"/>
          <w:lang w:eastAsia="en-NG"/>
        </w:rPr>
        <w:t>able</w:t>
      </w:r>
      <w:r w:rsidR="00865C04">
        <w:rPr>
          <w:rFonts w:ascii="Times New Roman" w:eastAsia="Times New Roman" w:hAnsi="Times New Roman" w:cs="Times New Roman"/>
          <w:lang w:eastAsia="en-NG"/>
        </w:rPr>
        <w:t xml:space="preserve"> 10</w:t>
      </w:r>
      <w:r>
        <w:rPr>
          <w:rFonts w:ascii="Times New Roman" w:eastAsia="Times New Roman" w:hAnsi="Times New Roman" w:cs="Times New Roman"/>
          <w:lang w:eastAsia="en-NG"/>
        </w:rPr>
        <w:t xml:space="preserve"> shows that AIRI plus other macroeconomic variables model (M2) is better than the baseline model AR model</w:t>
      </w:r>
      <w:r w:rsidR="00865C04">
        <w:rPr>
          <w:rFonts w:ascii="Times New Roman" w:eastAsia="Times New Roman" w:hAnsi="Times New Roman" w:cs="Times New Roman"/>
          <w:lang w:eastAsia="en-NG"/>
        </w:rPr>
        <w:t xml:space="preserve"> and M1</w:t>
      </w:r>
      <w:r w:rsidR="00865C04" w:rsidRPr="00865C04">
        <w:rPr>
          <w:rFonts w:ascii="Times New Roman" w:eastAsia="Times New Roman" w:hAnsi="Times New Roman" w:cs="Times New Roman"/>
          <w:lang w:eastAsia="en-NG"/>
        </w:rPr>
        <w:t xml:space="preserve"> </w:t>
      </w:r>
      <w:r w:rsidR="00865C04">
        <w:rPr>
          <w:rFonts w:ascii="Times New Roman" w:eastAsia="Times New Roman" w:hAnsi="Times New Roman" w:cs="Times New Roman"/>
          <w:lang w:eastAsia="en-NG"/>
        </w:rPr>
        <w:t>(forecast model including inflation lag and macroeconomic variables)</w:t>
      </w:r>
      <w:r>
        <w:rPr>
          <w:rFonts w:ascii="Times New Roman" w:eastAsia="Times New Roman" w:hAnsi="Times New Roman" w:cs="Times New Roman"/>
          <w:lang w:eastAsia="en-NG"/>
        </w:rPr>
        <w:t xml:space="preserve"> up to a 6-month horizon at the 5% level of significance. </w:t>
      </w:r>
      <w:r w:rsidR="00865C04">
        <w:rPr>
          <w:rFonts w:ascii="Times New Roman" w:eastAsia="Times New Roman" w:hAnsi="Times New Roman" w:cs="Times New Roman"/>
          <w:lang w:eastAsia="en-NG"/>
        </w:rPr>
        <w:t xml:space="preserve">Also, </w:t>
      </w:r>
      <w:proofErr w:type="gramStart"/>
      <w:r>
        <w:rPr>
          <w:rFonts w:ascii="Times New Roman" w:eastAsia="Times New Roman" w:hAnsi="Times New Roman" w:cs="Times New Roman"/>
          <w:lang w:eastAsia="en-NG"/>
        </w:rPr>
        <w:t>For</w:t>
      </w:r>
      <w:proofErr w:type="gramEnd"/>
      <w:r>
        <w:rPr>
          <w:rFonts w:ascii="Times New Roman" w:eastAsia="Times New Roman" w:hAnsi="Times New Roman" w:cs="Times New Roman"/>
          <w:lang w:eastAsia="en-NG"/>
        </w:rPr>
        <w:t xml:space="preserve"> robustness the RMSEs were compared for the models, as expected, the impact was marginal. The forecast error declines against the baseline comparing M0 to M2 across all time horizons, however, comparing the M</w:t>
      </w:r>
      <w:proofErr w:type="gramStart"/>
      <w:r>
        <w:rPr>
          <w:rFonts w:ascii="Times New Roman" w:eastAsia="Times New Roman" w:hAnsi="Times New Roman" w:cs="Times New Roman"/>
          <w:lang w:eastAsia="en-NG"/>
        </w:rPr>
        <w:t>1  to</w:t>
      </w:r>
      <w:proofErr w:type="gramEnd"/>
      <w:r>
        <w:rPr>
          <w:rFonts w:ascii="Times New Roman" w:eastAsia="Times New Roman" w:hAnsi="Times New Roman" w:cs="Times New Roman"/>
          <w:lang w:eastAsia="en-NG"/>
        </w:rPr>
        <w:t xml:space="preserve"> the M2 showed only an improvement in forecast error at horizon 1.</w:t>
      </w:r>
    </w:p>
    <w:p w14:paraId="43D25DFA" w14:textId="77777777" w:rsidR="004515F3" w:rsidRDefault="003607A6" w:rsidP="00087194">
      <w:pPr>
        <w:pStyle w:val="Heading1"/>
        <w:jc w:val="both"/>
      </w:pPr>
      <w:r>
        <w:t>Conclusion</w:t>
      </w:r>
    </w:p>
    <w:p w14:paraId="31180031" w14:textId="77777777" w:rsidR="00964F5E" w:rsidRPr="00964F5E" w:rsidRDefault="00964F5E" w:rsidP="00964F5E">
      <w:pPr>
        <w:spacing w:before="100" w:beforeAutospacing="1" w:after="100" w:afterAutospacing="1"/>
        <w:jc w:val="both"/>
        <w:rPr>
          <w:rFonts w:ascii="Times New Roman" w:eastAsia="Times New Roman" w:hAnsi="Times New Roman" w:cs="Times New Roman"/>
          <w:lang w:val="en-NG" w:eastAsia="en-NG"/>
        </w:rPr>
      </w:pPr>
      <w:r w:rsidRPr="00964F5E">
        <w:rPr>
          <w:rFonts w:ascii="Times New Roman" w:eastAsia="Times New Roman" w:hAnsi="Times New Roman" w:cs="Times New Roman"/>
          <w:lang w:val="en-NG" w:eastAsia="en-NG"/>
        </w:rPr>
        <w:t>The level of inflation is a critical metric that feeds into economic planning, not only because it concerns welfare but because economic expansions sponsored by investment activities largely depend on policymakers' ability to control inflation. Data availability and timeliness influence the effectiveness of policymaking. African economies are frequently exposed to inflation shocks, yet conventional inflation predictors are constrained by reporting lags and data limitations that leave policymakers reacting to price pressures only after they have already materialized.</w:t>
      </w:r>
    </w:p>
    <w:p w14:paraId="00CC2834" w14:textId="77777777" w:rsidR="00964F5E" w:rsidRPr="00964F5E" w:rsidRDefault="00964F5E" w:rsidP="00964F5E">
      <w:pPr>
        <w:spacing w:before="100" w:beforeAutospacing="1" w:after="100" w:afterAutospacing="1"/>
        <w:jc w:val="both"/>
        <w:rPr>
          <w:rFonts w:ascii="Times New Roman" w:eastAsia="Times New Roman" w:hAnsi="Times New Roman" w:cs="Times New Roman"/>
          <w:lang w:val="en-NG" w:eastAsia="en-NG"/>
        </w:rPr>
      </w:pPr>
      <w:r w:rsidRPr="00964F5E">
        <w:rPr>
          <w:rFonts w:ascii="Times New Roman" w:eastAsia="Times New Roman" w:hAnsi="Times New Roman" w:cs="Times New Roman"/>
          <w:lang w:val="en-NG" w:eastAsia="en-NG"/>
        </w:rPr>
        <w:lastRenderedPageBreak/>
        <w:t>This paper proposes an index, the African Inflation Risk Index (AIRI), that identifies inflation risk leveraging on indications in news media across African countries. Desirable qualities of this index include its timeliness, transparency, and auditability. Statistical tests were carried out to investigate the predictability of the AIRI index.</w:t>
      </w:r>
    </w:p>
    <w:p w14:paraId="332F028C" w14:textId="77777777" w:rsidR="00964F5E" w:rsidRPr="00964F5E" w:rsidRDefault="00964F5E" w:rsidP="00964F5E">
      <w:pPr>
        <w:spacing w:before="100" w:beforeAutospacing="1" w:after="100" w:afterAutospacing="1"/>
        <w:jc w:val="both"/>
        <w:rPr>
          <w:rFonts w:ascii="Times New Roman" w:eastAsia="Times New Roman" w:hAnsi="Times New Roman" w:cs="Times New Roman"/>
          <w:lang w:val="en-NG" w:eastAsia="en-NG"/>
        </w:rPr>
      </w:pPr>
      <w:r w:rsidRPr="00964F5E">
        <w:rPr>
          <w:rFonts w:ascii="Times New Roman" w:eastAsia="Times New Roman" w:hAnsi="Times New Roman" w:cs="Times New Roman"/>
          <w:lang w:val="en-NG" w:eastAsia="en-NG"/>
        </w:rPr>
        <w:t xml:space="preserve">The empirical results support </w:t>
      </w:r>
      <w:proofErr w:type="spellStart"/>
      <w:r w:rsidRPr="00964F5E">
        <w:rPr>
          <w:rFonts w:ascii="Times New Roman" w:eastAsia="Times New Roman" w:hAnsi="Times New Roman" w:cs="Times New Roman"/>
          <w:lang w:val="en-NG" w:eastAsia="en-NG"/>
        </w:rPr>
        <w:t>AIRI's</w:t>
      </w:r>
      <w:proofErr w:type="spellEnd"/>
      <w:r w:rsidRPr="00964F5E">
        <w:rPr>
          <w:rFonts w:ascii="Times New Roman" w:eastAsia="Times New Roman" w:hAnsi="Times New Roman" w:cs="Times New Roman"/>
          <w:lang w:val="en-NG" w:eastAsia="en-NG"/>
        </w:rPr>
        <w:t xml:space="preserve"> value as a leading indicator. The Mean Group Panel VAR, adopted specifically to accommodate the heterogeneity in African economies, found that </w:t>
      </w:r>
      <w:proofErr w:type="spellStart"/>
      <w:r w:rsidRPr="00964F5E">
        <w:rPr>
          <w:rFonts w:ascii="Times New Roman" w:eastAsia="Times New Roman" w:hAnsi="Times New Roman" w:cs="Times New Roman"/>
          <w:lang w:val="en-NG" w:eastAsia="en-NG"/>
        </w:rPr>
        <w:t>AIRI's</w:t>
      </w:r>
      <w:proofErr w:type="spellEnd"/>
      <w:r w:rsidRPr="00964F5E">
        <w:rPr>
          <w:rFonts w:ascii="Times New Roman" w:eastAsia="Times New Roman" w:hAnsi="Times New Roman" w:cs="Times New Roman"/>
          <w:lang w:val="en-NG" w:eastAsia="en-NG"/>
        </w:rPr>
        <w:t xml:space="preserve"> first lag is a statistically significant predictor of next-period inflation even after controlling for inflation's own persistence, exchange rate growth, GDP growth, and money growth. This result is consistent with a growing literature demonstrating that news-based indicators have macroeconomic information.</w:t>
      </w:r>
    </w:p>
    <w:p w14:paraId="43D007A2" w14:textId="581EA2B1" w:rsidR="006A4657" w:rsidRDefault="00964F5E" w:rsidP="00964F5E">
      <w:pPr>
        <w:spacing w:before="100" w:beforeAutospacing="1" w:after="100" w:afterAutospacing="1"/>
        <w:jc w:val="both"/>
        <w:rPr>
          <w:rFonts w:ascii="Times New Roman" w:eastAsia="Times New Roman" w:hAnsi="Times New Roman" w:cs="Times New Roman"/>
          <w:lang w:eastAsia="en-NG"/>
        </w:rPr>
      </w:pPr>
      <w:r w:rsidRPr="00964F5E">
        <w:rPr>
          <w:rFonts w:ascii="Times New Roman" w:eastAsia="Times New Roman" w:hAnsi="Times New Roman" w:cs="Times New Roman"/>
          <w:lang w:val="en-NG" w:eastAsia="en-NG"/>
        </w:rPr>
        <w:t>Panel Granger causality tests corroborated this finding, rejecting the null hypothesis that AIRI does not Granger-cause inflation. Splitting the panel by inflation regime revealed that this predictive relationship is not uniform: it is significant in high-inflation economies, but cannot be statistically distinguished from zero in low-inflation economies</w:t>
      </w:r>
      <w:r w:rsidR="009C7FA8">
        <w:t xml:space="preserve">. </w:t>
      </w:r>
      <w:r w:rsidR="009C7FA8">
        <w:t>The impulse response function result also</w:t>
      </w:r>
      <w:r w:rsidR="009C7FA8">
        <w:t xml:space="preserve"> effect on inflation starts from horizon one and peaks 0.419 at horizon 5 and starts to decay, also, the result stayed significant until horizon 12 and retains 76% of its peak magnitude, 0.319.</w:t>
      </w:r>
      <w:r w:rsidR="009C7FA8">
        <w:rPr>
          <w:rFonts w:ascii="Times New Roman" w:eastAsia="Times New Roman" w:hAnsi="Times New Roman" w:cs="Times New Roman"/>
          <w:lang w:eastAsia="en-NG"/>
        </w:rPr>
        <w:t xml:space="preserve">For the </w:t>
      </w:r>
      <w:r w:rsidRPr="00964F5E">
        <w:rPr>
          <w:rFonts w:ascii="Times New Roman" w:eastAsia="Times New Roman" w:hAnsi="Times New Roman" w:cs="Times New Roman"/>
          <w:lang w:val="en-NG" w:eastAsia="en-NG"/>
        </w:rPr>
        <w:t>out-of-sample forecast evaluation, using the Clark-West test appropriate given the nested structure of the competing models, found that AIRI significantly improves inflation forecasts at horizons of up to six month</w:t>
      </w:r>
      <w:r w:rsidR="00FE2B3A">
        <w:rPr>
          <w:rFonts w:ascii="Times New Roman" w:eastAsia="Times New Roman" w:hAnsi="Times New Roman" w:cs="Times New Roman"/>
          <w:lang w:eastAsia="en-NG"/>
        </w:rPr>
        <w:t xml:space="preserve">. </w:t>
      </w:r>
    </w:p>
    <w:p w14:paraId="2A544468" w14:textId="09EEA812" w:rsidR="009C7FA8" w:rsidRDefault="009C7FA8" w:rsidP="00964F5E">
      <w:pPr>
        <w:spacing w:before="100" w:beforeAutospacing="1" w:after="100" w:afterAutospacing="1"/>
        <w:jc w:val="both"/>
        <w:rPr>
          <w:rFonts w:ascii="Times New Roman" w:eastAsia="Times New Roman" w:hAnsi="Times New Roman" w:cs="Times New Roman"/>
          <w:lang w:eastAsia="en-NG"/>
        </w:rPr>
      </w:pPr>
      <w:r>
        <w:rPr>
          <w:rFonts w:ascii="Times New Roman" w:eastAsia="Times New Roman" w:hAnsi="Times New Roman" w:cs="Times New Roman"/>
          <w:lang w:eastAsia="en-NG"/>
        </w:rPr>
        <w:t xml:space="preserve">From the </w:t>
      </w:r>
      <w:proofErr w:type="spellStart"/>
      <w:r>
        <w:rPr>
          <w:rFonts w:ascii="Times New Roman" w:eastAsia="Times New Roman" w:hAnsi="Times New Roman" w:cs="Times New Roman"/>
          <w:lang w:eastAsia="en-NG"/>
        </w:rPr>
        <w:t>statististical</w:t>
      </w:r>
      <w:proofErr w:type="spellEnd"/>
      <w:r>
        <w:rPr>
          <w:rFonts w:ascii="Times New Roman" w:eastAsia="Times New Roman" w:hAnsi="Times New Roman" w:cs="Times New Roman"/>
          <w:lang w:eastAsia="en-NG"/>
        </w:rPr>
        <w:t xml:space="preserve"> proofs we see that the AIRI index is a useful alternative to mainstream inflation predictors</w:t>
      </w:r>
    </w:p>
    <w:p w14:paraId="23B26207" w14:textId="77777777" w:rsidR="009C7FA8" w:rsidRPr="00FE2B3A" w:rsidRDefault="009C7FA8" w:rsidP="00964F5E">
      <w:pPr>
        <w:spacing w:before="100" w:beforeAutospacing="1" w:after="100" w:afterAutospacing="1"/>
        <w:jc w:val="both"/>
        <w:rPr>
          <w:rFonts w:ascii="Times New Roman" w:eastAsia="Times New Roman" w:hAnsi="Times New Roman" w:cs="Times New Roman"/>
          <w:lang w:eastAsia="en-NG"/>
        </w:rPr>
      </w:pPr>
      <w:bookmarkStart w:id="0" w:name="_GoBack"/>
      <w:bookmarkEnd w:id="0"/>
    </w:p>
    <w:p w14:paraId="570225AE" w14:textId="086C677F"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41CB1A1A" w14:textId="27B51C4E"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6A0BB366" w14:textId="5DEE52CE"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1AEB8141" w14:textId="57CA5AFA"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091103C9" w14:textId="6CCAFD20"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425D9CED" w14:textId="1C5A03F2"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44561835" w14:textId="35EB730F"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24A9DD11" w14:textId="2392AE1E"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4D2E7FAD" w14:textId="0BE4F454"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697E043E" w14:textId="2275B48A"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189BC8D5" w14:textId="2B745DC9"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2A3EA9A9" w14:textId="40FF705E"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228693ED" w14:textId="1FE5B368"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4A205B1F" w14:textId="565492E5" w:rsid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059444D8" w14:textId="77777777" w:rsidR="00964F5E" w:rsidRPr="00964F5E" w:rsidRDefault="00964F5E" w:rsidP="00964F5E">
      <w:pPr>
        <w:spacing w:before="100" w:beforeAutospacing="1" w:after="100" w:afterAutospacing="1"/>
        <w:jc w:val="both"/>
        <w:rPr>
          <w:rFonts w:ascii="Times New Roman" w:eastAsia="Times New Roman" w:hAnsi="Times New Roman" w:cs="Times New Roman"/>
          <w:lang w:val="en-NG" w:eastAsia="en-NG"/>
        </w:rPr>
      </w:pPr>
    </w:p>
    <w:p w14:paraId="1EC1A28D" w14:textId="77777777" w:rsidR="006A4657" w:rsidRPr="006A4657" w:rsidRDefault="006A4657" w:rsidP="006A4657">
      <w:pPr>
        <w:pStyle w:val="BodyText"/>
      </w:pPr>
    </w:p>
    <w:p w14:paraId="0585C6C1" w14:textId="77777777" w:rsidR="004515F3" w:rsidRDefault="003607A6" w:rsidP="00087194">
      <w:pPr>
        <w:pStyle w:val="Bibliography"/>
        <w:jc w:val="both"/>
      </w:pPr>
      <w:proofErr w:type="spellStart"/>
      <w:r>
        <w:t>Abrigo</w:t>
      </w:r>
      <w:proofErr w:type="spellEnd"/>
      <w:r>
        <w:t xml:space="preserve">, Michael R. M., and Inessa Love. 2016. “Estimation of Panel Vector Autoregression in Stata.” </w:t>
      </w:r>
      <w:r>
        <w:rPr>
          <w:i/>
          <w:iCs/>
        </w:rPr>
        <w:t>The Stata Journal</w:t>
      </w:r>
      <w:r>
        <w:t xml:space="preserve"> 16 (3): 778–804.</w:t>
      </w:r>
    </w:p>
    <w:p w14:paraId="7826912F" w14:textId="77777777" w:rsidR="004515F3" w:rsidRDefault="003607A6" w:rsidP="00087194">
      <w:pPr>
        <w:pStyle w:val="Bibliography"/>
        <w:jc w:val="both"/>
      </w:pPr>
      <w:r>
        <w:t>Ahir, Hites, Nicholas Bloom, and Davide Furceri. 2018. “The World Uncertainty Index.” IMF Working Paper WP/18/315. International Monetary Fund.</w:t>
      </w:r>
    </w:p>
    <w:p w14:paraId="7A9CA551" w14:textId="77777777" w:rsidR="004515F3" w:rsidRDefault="003607A6" w:rsidP="00087194">
      <w:pPr>
        <w:pStyle w:val="Bibliography"/>
        <w:jc w:val="both"/>
      </w:pPr>
      <w:r>
        <w:t xml:space="preserve">Alimi, Santos R. 2012. “The Quantity Theory of Money and Its Long-Run Implications: Empirical Evidence from Nigeria.” </w:t>
      </w:r>
      <w:r>
        <w:rPr>
          <w:i/>
          <w:iCs/>
        </w:rPr>
        <w:t>European Scientific Journal</w:t>
      </w:r>
      <w:r>
        <w:t xml:space="preserve"> 8 (12).</w:t>
      </w:r>
    </w:p>
    <w:p w14:paraId="667F0E55" w14:textId="77777777" w:rsidR="004515F3" w:rsidRDefault="003607A6" w:rsidP="00087194">
      <w:pPr>
        <w:pStyle w:val="Bibliography"/>
        <w:jc w:val="both"/>
      </w:pPr>
      <w:r>
        <w:t xml:space="preserve">Allard, Marc-Antoine, Paul Teiletche, and Adam Zinebi. 2024. “Enhancing Inflation Nowcasting with LLM: Sentiment Analysis on News.” </w:t>
      </w:r>
      <w:hyperlink r:id="rId22">
        <w:r>
          <w:rPr>
            <w:rStyle w:val="Hyperlink"/>
          </w:rPr>
          <w:t>https://arxiv.org/abs/2410.20198</w:t>
        </w:r>
      </w:hyperlink>
      <w:r>
        <w:t>.</w:t>
      </w:r>
    </w:p>
    <w:p w14:paraId="3355C119" w14:textId="77777777" w:rsidR="004515F3" w:rsidRDefault="003607A6" w:rsidP="00087194">
      <w:pPr>
        <w:pStyle w:val="Bibliography"/>
        <w:jc w:val="both"/>
      </w:pPr>
      <w:r>
        <w:t>Alper, C. Emre, Niko A. Hobdari, and Ali Uppal. 2016. “Food Inflation in Sub-Saharan Africa: Causes and Policy Implications.” IMF Working Paper 16/247. International Monetary Fund.</w:t>
      </w:r>
    </w:p>
    <w:p w14:paraId="7BDDBD56" w14:textId="77777777" w:rsidR="004515F3" w:rsidRDefault="003607A6" w:rsidP="00087194">
      <w:pPr>
        <w:pStyle w:val="Bibliography"/>
        <w:jc w:val="both"/>
      </w:pPr>
      <w:r>
        <w:t xml:space="preserve">Angelico, Cristina, Juri Marcucci, Marcello Miccoli, and Filippo Quarta. 2022. “Can We Measure Inflation Expectations Using Twitter?” </w:t>
      </w:r>
      <w:r>
        <w:rPr>
          <w:i/>
          <w:iCs/>
        </w:rPr>
        <w:t>Journal of Econometrics</w:t>
      </w:r>
      <w:r>
        <w:t xml:space="preserve"> 228 (2): 259–77.</w:t>
      </w:r>
    </w:p>
    <w:p w14:paraId="04B5839B" w14:textId="77777777" w:rsidR="004515F3" w:rsidRDefault="003607A6" w:rsidP="00087194">
      <w:pPr>
        <w:pStyle w:val="Bibliography"/>
        <w:jc w:val="both"/>
      </w:pPr>
      <w:r>
        <w:t xml:space="preserve">Araujo, Gustavo S., and Wagner P. Gaglianone. 2023. “Machine Learning Methods for Inflation Forecasting in Brazil: New Contenders Versus Classical Models.” </w:t>
      </w:r>
      <w:r>
        <w:rPr>
          <w:i/>
          <w:iCs/>
        </w:rPr>
        <w:t>Latin American Journal of Central Banking</w:t>
      </w:r>
      <w:r>
        <w:t xml:space="preserve"> 4 (2): 100087.</w:t>
      </w:r>
    </w:p>
    <w:p w14:paraId="4286926C" w14:textId="77777777" w:rsidR="004515F3" w:rsidRDefault="003607A6" w:rsidP="00087194">
      <w:pPr>
        <w:pStyle w:val="Bibliography"/>
        <w:jc w:val="both"/>
      </w:pPr>
      <w:r>
        <w:t xml:space="preserve">Atkeson, Andrew, and Lee E. Ohanian. 2001. “Are Phillips Curves Useful for Forecasting Inflation?” </w:t>
      </w:r>
      <w:r>
        <w:rPr>
          <w:i/>
          <w:iCs/>
        </w:rPr>
        <w:t>Federal Reserve Bank of Minneapolis Quarterly Review</w:t>
      </w:r>
      <w:r>
        <w:t xml:space="preserve"> 25 (1): 2–11.</w:t>
      </w:r>
    </w:p>
    <w:p w14:paraId="3FAC0D28" w14:textId="77777777" w:rsidR="004515F3" w:rsidRDefault="003607A6" w:rsidP="00087194">
      <w:pPr>
        <w:pStyle w:val="Bibliography"/>
        <w:jc w:val="both"/>
      </w:pPr>
      <w:r>
        <w:t xml:space="preserve">Baker, Scott R., Nicholas Bloom, and Steven J. Davis. 2016. “Measuring Economic Policy Uncertainty.” </w:t>
      </w:r>
      <w:r>
        <w:rPr>
          <w:i/>
          <w:iCs/>
        </w:rPr>
        <w:t>Quarterly Journal of Economics</w:t>
      </w:r>
      <w:r>
        <w:t xml:space="preserve"> 131 (4): 1593–1636.</w:t>
      </w:r>
    </w:p>
    <w:p w14:paraId="46817BCA" w14:textId="77777777" w:rsidR="004515F3" w:rsidRDefault="003607A6" w:rsidP="00087194">
      <w:pPr>
        <w:pStyle w:val="Bibliography"/>
        <w:jc w:val="both"/>
      </w:pPr>
      <w:r>
        <w:t xml:space="preserve">Barbaglia, Luca, Sergio Consoli, and Sebastiano Manzan. 2023. “Forecasting with Economic News.” </w:t>
      </w:r>
      <w:r>
        <w:rPr>
          <w:i/>
          <w:iCs/>
        </w:rPr>
        <w:t>Journal of Business &amp; Economic Statistics</w:t>
      </w:r>
      <w:r>
        <w:t xml:space="preserve"> 41 (3): 708–19.</w:t>
      </w:r>
    </w:p>
    <w:p w14:paraId="7076E06D" w14:textId="77777777" w:rsidR="004515F3" w:rsidRDefault="003607A6" w:rsidP="00087194">
      <w:pPr>
        <w:pStyle w:val="Bibliography"/>
        <w:jc w:val="both"/>
      </w:pPr>
      <w:r>
        <w:t>Barnichon, Régis, and Shanaka J. Peiris. 2007. “Sources of Inflation in Sub-Saharan Africa.” IMF Working Paper WP/07/32. International Monetary Fund.</w:t>
      </w:r>
    </w:p>
    <w:p w14:paraId="1B8CB2F5" w14:textId="77777777" w:rsidR="004515F3" w:rsidRDefault="003607A6" w:rsidP="00087194">
      <w:pPr>
        <w:pStyle w:val="Bibliography"/>
        <w:jc w:val="both"/>
      </w:pPr>
      <w:r>
        <w:t xml:space="preserve">Bernanke, Ben S., Jean Boivin, and Piotr Eliasz. 2005. “Measuring the Effects of Monetary Policy: A Factor-Augmented Vector Autoregressive (FAVAR) Approach.” </w:t>
      </w:r>
      <w:r>
        <w:rPr>
          <w:i/>
          <w:iCs/>
        </w:rPr>
        <w:t>Quarterly Journal of Economics</w:t>
      </w:r>
      <w:r>
        <w:t xml:space="preserve"> 120 (1): 387–422.</w:t>
      </w:r>
    </w:p>
    <w:p w14:paraId="7FBA1021" w14:textId="77777777" w:rsidR="004515F3" w:rsidRDefault="003607A6" w:rsidP="00087194">
      <w:pPr>
        <w:pStyle w:val="Bibliography"/>
        <w:jc w:val="both"/>
      </w:pPr>
      <w:r>
        <w:lastRenderedPageBreak/>
        <w:t xml:space="preserve">Blanchard, Olivier, and Danny Quah. 1989. “The Dynamic Effects of Aggregate Demand and Supply Disturbances.” </w:t>
      </w:r>
      <w:r>
        <w:rPr>
          <w:i/>
          <w:iCs/>
        </w:rPr>
        <w:t>American Economic Review</w:t>
      </w:r>
      <w:r>
        <w:t xml:space="preserve"> 79 (4): 655–73.</w:t>
      </w:r>
    </w:p>
    <w:p w14:paraId="2009CBDC" w14:textId="77777777" w:rsidR="004515F3" w:rsidRDefault="003607A6" w:rsidP="00087194">
      <w:pPr>
        <w:pStyle w:val="Bibliography"/>
        <w:jc w:val="both"/>
      </w:pPr>
      <w:r>
        <w:t xml:space="preserve">Blinder, Alan S., Michael Ehrmann, Jakob De Haan, and David-Jan Jansen. 2024. “Central Bank Communication with the General Public: Promise or False Hope?” </w:t>
      </w:r>
      <w:r>
        <w:rPr>
          <w:i/>
          <w:iCs/>
        </w:rPr>
        <w:t>Journal of Economic Literature</w:t>
      </w:r>
      <w:r>
        <w:t xml:space="preserve"> 62 (2): 425–57.</w:t>
      </w:r>
    </w:p>
    <w:p w14:paraId="32DE72CA" w14:textId="77777777" w:rsidR="004515F3" w:rsidRDefault="003607A6" w:rsidP="00087194">
      <w:pPr>
        <w:pStyle w:val="Bibliography"/>
        <w:jc w:val="both"/>
      </w:pPr>
      <w:r>
        <w:t>Buell, Bryce, Reda Cherif, Chuling Chen, Karl Walentin, Jiaqi Tang, and Nils Wendt. 2021. “Impact of COVID-19: Nowcasting and Big Data to Track Economic Activity in Sub-Saharan Africa.” IMF Working Paper WP/21/124. International Monetary Fund.</w:t>
      </w:r>
    </w:p>
    <w:p w14:paraId="1AE68E3F" w14:textId="77777777" w:rsidR="004515F3" w:rsidRDefault="003607A6" w:rsidP="00087194">
      <w:pPr>
        <w:pStyle w:val="Bibliography"/>
        <w:jc w:val="both"/>
      </w:pPr>
      <w:r>
        <w:t xml:space="preserve">Canova, Fabio, and Matteo Ciccarelli. 2013. “Panel Vector Autoregressive Models: A Survey.” </w:t>
      </w:r>
      <w:r>
        <w:rPr>
          <w:i/>
          <w:iCs/>
        </w:rPr>
        <w:t>Advances in Econometrics</w:t>
      </w:r>
      <w:r>
        <w:t xml:space="preserve"> 31: 205–46.</w:t>
      </w:r>
    </w:p>
    <w:p w14:paraId="19EBB8B7" w14:textId="77777777" w:rsidR="004515F3" w:rsidRDefault="003607A6" w:rsidP="00087194">
      <w:pPr>
        <w:pStyle w:val="Bibliography"/>
        <w:jc w:val="both"/>
      </w:pPr>
      <w:r>
        <w:t xml:space="preserve">Carroll, Christopher D. 2003. “Macroeconomic Expectations of Households and Professional Forecasters.” </w:t>
      </w:r>
      <w:r>
        <w:rPr>
          <w:i/>
          <w:iCs/>
        </w:rPr>
        <w:t>Quarterly Journal of Economics</w:t>
      </w:r>
      <w:r>
        <w:t xml:space="preserve"> 118 (1): 269–98.</w:t>
      </w:r>
    </w:p>
    <w:p w14:paraId="031A164E" w14:textId="77777777" w:rsidR="004515F3" w:rsidRDefault="003607A6" w:rsidP="00087194">
      <w:pPr>
        <w:pStyle w:val="Bibliography"/>
        <w:jc w:val="both"/>
      </w:pPr>
      <w:r>
        <w:t>Central Bank of Nigeria. 2025. “Inflation Expectation Survey Report.” Central Bank of Nigeria.</w:t>
      </w:r>
    </w:p>
    <w:p w14:paraId="1AD66F4D" w14:textId="77777777" w:rsidR="004515F3" w:rsidRDefault="003607A6" w:rsidP="00087194">
      <w:pPr>
        <w:pStyle w:val="Bibliography"/>
        <w:jc w:val="both"/>
      </w:pPr>
      <w:r>
        <w:t>Chakraborty, Chiranjit, and Andreas Joseph. 2017. “Machine Learning at Central Banks.” Bank of England Staff Working Paper 674. Bank of England.</w:t>
      </w:r>
    </w:p>
    <w:p w14:paraId="2F78A2F6" w14:textId="77777777" w:rsidR="004515F3" w:rsidRDefault="003607A6" w:rsidP="00087194">
      <w:pPr>
        <w:pStyle w:val="Bibliography"/>
        <w:jc w:val="both"/>
      </w:pPr>
      <w:r>
        <w:t xml:space="preserve">Choudhary, M. Ali, and Adnan Haider. 2012. “Neural Network Models for Inflation Forecasting: An Appraisal.” </w:t>
      </w:r>
      <w:r>
        <w:rPr>
          <w:i/>
          <w:iCs/>
        </w:rPr>
        <w:t>Applied Economics</w:t>
      </w:r>
      <w:r>
        <w:t xml:space="preserve"> 44 (20): 2631–35.</w:t>
      </w:r>
    </w:p>
    <w:p w14:paraId="42107482" w14:textId="77777777" w:rsidR="004515F3" w:rsidRDefault="003607A6" w:rsidP="00087194">
      <w:pPr>
        <w:pStyle w:val="Bibliography"/>
        <w:jc w:val="both"/>
      </w:pPr>
      <w:r>
        <w:t xml:space="preserve">Clark, Todd E., and Kenneth D. West. 2007. “Approximately Normal Tests for Equal Predictive Accuracy in Nested Models.” </w:t>
      </w:r>
      <w:r>
        <w:rPr>
          <w:i/>
          <w:iCs/>
        </w:rPr>
        <w:t>Journal of Econometrics</w:t>
      </w:r>
      <w:r>
        <w:t xml:space="preserve"> 138 (1): 291–311.</w:t>
      </w:r>
    </w:p>
    <w:p w14:paraId="0C528176" w14:textId="77777777" w:rsidR="004515F3" w:rsidRDefault="003607A6" w:rsidP="00087194">
      <w:pPr>
        <w:pStyle w:val="Bibliography"/>
        <w:jc w:val="both"/>
      </w:pPr>
      <w:r>
        <w:t xml:space="preserve">Coibion, Olivier, Dimitris Georgarakos, Yuriy Gorodnichenko, and Maarten van Rooij. 2023. “How Does Consumption Respond to News about Inflation? Field Evidence from a Randomized Control Trial.” </w:t>
      </w:r>
      <w:r>
        <w:rPr>
          <w:i/>
          <w:iCs/>
        </w:rPr>
        <w:t>American Economic Journal: Macroeconomics</w:t>
      </w:r>
      <w:r>
        <w:t xml:space="preserve"> 15 (3): 109–52.</w:t>
      </w:r>
    </w:p>
    <w:p w14:paraId="543D445D" w14:textId="77777777" w:rsidR="004515F3" w:rsidRDefault="003607A6" w:rsidP="00087194">
      <w:pPr>
        <w:pStyle w:val="Bibliography"/>
        <w:jc w:val="both"/>
      </w:pPr>
      <w:r>
        <w:t xml:space="preserve">Coibion, Olivier, and Yuriy Gorodnichenko. 2012. “What Can Survey Forecasts Tell Us about Information Rigidities?” </w:t>
      </w:r>
      <w:r>
        <w:rPr>
          <w:i/>
          <w:iCs/>
        </w:rPr>
        <w:t>Journal of Political Economy</w:t>
      </w:r>
      <w:r>
        <w:t xml:space="preserve"> 120 (1): 116–59.</w:t>
      </w:r>
    </w:p>
    <w:p w14:paraId="4D747BFA" w14:textId="77777777" w:rsidR="004515F3" w:rsidRDefault="003607A6" w:rsidP="00087194">
      <w:pPr>
        <w:pStyle w:val="Bibliography"/>
        <w:jc w:val="both"/>
      </w:pPr>
      <w:r>
        <w:t xml:space="preserve">———. 2015. “Information Rigidity and the Expectations Formation Process: A Simple Framework and New Facts.” </w:t>
      </w:r>
      <w:r>
        <w:rPr>
          <w:i/>
          <w:iCs/>
        </w:rPr>
        <w:t>American Economic Review</w:t>
      </w:r>
      <w:r>
        <w:t xml:space="preserve"> 105 (8): 2644–78.</w:t>
      </w:r>
    </w:p>
    <w:p w14:paraId="08C4F7A5" w14:textId="77777777" w:rsidR="004515F3" w:rsidRDefault="003607A6" w:rsidP="00087194">
      <w:pPr>
        <w:pStyle w:val="Bibliography"/>
        <w:jc w:val="both"/>
      </w:pPr>
      <w:r>
        <w:t xml:space="preserve">Cooley, Thomas F., and Stephen F. LeRoy. 1985. “Atheoretical Macroeconometrics: A Critique.” </w:t>
      </w:r>
      <w:r>
        <w:rPr>
          <w:i/>
          <w:iCs/>
        </w:rPr>
        <w:t>Journal of Monetary Economics</w:t>
      </w:r>
      <w:r>
        <w:t xml:space="preserve"> 16 (3): 283–308.</w:t>
      </w:r>
    </w:p>
    <w:p w14:paraId="075D35E8" w14:textId="77777777" w:rsidR="004515F3" w:rsidRDefault="003607A6" w:rsidP="00087194">
      <w:pPr>
        <w:pStyle w:val="Bibliography"/>
        <w:jc w:val="both"/>
      </w:pPr>
      <w:r>
        <w:t xml:space="preserve">D’Acunto, Francesco, Yuriy Gorodnichenko, Olivier Coibion, and Michael Weber. 2022. “The Subjective Inflation Expectations of Households and Firms: Measurement, Determinants, and Implications.” </w:t>
      </w:r>
      <w:r>
        <w:rPr>
          <w:i/>
          <w:iCs/>
        </w:rPr>
        <w:t>Journal of Economic Perspectives</w:t>
      </w:r>
      <w:r>
        <w:t xml:space="preserve"> 36 (3): 157–84.</w:t>
      </w:r>
    </w:p>
    <w:p w14:paraId="1DE9CB44" w14:textId="77777777" w:rsidR="004515F3" w:rsidRDefault="003607A6" w:rsidP="00087194">
      <w:pPr>
        <w:pStyle w:val="Bibliography"/>
        <w:jc w:val="both"/>
      </w:pPr>
      <w:r>
        <w:t>Deb, Pragyan, Julia Estefania-Flores, Melih Firat, Davide Furceri, and Siddharth Kothari. 2023. “Monetary Policy Transmission Heterogeneity: Cross-Country Evidence.” IMF Working Paper WP/23/204. International Monetary Fund.</w:t>
      </w:r>
    </w:p>
    <w:p w14:paraId="2D27BC35" w14:textId="77777777" w:rsidR="004515F3" w:rsidRDefault="003607A6" w:rsidP="00087194">
      <w:pPr>
        <w:pStyle w:val="Bibliography"/>
        <w:jc w:val="both"/>
      </w:pPr>
      <w:r>
        <w:lastRenderedPageBreak/>
        <w:t xml:space="preserve">Dumitrescu, Elena-Ivona, and Christophe Hurlin. 2012. “Testing for Granger Non-Causality in Heterogeneous Panels.” </w:t>
      </w:r>
      <w:r>
        <w:rPr>
          <w:i/>
          <w:iCs/>
        </w:rPr>
        <w:t>Economic Modelling</w:t>
      </w:r>
      <w:r>
        <w:t xml:space="preserve"> 29 (4): 1450–60.</w:t>
      </w:r>
    </w:p>
    <w:p w14:paraId="686C0230" w14:textId="77777777" w:rsidR="004515F3" w:rsidRDefault="003607A6" w:rsidP="00087194">
      <w:pPr>
        <w:pStyle w:val="Bibliography"/>
        <w:jc w:val="both"/>
      </w:pPr>
      <w:r>
        <w:t>Durevall, Dick, and Bo Sjö. 2012. “The Dynamics of Inflation in Ethiopia and Kenya.” IMF Working Paper WP/12/105. International Monetary Fund.</w:t>
      </w:r>
    </w:p>
    <w:p w14:paraId="129CC97A" w14:textId="77777777" w:rsidR="004515F3" w:rsidRDefault="003607A6" w:rsidP="00087194">
      <w:pPr>
        <w:pStyle w:val="Bibliography"/>
        <w:jc w:val="both"/>
      </w:pPr>
      <w:r>
        <w:t xml:space="preserve">Elshendy, Mahmoud, and Andrea Fronzetti Colladon. 2017. “Big Data Analysis of Economic News: Hints to Forecast Macroeconomic Indicators.” </w:t>
      </w:r>
      <w:r>
        <w:rPr>
          <w:i/>
          <w:iCs/>
        </w:rPr>
        <w:t>International Journal of Engineering Business Management</w:t>
      </w:r>
      <w:r>
        <w:t xml:space="preserve"> 9.</w:t>
      </w:r>
    </w:p>
    <w:p w14:paraId="23E9FF39" w14:textId="77777777" w:rsidR="004515F3" w:rsidRDefault="003607A6" w:rsidP="00087194">
      <w:pPr>
        <w:pStyle w:val="Bibliography"/>
        <w:jc w:val="both"/>
      </w:pPr>
      <w:r>
        <w:t xml:space="preserve">Friedman, Milton. 1968. “The Role of Monetary Policy.” </w:t>
      </w:r>
      <w:r>
        <w:rPr>
          <w:i/>
          <w:iCs/>
        </w:rPr>
        <w:t>American Economic Review</w:t>
      </w:r>
      <w:r>
        <w:t xml:space="preserve"> 58 (1): 1–17.</w:t>
      </w:r>
    </w:p>
    <w:p w14:paraId="62F1067F" w14:textId="77777777" w:rsidR="004515F3" w:rsidRDefault="003607A6" w:rsidP="00087194">
      <w:pPr>
        <w:pStyle w:val="Bibliography"/>
        <w:jc w:val="both"/>
      </w:pPr>
      <w:r>
        <w:t xml:space="preserve">Galí, Jordi, and Mark Gertler. 1999. “Inflation Dynamics: A Structural Econometric Analysis.” </w:t>
      </w:r>
      <w:r>
        <w:rPr>
          <w:i/>
          <w:iCs/>
        </w:rPr>
        <w:t>Journal of Monetary Economics</w:t>
      </w:r>
      <w:r>
        <w:t xml:space="preserve"> 44 (2): 195–222.</w:t>
      </w:r>
    </w:p>
    <w:p w14:paraId="53931957" w14:textId="77777777" w:rsidR="004515F3" w:rsidRDefault="003607A6" w:rsidP="00087194">
      <w:pPr>
        <w:pStyle w:val="Bibliography"/>
        <w:jc w:val="both"/>
      </w:pPr>
      <w:r>
        <w:t xml:space="preserve">García, Diego. 2013. “Sentiment During Recessions.” </w:t>
      </w:r>
      <w:r>
        <w:rPr>
          <w:i/>
          <w:iCs/>
        </w:rPr>
        <w:t>Journal of Finance</w:t>
      </w:r>
      <w:r>
        <w:t xml:space="preserve"> 68 (3): 1267–1300.</w:t>
      </w:r>
    </w:p>
    <w:p w14:paraId="4D400B53" w14:textId="77777777" w:rsidR="004515F3" w:rsidRDefault="003607A6" w:rsidP="00087194">
      <w:pPr>
        <w:pStyle w:val="Bibliography"/>
        <w:jc w:val="both"/>
      </w:pPr>
      <w:r>
        <w:t xml:space="preserve">Gentzkow, Matthew, Bryan Kelly, and Matt Taddy. 2019. “Text as Data.” </w:t>
      </w:r>
      <w:r>
        <w:rPr>
          <w:i/>
          <w:iCs/>
        </w:rPr>
        <w:t>Journal of Economic Literature</w:t>
      </w:r>
      <w:r>
        <w:t xml:space="preserve"> 57 (3): 535–74.</w:t>
      </w:r>
    </w:p>
    <w:p w14:paraId="2CFF5E7F" w14:textId="77777777" w:rsidR="004515F3" w:rsidRDefault="003607A6" w:rsidP="00087194">
      <w:pPr>
        <w:pStyle w:val="Bibliography"/>
        <w:jc w:val="both"/>
      </w:pPr>
      <w:r>
        <w:t>Goshima, Kenji, Hideyuki Ishijima, Mototsugu Shintani, and Hiroki Yamamoto. 2020. “Forecasting Japanese Inflation with a News-Based Leading Indicator of Economic Activities.” Studies in Nonlinear Dynamics &amp; Econometrics.</w:t>
      </w:r>
    </w:p>
    <w:p w14:paraId="5BD904D4" w14:textId="77777777" w:rsidR="004515F3" w:rsidRDefault="003607A6" w:rsidP="00087194">
      <w:pPr>
        <w:pStyle w:val="Bibliography"/>
        <w:jc w:val="both"/>
      </w:pPr>
      <w:r>
        <w:t xml:space="preserve">Im, Kyung So, M. Hashem Pesaran, and Yongcheol Shin. 2003. “Testing for Unit Roots in Heterogeneous Panels.” </w:t>
      </w:r>
      <w:r>
        <w:rPr>
          <w:i/>
          <w:iCs/>
        </w:rPr>
        <w:t>Journal of Econometrics</w:t>
      </w:r>
      <w:r>
        <w:t xml:space="preserve"> 115 (1): 53–74.</w:t>
      </w:r>
    </w:p>
    <w:p w14:paraId="2F9B18ED" w14:textId="77777777" w:rsidR="004515F3" w:rsidRDefault="003607A6" w:rsidP="00087194">
      <w:pPr>
        <w:pStyle w:val="Bibliography"/>
        <w:jc w:val="both"/>
      </w:pPr>
      <w:r>
        <w:t xml:space="preserve">Jerven, Morten. 2013. </w:t>
      </w:r>
      <w:r>
        <w:rPr>
          <w:i/>
          <w:iCs/>
        </w:rPr>
        <w:t>Poor Numbers: How We Are Misled by African Development Statistics and What to Do about It</w:t>
      </w:r>
      <w:r>
        <w:t>. Cornell University Press.</w:t>
      </w:r>
    </w:p>
    <w:p w14:paraId="6C1802C1" w14:textId="77777777" w:rsidR="004515F3" w:rsidRDefault="003607A6" w:rsidP="00087194">
      <w:pPr>
        <w:pStyle w:val="Bibliography"/>
        <w:jc w:val="both"/>
      </w:pPr>
      <w:r>
        <w:t>Kasekende, Elizabeth, Michael Atingi-Ego, and Dick Durevall. 2018. “Monetary Policy Transmission in Sub-Saharan Africa: A Cross-Country Review.” IMF Working Paper. International Monetary Fund, African Department.</w:t>
      </w:r>
    </w:p>
    <w:p w14:paraId="702E8AF7" w14:textId="77777777" w:rsidR="004515F3" w:rsidRDefault="003607A6" w:rsidP="00087194">
      <w:pPr>
        <w:pStyle w:val="Bibliography"/>
        <w:jc w:val="both"/>
      </w:pPr>
      <w:r>
        <w:t xml:space="preserve">Kelikume, Ikechukwu. 2018. “An Estimation of Inflation Threshold for Africa.” </w:t>
      </w:r>
      <w:r>
        <w:rPr>
          <w:i/>
          <w:iCs/>
        </w:rPr>
        <w:t>International Journal of Management, Economics and Social Sciences</w:t>
      </w:r>
      <w:r>
        <w:t xml:space="preserve"> 7 (4): 283–300.</w:t>
      </w:r>
    </w:p>
    <w:p w14:paraId="44961274" w14:textId="77777777" w:rsidR="004515F3" w:rsidRDefault="003607A6" w:rsidP="00087194">
      <w:pPr>
        <w:pStyle w:val="Bibliography"/>
        <w:jc w:val="both"/>
      </w:pPr>
      <w:r>
        <w:t xml:space="preserve">Keynes, John Maynard. 1936. </w:t>
      </w:r>
      <w:r>
        <w:rPr>
          <w:i/>
          <w:iCs/>
        </w:rPr>
        <w:t>The General Theory of Employment, Interest and Money</w:t>
      </w:r>
      <w:r>
        <w:t>. Macmillan.</w:t>
      </w:r>
    </w:p>
    <w:p w14:paraId="4C4EB532" w14:textId="77777777" w:rsidR="004515F3" w:rsidRDefault="003607A6" w:rsidP="00087194">
      <w:pPr>
        <w:pStyle w:val="Bibliography"/>
        <w:jc w:val="both"/>
      </w:pPr>
      <w:r>
        <w:t xml:space="preserve">Knight, Frank H. 1921. </w:t>
      </w:r>
      <w:r>
        <w:rPr>
          <w:i/>
          <w:iCs/>
        </w:rPr>
        <w:t>Risk, Uncertainty, and Profit</w:t>
      </w:r>
      <w:r>
        <w:t>. Houghton Mifflin.</w:t>
      </w:r>
    </w:p>
    <w:p w14:paraId="028A1CD4" w14:textId="77777777" w:rsidR="004515F3" w:rsidRDefault="003607A6" w:rsidP="00087194">
      <w:pPr>
        <w:pStyle w:val="Bibliography"/>
        <w:jc w:val="both"/>
      </w:pPr>
      <w:r>
        <w:t xml:space="preserve">Larsen, Vegard H., Leif Anders Thorsrud, and Julia Zhulanova. 2021. “News-Driven Inflation Expectations and Information Rigidities.” </w:t>
      </w:r>
      <w:r>
        <w:rPr>
          <w:i/>
          <w:iCs/>
        </w:rPr>
        <w:t>Journal of Monetary Economics</w:t>
      </w:r>
      <w:r>
        <w:t xml:space="preserve"> 117: 507–20.</w:t>
      </w:r>
    </w:p>
    <w:p w14:paraId="0780A671" w14:textId="77777777" w:rsidR="004515F3" w:rsidRDefault="003607A6" w:rsidP="00087194">
      <w:pPr>
        <w:pStyle w:val="Bibliography"/>
        <w:jc w:val="both"/>
      </w:pPr>
      <w:r>
        <w:t xml:space="preserve">Litterman, Robert B. 1986. “Forecasting with Bayesian Vector Autoregressions—Five Years of Experience.” </w:t>
      </w:r>
      <w:r>
        <w:rPr>
          <w:i/>
          <w:iCs/>
        </w:rPr>
        <w:t>Journal of Business and Economic Statistics</w:t>
      </w:r>
      <w:r>
        <w:t xml:space="preserve"> 4 (1): 25–38.</w:t>
      </w:r>
    </w:p>
    <w:p w14:paraId="6D7E0415" w14:textId="77777777" w:rsidR="004515F3" w:rsidRDefault="003607A6" w:rsidP="00087194">
      <w:pPr>
        <w:pStyle w:val="Bibliography"/>
        <w:jc w:val="both"/>
      </w:pPr>
      <w:r>
        <w:lastRenderedPageBreak/>
        <w:t xml:space="preserve">Love, Inessa, and Lea Zicchino. 2006. “Financial Development and Dynamic Investment Behavior: Evidence from Panel VAR.” </w:t>
      </w:r>
      <w:r>
        <w:rPr>
          <w:i/>
          <w:iCs/>
        </w:rPr>
        <w:t>The Quarterly Review of Economics and Finance</w:t>
      </w:r>
      <w:r>
        <w:t xml:space="preserve"> 46 (2): 190–210.</w:t>
      </w:r>
    </w:p>
    <w:p w14:paraId="166F91F5" w14:textId="77777777" w:rsidR="004515F3" w:rsidRDefault="003607A6" w:rsidP="00087194">
      <w:pPr>
        <w:pStyle w:val="Bibliography"/>
        <w:jc w:val="both"/>
      </w:pPr>
      <w:r>
        <w:t xml:space="preserve">Malope, B. M., R. Chifurira, T. Zewotir, and K. Chinhamu. 2026. “Dynamic Interactions Among Exchange Rates, Price Stability, and Financial Flows in African Economies: Panel VAR Analysis.” </w:t>
      </w:r>
      <w:r>
        <w:rPr>
          <w:i/>
          <w:iCs/>
        </w:rPr>
        <w:t>Frontiers in Applied Mathematics and Statistics</w:t>
      </w:r>
      <w:r>
        <w:t xml:space="preserve"> 12: 1803306.</w:t>
      </w:r>
    </w:p>
    <w:p w14:paraId="513F23C4" w14:textId="77777777" w:rsidR="004515F3" w:rsidRDefault="003607A6" w:rsidP="00087194">
      <w:pPr>
        <w:pStyle w:val="Bibliography"/>
        <w:jc w:val="both"/>
      </w:pPr>
      <w:r>
        <w:t xml:space="preserve">Mankiw, N. Gregory, and Ricardo Reis. 2002. “Sticky Information Versus Sticky Prices: A Proposal to Replace the New Keynesian Phillips Curve.” </w:t>
      </w:r>
      <w:r>
        <w:rPr>
          <w:i/>
          <w:iCs/>
        </w:rPr>
        <w:t>Quarterly Journal of Economics</w:t>
      </w:r>
      <w:r>
        <w:t xml:space="preserve"> 117 (4): 1295–1328.</w:t>
      </w:r>
    </w:p>
    <w:p w14:paraId="7E4C0624" w14:textId="77777777" w:rsidR="004515F3" w:rsidRDefault="003607A6" w:rsidP="00087194">
      <w:pPr>
        <w:pStyle w:val="Bibliography"/>
        <w:jc w:val="both"/>
      </w:pPr>
      <w:r>
        <w:t xml:space="preserve">Medeiros, Marcelo C., Gabriel F. R. Vasconcelos, Álvaro Veiga, and Eduardo Zilberman. 2021. “Forecasting Inflation in a Data-Rich Environment: The Benefits of Machine Learning Methods.” </w:t>
      </w:r>
      <w:r>
        <w:rPr>
          <w:i/>
          <w:iCs/>
        </w:rPr>
        <w:t>Journal of Business and Economic Statistics</w:t>
      </w:r>
      <w:r>
        <w:t xml:space="preserve"> 39 (1): 98–119.</w:t>
      </w:r>
    </w:p>
    <w:p w14:paraId="4594A184" w14:textId="77777777" w:rsidR="004515F3" w:rsidRDefault="003607A6" w:rsidP="00087194">
      <w:pPr>
        <w:pStyle w:val="Bibliography"/>
        <w:jc w:val="both"/>
      </w:pPr>
      <w:r>
        <w:t xml:space="preserve">Mishkin, Frederic S. 2007. “Inflation Dynamics.” </w:t>
      </w:r>
      <w:r>
        <w:rPr>
          <w:i/>
          <w:iCs/>
        </w:rPr>
        <w:t>International Finance</w:t>
      </w:r>
      <w:r>
        <w:t xml:space="preserve"> 10 (3): 317–34.</w:t>
      </w:r>
    </w:p>
    <w:p w14:paraId="72052A54" w14:textId="77777777" w:rsidR="004515F3" w:rsidRDefault="003607A6" w:rsidP="00087194">
      <w:pPr>
        <w:pStyle w:val="Bibliography"/>
        <w:jc w:val="both"/>
      </w:pPr>
      <w:r>
        <w:t xml:space="preserve">Nakamura, Emi. 2005. “Inflation Forecasting Using a Neural Network.” </w:t>
      </w:r>
      <w:r>
        <w:rPr>
          <w:i/>
          <w:iCs/>
        </w:rPr>
        <w:t>Economics Letters</w:t>
      </w:r>
      <w:r>
        <w:t xml:space="preserve"> 86 (3): 373–78.</w:t>
      </w:r>
    </w:p>
    <w:p w14:paraId="4B35CF80" w14:textId="77777777" w:rsidR="004515F3" w:rsidRDefault="003607A6" w:rsidP="00087194">
      <w:pPr>
        <w:pStyle w:val="Bibliography"/>
        <w:jc w:val="both"/>
      </w:pPr>
      <w:r>
        <w:t xml:space="preserve">Nguyen, Anh D. M., Jemma Dridi, Filiz D. Unsal, and Oral Williams. 2017. “On the Drivers of Inflation in Sub-Saharan Africa.” </w:t>
      </w:r>
      <w:r>
        <w:rPr>
          <w:i/>
          <w:iCs/>
        </w:rPr>
        <w:t>International Economics</w:t>
      </w:r>
      <w:r>
        <w:t xml:space="preserve"> 151: 71–84.</w:t>
      </w:r>
    </w:p>
    <w:p w14:paraId="6A664C6C" w14:textId="77777777" w:rsidR="004515F3" w:rsidRDefault="003607A6" w:rsidP="00087194">
      <w:pPr>
        <w:pStyle w:val="Bibliography"/>
        <w:jc w:val="both"/>
      </w:pPr>
      <w:r>
        <w:t xml:space="preserve">Nguyen, D. P., D. T. V. Duc, N. M. Trang, V. Q. Ket, and N. A. Hoang. 2025. “Sentiment Index as a Predictor of CPI: A Lexicon-Based Approach Using Economic News Data in Vietnam.” </w:t>
      </w:r>
      <w:r>
        <w:rPr>
          <w:i/>
          <w:iCs/>
        </w:rPr>
        <w:t>Journal of Open Innovation: Technology, Market, and Complexity</w:t>
      </w:r>
      <w:r>
        <w:t xml:space="preserve"> 11: 100620.</w:t>
      </w:r>
    </w:p>
    <w:p w14:paraId="718EACCA" w14:textId="77777777" w:rsidR="004515F3" w:rsidRDefault="003607A6" w:rsidP="00087194">
      <w:pPr>
        <w:pStyle w:val="Bibliography"/>
        <w:jc w:val="both"/>
      </w:pPr>
      <w:r>
        <w:t xml:space="preserve">Nsafoah, Dennis, Cosmas Dery, and Ayobami E. Ilori. 2025. “Revisiting the Drivers of Inflation in Sub-Saharan Africa After COVID-19.” </w:t>
      </w:r>
      <w:r>
        <w:rPr>
          <w:i/>
          <w:iCs/>
        </w:rPr>
        <w:t>Empirical Economics</w:t>
      </w:r>
      <w:r>
        <w:t xml:space="preserve"> 68 (3): 1073–1112.</w:t>
      </w:r>
    </w:p>
    <w:p w14:paraId="0987AE42" w14:textId="77777777" w:rsidR="004515F3" w:rsidRDefault="003607A6" w:rsidP="00087194">
      <w:pPr>
        <w:pStyle w:val="Bibliography"/>
        <w:jc w:val="both"/>
      </w:pPr>
      <w:r>
        <w:t xml:space="preserve">Nyman, Rickard, Sujit Kapadia, and David Tuckett. 2021. “News and Narratives in Financial Systems: Exploiting Big Data for Systemic Risk Assessment.” </w:t>
      </w:r>
      <w:r>
        <w:rPr>
          <w:i/>
          <w:iCs/>
        </w:rPr>
        <w:t>Journal of Economic Dynamics and Control</w:t>
      </w:r>
      <w:r>
        <w:t xml:space="preserve"> 127: 104119.</w:t>
      </w:r>
    </w:p>
    <w:p w14:paraId="3534CA9B" w14:textId="77777777" w:rsidR="004515F3" w:rsidRDefault="003607A6" w:rsidP="00087194">
      <w:pPr>
        <w:pStyle w:val="Bibliography"/>
        <w:jc w:val="both"/>
      </w:pPr>
      <w:r>
        <w:t>O’Connell, Paul G. J. 1998. “The Overvaluation of Purchasing Power Parity.” Journal of International Economics 44 (1): 1–19.</w:t>
      </w:r>
    </w:p>
    <w:p w14:paraId="454D71BA" w14:textId="77777777" w:rsidR="004515F3" w:rsidRDefault="003607A6" w:rsidP="00087194">
      <w:pPr>
        <w:pStyle w:val="Bibliography"/>
        <w:jc w:val="both"/>
      </w:pPr>
      <w:r>
        <w:t xml:space="preserve">Odu, Ada Tony, Umaru Aminu, and Nuhu Ado. 2024. “New Evidence from the Monetary Policy Communication and Inflation Expectations Nexus in Africa.” </w:t>
      </w:r>
      <w:r>
        <w:rPr>
          <w:i/>
          <w:iCs/>
        </w:rPr>
        <w:t>Scientific African</w:t>
      </w:r>
      <w:r>
        <w:t xml:space="preserve"> 23: e01993.</w:t>
      </w:r>
    </w:p>
    <w:p w14:paraId="4710C91B" w14:textId="77777777" w:rsidR="004515F3" w:rsidRDefault="003607A6" w:rsidP="00087194">
      <w:pPr>
        <w:pStyle w:val="Bibliography"/>
        <w:jc w:val="both"/>
      </w:pPr>
      <w:r>
        <w:t xml:space="preserve">Okedigba, D. O., A. A. Akintola, A. Umaru, Q. E. Mcdonald, E. M. Inusa, B. O. Fashoro, I. M. Etudaiye, R. Joshua, and F. N. Osagu. 2024. “Exploring Sub-Saharan Africa’s Money Supply-Inflation Nexus: A GARCH-MIDAS Approach.” </w:t>
      </w:r>
      <w:r>
        <w:rPr>
          <w:i/>
          <w:iCs/>
        </w:rPr>
        <w:t>Scientific African</w:t>
      </w:r>
      <w:r>
        <w:t xml:space="preserve"> 23: e02111.</w:t>
      </w:r>
    </w:p>
    <w:p w14:paraId="69FFF729" w14:textId="77777777" w:rsidR="004515F3" w:rsidRDefault="003607A6" w:rsidP="00087194">
      <w:pPr>
        <w:pStyle w:val="Bibliography"/>
        <w:jc w:val="both"/>
      </w:pPr>
      <w:r>
        <w:t xml:space="preserve">Olamide, Ebenezer, Kanayo Ogujiuba, and Andrew Maredza. 2022. “Exchange Rate Volatility, Inflation and Economic Growth in Developing Countries: Panel Data Evidence from SADC.” </w:t>
      </w:r>
      <w:r>
        <w:rPr>
          <w:i/>
          <w:iCs/>
        </w:rPr>
        <w:t>Economies</w:t>
      </w:r>
      <w:r>
        <w:t xml:space="preserve"> 10 (3): 67.</w:t>
      </w:r>
    </w:p>
    <w:p w14:paraId="1BB9BE62" w14:textId="77777777" w:rsidR="004515F3" w:rsidRDefault="003607A6" w:rsidP="00087194">
      <w:pPr>
        <w:pStyle w:val="Bibliography"/>
        <w:jc w:val="both"/>
      </w:pPr>
      <w:r>
        <w:lastRenderedPageBreak/>
        <w:t xml:space="preserve">Orphanides, Athanasios. 2001. “Monetary Policy Rules Based on Real-Time Data.” </w:t>
      </w:r>
      <w:r>
        <w:rPr>
          <w:i/>
          <w:iCs/>
        </w:rPr>
        <w:t>American Economic Review</w:t>
      </w:r>
      <w:r>
        <w:t xml:space="preserve"> 91 (4): 964–85.</w:t>
      </w:r>
    </w:p>
    <w:p w14:paraId="3FC96AF3" w14:textId="77777777" w:rsidR="004515F3" w:rsidRDefault="003607A6" w:rsidP="00087194">
      <w:pPr>
        <w:pStyle w:val="Bibliography"/>
        <w:jc w:val="both"/>
      </w:pPr>
      <w:r>
        <w:t>Pesaran, M. Hashem. 2004. “General Diagnostic Tests for Cross Section Dependence in Panels.” CESifo Working Paper 1229. CESifo.</w:t>
      </w:r>
    </w:p>
    <w:p w14:paraId="2D18D2B5" w14:textId="77777777" w:rsidR="004515F3" w:rsidRDefault="003607A6" w:rsidP="00087194">
      <w:pPr>
        <w:pStyle w:val="Bibliography"/>
        <w:jc w:val="both"/>
      </w:pPr>
      <w:r>
        <w:t>Pesaran, M. Hashem. 2007. “A Simple Panel Unit Root Test in the Presence of Cross-Section Dependence.” Journal of Applied Econometrics 22 (2): 265–312.</w:t>
      </w:r>
    </w:p>
    <w:p w14:paraId="2C5828D8" w14:textId="77777777" w:rsidR="004515F3" w:rsidRDefault="003607A6" w:rsidP="00087194">
      <w:pPr>
        <w:pStyle w:val="Bibliography"/>
        <w:jc w:val="both"/>
      </w:pPr>
      <w:r>
        <w:t xml:space="preserve">Pesaran, M. Hashem, and Ron Smith. 1995. “Estimating Long-Run Relationships from Dynamic Heterogeneous Panels.” </w:t>
      </w:r>
      <w:r>
        <w:rPr>
          <w:i/>
          <w:iCs/>
        </w:rPr>
        <w:t>Journal of Econometrics</w:t>
      </w:r>
      <w:r>
        <w:t xml:space="preserve"> 68 (1): 79–113.</w:t>
      </w:r>
    </w:p>
    <w:p w14:paraId="4D23BE0F" w14:textId="77777777" w:rsidR="004515F3" w:rsidRDefault="003607A6" w:rsidP="00087194">
      <w:pPr>
        <w:pStyle w:val="Bibliography"/>
        <w:jc w:val="both"/>
      </w:pPr>
      <w:r>
        <w:t xml:space="preserve">Pfäuti, Oliver. 2023. “The Inflation Attention Threshold and Inflation Surges.” </w:t>
      </w:r>
      <w:hyperlink r:id="rId23">
        <w:r>
          <w:rPr>
            <w:rStyle w:val="Hyperlink"/>
          </w:rPr>
          <w:t>https://arxiv.org/abs/2308.09480</w:t>
        </w:r>
      </w:hyperlink>
      <w:r>
        <w:t>.</w:t>
      </w:r>
    </w:p>
    <w:p w14:paraId="6F3F2C40" w14:textId="77777777" w:rsidR="004515F3" w:rsidRDefault="003607A6" w:rsidP="00087194">
      <w:pPr>
        <w:pStyle w:val="Bibliography"/>
        <w:jc w:val="both"/>
      </w:pPr>
      <w:r>
        <w:t xml:space="preserve">Phelps, Edmund S. 1968. “Money-Wage Dynamics and Labour-Market Equilibrium.” </w:t>
      </w:r>
      <w:r>
        <w:rPr>
          <w:i/>
          <w:iCs/>
        </w:rPr>
        <w:t>Journal of Political Economy</w:t>
      </w:r>
      <w:r>
        <w:t xml:space="preserve"> 76 (4): 678–711.</w:t>
      </w:r>
    </w:p>
    <w:p w14:paraId="6591752E" w14:textId="77777777" w:rsidR="004515F3" w:rsidRDefault="003607A6" w:rsidP="00087194">
      <w:pPr>
        <w:pStyle w:val="Bibliography"/>
        <w:jc w:val="both"/>
      </w:pPr>
      <w:r>
        <w:t xml:space="preserve">Phillips, A. W. 1958. “The Relationship Between Unemployment and the Rate of Change of Money Wage Rates in the United Kingdom, 1861–1957.” </w:t>
      </w:r>
      <w:r>
        <w:rPr>
          <w:i/>
          <w:iCs/>
        </w:rPr>
        <w:t>Economica</w:t>
      </w:r>
      <w:r>
        <w:t xml:space="preserve"> 25 (100): 283–99.</w:t>
      </w:r>
    </w:p>
    <w:p w14:paraId="18494F23" w14:textId="77777777" w:rsidR="004515F3" w:rsidRDefault="003607A6" w:rsidP="00087194">
      <w:pPr>
        <w:pStyle w:val="Bibliography"/>
        <w:jc w:val="both"/>
      </w:pPr>
      <w:r>
        <w:t xml:space="preserve">Phiri, Andrew. 2016. “Inflation Persistence in African Countries: Does Inflation Targeting Matter?” </w:t>
      </w:r>
      <w:r>
        <w:rPr>
          <w:i/>
          <w:iCs/>
        </w:rPr>
        <w:t>Economics and Business Letters</w:t>
      </w:r>
      <w:r>
        <w:t xml:space="preserve"> 5 (3): 65–71.</w:t>
      </w:r>
    </w:p>
    <w:p w14:paraId="4F6DBAFE" w14:textId="77777777" w:rsidR="004515F3" w:rsidRDefault="003607A6" w:rsidP="00087194">
      <w:pPr>
        <w:pStyle w:val="Bibliography"/>
        <w:jc w:val="both"/>
      </w:pPr>
      <w:r>
        <w:t>Razafimahefa, Ivohasina F. 2012. “Exchange Rate Pass-Through in Sub-Saharan African Economies and Its Determinants.” IMF Working Paper 12/141. International Monetary Fund.</w:t>
      </w:r>
    </w:p>
    <w:p w14:paraId="3FAB94D7" w14:textId="77777777" w:rsidR="004515F3" w:rsidRDefault="003607A6" w:rsidP="00087194">
      <w:pPr>
        <w:pStyle w:val="Bibliography"/>
        <w:jc w:val="both"/>
      </w:pPr>
      <w:r>
        <w:t xml:space="preserve">Salisu, Afees, Sulaiman Salisu, and Subair Salisu. 2024. “A News-Based Economic Policy Uncertainty Index for Nigeria.” </w:t>
      </w:r>
      <w:r>
        <w:rPr>
          <w:i/>
          <w:iCs/>
        </w:rPr>
        <w:t>Quality &amp; Quantity</w:t>
      </w:r>
      <w:r>
        <w:t xml:space="preserve"> 58 (5): 4987–5002.</w:t>
      </w:r>
    </w:p>
    <w:p w14:paraId="3479CB88" w14:textId="77777777" w:rsidR="004515F3" w:rsidRDefault="003607A6" w:rsidP="00087194">
      <w:pPr>
        <w:pStyle w:val="Bibliography"/>
        <w:jc w:val="both"/>
      </w:pPr>
      <w:r>
        <w:t xml:space="preserve">Samuelson, Paul A., and Robert M. Solow. 1960. “Analytical Aspects of Anti-Inflation Policy.” </w:t>
      </w:r>
      <w:r>
        <w:rPr>
          <w:i/>
          <w:iCs/>
        </w:rPr>
        <w:t>American Economic Review</w:t>
      </w:r>
      <w:r>
        <w:t xml:space="preserve"> 50 (2): 177–94.</w:t>
      </w:r>
    </w:p>
    <w:p w14:paraId="3F81E890" w14:textId="77777777" w:rsidR="004515F3" w:rsidRDefault="003607A6" w:rsidP="00087194">
      <w:pPr>
        <w:pStyle w:val="Bibliography"/>
        <w:jc w:val="both"/>
      </w:pPr>
      <w:r>
        <w:t>Shapiro, Adam Hale, Moritz Sudhof, and Daniel J. Wilson. 2020. “Measuring News Sentiment.” Working Paper Series 2017-1. Federal Reserve Bank of San Francisco.</w:t>
      </w:r>
    </w:p>
    <w:p w14:paraId="75C3B314" w14:textId="77777777" w:rsidR="004515F3" w:rsidRDefault="003607A6" w:rsidP="00087194">
      <w:pPr>
        <w:pStyle w:val="Bibliography"/>
        <w:jc w:val="both"/>
      </w:pPr>
      <w:r>
        <w:t xml:space="preserve">———. 2022. “Measuring News Sentiment.” </w:t>
      </w:r>
      <w:r>
        <w:rPr>
          <w:i/>
          <w:iCs/>
        </w:rPr>
        <w:t>Journal of Econometrics</w:t>
      </w:r>
      <w:r>
        <w:t xml:space="preserve"> 228 (2): 221–43.</w:t>
      </w:r>
    </w:p>
    <w:p w14:paraId="6FB9ED24" w14:textId="77777777" w:rsidR="004515F3" w:rsidRDefault="003607A6" w:rsidP="00087194">
      <w:pPr>
        <w:pStyle w:val="Bibliography"/>
        <w:jc w:val="both"/>
      </w:pPr>
      <w:r>
        <w:t xml:space="preserve">Shiller, Robert J. 2017. “Narrative Economics.” </w:t>
      </w:r>
      <w:r>
        <w:rPr>
          <w:i/>
          <w:iCs/>
        </w:rPr>
        <w:t>American Economic Review</w:t>
      </w:r>
      <w:r>
        <w:t xml:space="preserve"> 107 (4): 967–1004.</w:t>
      </w:r>
    </w:p>
    <w:p w14:paraId="4ACB670D" w14:textId="77777777" w:rsidR="004515F3" w:rsidRDefault="003607A6" w:rsidP="00087194">
      <w:pPr>
        <w:pStyle w:val="Bibliography"/>
        <w:jc w:val="both"/>
      </w:pPr>
      <w:r>
        <w:t xml:space="preserve">Sims, Christopher A. 1980. “Macroeconomics and Reality.” </w:t>
      </w:r>
      <w:r>
        <w:rPr>
          <w:i/>
          <w:iCs/>
        </w:rPr>
        <w:t>Econometrica</w:t>
      </w:r>
      <w:r>
        <w:t xml:space="preserve"> 48 (1): 1–48.</w:t>
      </w:r>
    </w:p>
    <w:p w14:paraId="783D49FE" w14:textId="77777777" w:rsidR="004515F3" w:rsidRDefault="003607A6" w:rsidP="00087194">
      <w:pPr>
        <w:pStyle w:val="Bibliography"/>
        <w:jc w:val="both"/>
      </w:pPr>
      <w:r>
        <w:t xml:space="preserve">———. 2003. “Implications of Rational Inattention.” </w:t>
      </w:r>
      <w:r>
        <w:rPr>
          <w:i/>
          <w:iCs/>
        </w:rPr>
        <w:t>Journal of Monetary Economics</w:t>
      </w:r>
      <w:r>
        <w:t xml:space="preserve"> 50 (3): 665–90.</w:t>
      </w:r>
    </w:p>
    <w:p w14:paraId="624C812B" w14:textId="77777777" w:rsidR="004515F3" w:rsidRDefault="003607A6" w:rsidP="00087194">
      <w:pPr>
        <w:pStyle w:val="Bibliography"/>
        <w:jc w:val="both"/>
      </w:pPr>
      <w:r>
        <w:t xml:space="preserve">Stock, James H., and Mark W. Watson. 1999. “Forecasting Inflation.” </w:t>
      </w:r>
      <w:r>
        <w:rPr>
          <w:i/>
          <w:iCs/>
        </w:rPr>
        <w:t>Journal of Monetary Economics</w:t>
      </w:r>
      <w:r>
        <w:t xml:space="preserve"> 44 (2): 293–335.</w:t>
      </w:r>
    </w:p>
    <w:p w14:paraId="2C043E0A" w14:textId="77777777" w:rsidR="004515F3" w:rsidRDefault="003607A6" w:rsidP="00087194">
      <w:pPr>
        <w:pStyle w:val="Bibliography"/>
        <w:jc w:val="both"/>
      </w:pPr>
      <w:r>
        <w:lastRenderedPageBreak/>
        <w:t xml:space="preserve">———. 2001. “Vector Autoregressions.” </w:t>
      </w:r>
      <w:r>
        <w:rPr>
          <w:i/>
          <w:iCs/>
        </w:rPr>
        <w:t>Journal of Economic Perspectives</w:t>
      </w:r>
      <w:r>
        <w:t xml:space="preserve"> 15 (4): 101–15.</w:t>
      </w:r>
    </w:p>
    <w:p w14:paraId="39CCE34B" w14:textId="77777777" w:rsidR="004515F3" w:rsidRDefault="003607A6" w:rsidP="00087194">
      <w:pPr>
        <w:pStyle w:val="Bibliography"/>
        <w:jc w:val="both"/>
      </w:pPr>
      <w:r>
        <w:t xml:space="preserve">———. 2007. “Why Has US Inflation Become Harder to Forecast?” </w:t>
      </w:r>
      <w:r>
        <w:rPr>
          <w:i/>
          <w:iCs/>
        </w:rPr>
        <w:t>Journal of Money, Credit and Banking</w:t>
      </w:r>
      <w:r>
        <w:t xml:space="preserve"> 39 (1): 3–33.</w:t>
      </w:r>
    </w:p>
    <w:p w14:paraId="0438900A" w14:textId="77777777" w:rsidR="004515F3" w:rsidRDefault="003607A6" w:rsidP="00087194">
      <w:pPr>
        <w:pStyle w:val="Bibliography"/>
        <w:jc w:val="both"/>
      </w:pPr>
      <w:r>
        <w:t xml:space="preserve">Tetlock, Paul C. 2007. “Giving Content to Investor Sentiment: The Role of Media in the Stock Market.” </w:t>
      </w:r>
      <w:r>
        <w:rPr>
          <w:i/>
          <w:iCs/>
        </w:rPr>
        <w:t>Journal of Finance</w:t>
      </w:r>
      <w:r>
        <w:t xml:space="preserve"> 62 (3): 1139–68.</w:t>
      </w:r>
    </w:p>
    <w:p w14:paraId="08FA704E" w14:textId="77777777" w:rsidR="004515F3" w:rsidRDefault="003607A6" w:rsidP="00087194">
      <w:pPr>
        <w:pStyle w:val="Bibliography"/>
        <w:jc w:val="both"/>
      </w:pPr>
      <w:r>
        <w:t xml:space="preserve">Thomas, Lloyd B. 1999. “Survey Measures of Expected U.S. Inflation.” </w:t>
      </w:r>
      <w:r>
        <w:rPr>
          <w:i/>
          <w:iCs/>
        </w:rPr>
        <w:t>Journal of Economic Perspectives</w:t>
      </w:r>
      <w:r>
        <w:t xml:space="preserve"> 13 (4): 125–44.</w:t>
      </w:r>
    </w:p>
    <w:p w14:paraId="0AB31B4F" w14:textId="77777777" w:rsidR="004515F3" w:rsidRDefault="003607A6" w:rsidP="00087194">
      <w:pPr>
        <w:pStyle w:val="Bibliography"/>
        <w:jc w:val="both"/>
      </w:pPr>
      <w:r>
        <w:t xml:space="preserve">Westerlund, Joakim. 2007. “Testing for Error Correction in Panel Data.” </w:t>
      </w:r>
      <w:r>
        <w:rPr>
          <w:i/>
          <w:iCs/>
        </w:rPr>
        <w:t>Oxford Bulletin of Economics and Statistics</w:t>
      </w:r>
      <w:r>
        <w:t xml:space="preserve"> 69 (6): 709–48.</w:t>
      </w:r>
    </w:p>
    <w:p w14:paraId="142B574E" w14:textId="77777777" w:rsidR="004515F3" w:rsidRDefault="003607A6" w:rsidP="00087194">
      <w:pPr>
        <w:pStyle w:val="Bibliography"/>
        <w:jc w:val="both"/>
      </w:pPr>
      <w:r>
        <w:t xml:space="preserve">Yeboah, Samuel Duku, Samuel Kwaku Agyei, and David Korsah. 2025. “Nexus Between Geopolitical Uncertainty and Inflation Rates in Emerging Economies in Sub-Saharan Africa.” </w:t>
      </w:r>
      <w:r>
        <w:rPr>
          <w:i/>
          <w:iCs/>
        </w:rPr>
        <w:t>Research in Globalization</w:t>
      </w:r>
      <w:r>
        <w:t xml:space="preserve"> 11: 100289.</w:t>
      </w:r>
    </w:p>
    <w:sectPr w:rsidR="004515F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7FAA68" w14:textId="77777777" w:rsidR="00230CBE" w:rsidRDefault="00230CBE">
      <w:pPr>
        <w:spacing w:after="0"/>
      </w:pPr>
      <w:r>
        <w:separator/>
      </w:r>
    </w:p>
  </w:endnote>
  <w:endnote w:type="continuationSeparator" w:id="0">
    <w:p w14:paraId="08A33E98" w14:textId="77777777" w:rsidR="00230CBE" w:rsidRDefault="00230C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BA5C1E" w14:textId="77777777" w:rsidR="00230CBE" w:rsidRDefault="00230CBE">
      <w:r>
        <w:separator/>
      </w:r>
    </w:p>
  </w:footnote>
  <w:footnote w:type="continuationSeparator" w:id="0">
    <w:p w14:paraId="33A30A74" w14:textId="77777777" w:rsidR="00230CBE" w:rsidRDefault="00230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B8D2FD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5F3"/>
    <w:rsid w:val="00087194"/>
    <w:rsid w:val="000C0D7A"/>
    <w:rsid w:val="00132DEB"/>
    <w:rsid w:val="001E7338"/>
    <w:rsid w:val="00230CBE"/>
    <w:rsid w:val="002B735A"/>
    <w:rsid w:val="002D079A"/>
    <w:rsid w:val="002F3A9E"/>
    <w:rsid w:val="003274A4"/>
    <w:rsid w:val="003539E4"/>
    <w:rsid w:val="003607A6"/>
    <w:rsid w:val="00364865"/>
    <w:rsid w:val="0036615C"/>
    <w:rsid w:val="00387880"/>
    <w:rsid w:val="003932D8"/>
    <w:rsid w:val="003A687D"/>
    <w:rsid w:val="003E0CD0"/>
    <w:rsid w:val="004515F3"/>
    <w:rsid w:val="004B4AFD"/>
    <w:rsid w:val="004B59AD"/>
    <w:rsid w:val="004B6D27"/>
    <w:rsid w:val="004E1AB0"/>
    <w:rsid w:val="00556E7E"/>
    <w:rsid w:val="005E465C"/>
    <w:rsid w:val="006500EB"/>
    <w:rsid w:val="006A4657"/>
    <w:rsid w:val="006D1ADF"/>
    <w:rsid w:val="00737781"/>
    <w:rsid w:val="00786810"/>
    <w:rsid w:val="007940FB"/>
    <w:rsid w:val="007B2764"/>
    <w:rsid w:val="007E0E54"/>
    <w:rsid w:val="00865C04"/>
    <w:rsid w:val="008662AC"/>
    <w:rsid w:val="00877B80"/>
    <w:rsid w:val="008D214D"/>
    <w:rsid w:val="009316C3"/>
    <w:rsid w:val="00950EEC"/>
    <w:rsid w:val="00964F5E"/>
    <w:rsid w:val="009B2EC9"/>
    <w:rsid w:val="009C7FA8"/>
    <w:rsid w:val="00A15DE8"/>
    <w:rsid w:val="00A22503"/>
    <w:rsid w:val="00B276E7"/>
    <w:rsid w:val="00B4308D"/>
    <w:rsid w:val="00B723C6"/>
    <w:rsid w:val="00C33FDC"/>
    <w:rsid w:val="00CA3C0E"/>
    <w:rsid w:val="00D3330E"/>
    <w:rsid w:val="00D55EBF"/>
    <w:rsid w:val="00D64EF6"/>
    <w:rsid w:val="00DB6745"/>
    <w:rsid w:val="00E573DD"/>
    <w:rsid w:val="00E60C58"/>
    <w:rsid w:val="00E63BB4"/>
    <w:rsid w:val="00E8217C"/>
    <w:rsid w:val="00E83667"/>
    <w:rsid w:val="00EA674C"/>
    <w:rsid w:val="00EC439E"/>
    <w:rsid w:val="00ED7E9C"/>
    <w:rsid w:val="00F56022"/>
    <w:rsid w:val="00FE2B3A"/>
    <w:rsid w:val="00FE58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57A56"/>
  <w15:docId w15:val="{B0FF1211-961A-42E9-BFB0-74E266EE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607A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0D7A"/>
    <w:pPr>
      <w:spacing w:before="100" w:beforeAutospacing="1" w:after="100" w:afterAutospacing="1"/>
    </w:pPr>
    <w:rPr>
      <w:rFonts w:ascii="Times New Roman" w:eastAsia="Times New Roman" w:hAnsi="Times New Roman" w:cs="Times New Roman"/>
      <w:lang w:val="en-NG" w:eastAsia="en-NG"/>
    </w:rPr>
  </w:style>
  <w:style w:type="character" w:styleId="Emphasis">
    <w:name w:val="Emphasis"/>
    <w:basedOn w:val="DefaultParagraphFont"/>
    <w:uiPriority w:val="20"/>
    <w:qFormat/>
    <w:rsid w:val="000C0D7A"/>
    <w:rPr>
      <w:i/>
      <w:iCs/>
    </w:rPr>
  </w:style>
  <w:style w:type="character" w:styleId="Strong">
    <w:name w:val="Strong"/>
    <w:basedOn w:val="DefaultParagraphFont"/>
    <w:uiPriority w:val="22"/>
    <w:qFormat/>
    <w:rsid w:val="000C0D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970030">
      <w:bodyDiv w:val="1"/>
      <w:marLeft w:val="0"/>
      <w:marRight w:val="0"/>
      <w:marTop w:val="0"/>
      <w:marBottom w:val="0"/>
      <w:divBdr>
        <w:top w:val="none" w:sz="0" w:space="0" w:color="auto"/>
        <w:left w:val="none" w:sz="0" w:space="0" w:color="auto"/>
        <w:bottom w:val="none" w:sz="0" w:space="0" w:color="auto"/>
        <w:right w:val="none" w:sz="0" w:space="0" w:color="auto"/>
      </w:divBdr>
      <w:divsChild>
        <w:div w:id="546456160">
          <w:marLeft w:val="0"/>
          <w:marRight w:val="0"/>
          <w:marTop w:val="0"/>
          <w:marBottom w:val="0"/>
          <w:divBdr>
            <w:top w:val="none" w:sz="0" w:space="0" w:color="auto"/>
            <w:left w:val="none" w:sz="0" w:space="0" w:color="auto"/>
            <w:bottom w:val="none" w:sz="0" w:space="0" w:color="auto"/>
            <w:right w:val="none" w:sz="0" w:space="0" w:color="auto"/>
          </w:divBdr>
          <w:divsChild>
            <w:div w:id="1512641752">
              <w:marLeft w:val="0"/>
              <w:marRight w:val="0"/>
              <w:marTop w:val="0"/>
              <w:marBottom w:val="0"/>
              <w:divBdr>
                <w:top w:val="none" w:sz="0" w:space="0" w:color="auto"/>
                <w:left w:val="none" w:sz="0" w:space="0" w:color="auto"/>
                <w:bottom w:val="none" w:sz="0" w:space="0" w:color="auto"/>
                <w:right w:val="none" w:sz="0" w:space="0" w:color="auto"/>
              </w:divBdr>
              <w:divsChild>
                <w:div w:id="1702970912">
                  <w:marLeft w:val="0"/>
                  <w:marRight w:val="0"/>
                  <w:marTop w:val="0"/>
                  <w:marBottom w:val="0"/>
                  <w:divBdr>
                    <w:top w:val="none" w:sz="0" w:space="0" w:color="auto"/>
                    <w:left w:val="none" w:sz="0" w:space="0" w:color="auto"/>
                    <w:bottom w:val="none" w:sz="0" w:space="0" w:color="auto"/>
                    <w:right w:val="none" w:sz="0" w:space="0" w:color="auto"/>
                  </w:divBdr>
                  <w:divsChild>
                    <w:div w:id="1417434641">
                      <w:marLeft w:val="0"/>
                      <w:marRight w:val="0"/>
                      <w:marTop w:val="0"/>
                      <w:marBottom w:val="0"/>
                      <w:divBdr>
                        <w:top w:val="none" w:sz="0" w:space="0" w:color="auto"/>
                        <w:left w:val="none" w:sz="0" w:space="0" w:color="auto"/>
                        <w:bottom w:val="none" w:sz="0" w:space="0" w:color="auto"/>
                        <w:right w:val="none" w:sz="0" w:space="0" w:color="auto"/>
                      </w:divBdr>
                      <w:divsChild>
                        <w:div w:id="386345055">
                          <w:marLeft w:val="0"/>
                          <w:marRight w:val="0"/>
                          <w:marTop w:val="0"/>
                          <w:marBottom w:val="0"/>
                          <w:divBdr>
                            <w:top w:val="none" w:sz="0" w:space="0" w:color="auto"/>
                            <w:left w:val="none" w:sz="0" w:space="0" w:color="auto"/>
                            <w:bottom w:val="none" w:sz="0" w:space="0" w:color="auto"/>
                            <w:right w:val="none" w:sz="0" w:space="0" w:color="auto"/>
                          </w:divBdr>
                          <w:divsChild>
                            <w:div w:id="868370297">
                              <w:marLeft w:val="0"/>
                              <w:marRight w:val="0"/>
                              <w:marTop w:val="0"/>
                              <w:marBottom w:val="0"/>
                              <w:divBdr>
                                <w:top w:val="none" w:sz="0" w:space="0" w:color="auto"/>
                                <w:left w:val="none" w:sz="0" w:space="0" w:color="auto"/>
                                <w:bottom w:val="none" w:sz="0" w:space="0" w:color="auto"/>
                                <w:right w:val="none" w:sz="0" w:space="0" w:color="auto"/>
                              </w:divBdr>
                              <w:divsChild>
                                <w:div w:id="249781996">
                                  <w:marLeft w:val="0"/>
                                  <w:marRight w:val="0"/>
                                  <w:marTop w:val="0"/>
                                  <w:marBottom w:val="0"/>
                                  <w:divBdr>
                                    <w:top w:val="none" w:sz="0" w:space="0" w:color="auto"/>
                                    <w:left w:val="none" w:sz="0" w:space="0" w:color="auto"/>
                                    <w:bottom w:val="none" w:sz="0" w:space="0" w:color="auto"/>
                                    <w:right w:val="none" w:sz="0" w:space="0" w:color="auto"/>
                                  </w:divBdr>
                                  <w:divsChild>
                                    <w:div w:id="2122189028">
                                      <w:marLeft w:val="0"/>
                                      <w:marRight w:val="0"/>
                                      <w:marTop w:val="0"/>
                                      <w:marBottom w:val="0"/>
                                      <w:divBdr>
                                        <w:top w:val="none" w:sz="0" w:space="0" w:color="auto"/>
                                        <w:left w:val="none" w:sz="0" w:space="0" w:color="auto"/>
                                        <w:bottom w:val="none" w:sz="0" w:space="0" w:color="auto"/>
                                        <w:right w:val="none" w:sz="0" w:space="0" w:color="auto"/>
                                      </w:divBdr>
                                      <w:divsChild>
                                        <w:div w:id="290325938">
                                          <w:marLeft w:val="0"/>
                                          <w:marRight w:val="0"/>
                                          <w:marTop w:val="0"/>
                                          <w:marBottom w:val="0"/>
                                          <w:divBdr>
                                            <w:top w:val="none" w:sz="0" w:space="0" w:color="auto"/>
                                            <w:left w:val="none" w:sz="0" w:space="0" w:color="auto"/>
                                            <w:bottom w:val="none" w:sz="0" w:space="0" w:color="auto"/>
                                            <w:right w:val="none" w:sz="0" w:space="0" w:color="auto"/>
                                          </w:divBdr>
                                          <w:divsChild>
                                            <w:div w:id="1355618096">
                                              <w:marLeft w:val="0"/>
                                              <w:marRight w:val="0"/>
                                              <w:marTop w:val="0"/>
                                              <w:marBottom w:val="0"/>
                                              <w:divBdr>
                                                <w:top w:val="none" w:sz="0" w:space="0" w:color="auto"/>
                                                <w:left w:val="none" w:sz="0" w:space="0" w:color="auto"/>
                                                <w:bottom w:val="none" w:sz="0" w:space="0" w:color="auto"/>
                                                <w:right w:val="none" w:sz="0" w:space="0" w:color="auto"/>
                                              </w:divBdr>
                                              <w:divsChild>
                                                <w:div w:id="246815241">
                                                  <w:marLeft w:val="0"/>
                                                  <w:marRight w:val="0"/>
                                                  <w:marTop w:val="0"/>
                                                  <w:marBottom w:val="0"/>
                                                  <w:divBdr>
                                                    <w:top w:val="none" w:sz="0" w:space="0" w:color="auto"/>
                                                    <w:left w:val="none" w:sz="0" w:space="0" w:color="auto"/>
                                                    <w:bottom w:val="none" w:sz="0" w:space="0" w:color="auto"/>
                                                    <w:right w:val="none" w:sz="0" w:space="0" w:color="auto"/>
                                                  </w:divBdr>
                                                  <w:divsChild>
                                                    <w:div w:id="986860413">
                                                      <w:marLeft w:val="0"/>
                                                      <w:marRight w:val="0"/>
                                                      <w:marTop w:val="0"/>
                                                      <w:marBottom w:val="0"/>
                                                      <w:divBdr>
                                                        <w:top w:val="none" w:sz="0" w:space="0" w:color="auto"/>
                                                        <w:left w:val="none" w:sz="0" w:space="0" w:color="auto"/>
                                                        <w:bottom w:val="none" w:sz="0" w:space="0" w:color="auto"/>
                                                        <w:right w:val="none" w:sz="0" w:space="0" w:color="auto"/>
                                                      </w:divBdr>
                                                      <w:divsChild>
                                                        <w:div w:id="26026254">
                                                          <w:marLeft w:val="0"/>
                                                          <w:marRight w:val="0"/>
                                                          <w:marTop w:val="0"/>
                                                          <w:marBottom w:val="0"/>
                                                          <w:divBdr>
                                                            <w:top w:val="none" w:sz="0" w:space="0" w:color="auto"/>
                                                            <w:left w:val="none" w:sz="0" w:space="0" w:color="auto"/>
                                                            <w:bottom w:val="none" w:sz="0" w:space="0" w:color="auto"/>
                                                            <w:right w:val="none" w:sz="0" w:space="0" w:color="auto"/>
                                                          </w:divBdr>
                                                          <w:divsChild>
                                                            <w:div w:id="1457213269">
                                                              <w:marLeft w:val="0"/>
                                                              <w:marRight w:val="0"/>
                                                              <w:marTop w:val="0"/>
                                                              <w:marBottom w:val="0"/>
                                                              <w:divBdr>
                                                                <w:top w:val="none" w:sz="0" w:space="0" w:color="auto"/>
                                                                <w:left w:val="none" w:sz="0" w:space="0" w:color="auto"/>
                                                                <w:bottom w:val="none" w:sz="0" w:space="0" w:color="auto"/>
                                                                <w:right w:val="none" w:sz="0" w:space="0" w:color="auto"/>
                                                              </w:divBdr>
                                                              <w:divsChild>
                                                                <w:div w:id="895626362">
                                                                  <w:marLeft w:val="0"/>
                                                                  <w:marRight w:val="0"/>
                                                                  <w:marTop w:val="0"/>
                                                                  <w:marBottom w:val="0"/>
                                                                  <w:divBdr>
                                                                    <w:top w:val="none" w:sz="0" w:space="0" w:color="auto"/>
                                                                    <w:left w:val="none" w:sz="0" w:space="0" w:color="auto"/>
                                                                    <w:bottom w:val="none" w:sz="0" w:space="0" w:color="auto"/>
                                                                    <w:right w:val="none" w:sz="0" w:space="0" w:color="auto"/>
                                                                  </w:divBdr>
                                                                  <w:divsChild>
                                                                    <w:div w:id="366419794">
                                                                      <w:marLeft w:val="0"/>
                                                                      <w:marRight w:val="0"/>
                                                                      <w:marTop w:val="0"/>
                                                                      <w:marBottom w:val="0"/>
                                                                      <w:divBdr>
                                                                        <w:top w:val="none" w:sz="0" w:space="0" w:color="auto"/>
                                                                        <w:left w:val="none" w:sz="0" w:space="0" w:color="auto"/>
                                                                        <w:bottom w:val="none" w:sz="0" w:space="0" w:color="auto"/>
                                                                        <w:right w:val="none" w:sz="0" w:space="0" w:color="auto"/>
                                                                      </w:divBdr>
                                                                      <w:divsChild>
                                                                        <w:div w:id="1897088075">
                                                                          <w:marLeft w:val="0"/>
                                                                          <w:marRight w:val="0"/>
                                                                          <w:marTop w:val="0"/>
                                                                          <w:marBottom w:val="0"/>
                                                                          <w:divBdr>
                                                                            <w:top w:val="none" w:sz="0" w:space="0" w:color="auto"/>
                                                                            <w:left w:val="none" w:sz="0" w:space="0" w:color="auto"/>
                                                                            <w:bottom w:val="none" w:sz="0" w:space="0" w:color="auto"/>
                                                                            <w:right w:val="none" w:sz="0" w:space="0" w:color="auto"/>
                                                                          </w:divBdr>
                                                                          <w:divsChild>
                                                                            <w:div w:id="2028560861">
                                                                              <w:marLeft w:val="0"/>
                                                                              <w:marRight w:val="0"/>
                                                                              <w:marTop w:val="0"/>
                                                                              <w:marBottom w:val="0"/>
                                                                              <w:divBdr>
                                                                                <w:top w:val="none" w:sz="0" w:space="0" w:color="auto"/>
                                                                                <w:left w:val="none" w:sz="0" w:space="0" w:color="auto"/>
                                                                                <w:bottom w:val="none" w:sz="0" w:space="0" w:color="auto"/>
                                                                                <w:right w:val="none" w:sz="0" w:space="0" w:color="auto"/>
                                                                              </w:divBdr>
                                                                              <w:divsChild>
                                                                                <w:div w:id="2069330595">
                                                                                  <w:marLeft w:val="0"/>
                                                                                  <w:marRight w:val="0"/>
                                                                                  <w:marTop w:val="0"/>
                                                                                  <w:marBottom w:val="0"/>
                                                                                  <w:divBdr>
                                                                                    <w:top w:val="none" w:sz="0" w:space="0" w:color="auto"/>
                                                                                    <w:left w:val="none" w:sz="0" w:space="0" w:color="auto"/>
                                                                                    <w:bottom w:val="none" w:sz="0" w:space="0" w:color="auto"/>
                                                                                    <w:right w:val="none" w:sz="0" w:space="0" w:color="auto"/>
                                                                                  </w:divBdr>
                                                                                  <w:divsChild>
                                                                                    <w:div w:id="652181466">
                                                                                      <w:marLeft w:val="0"/>
                                                                                      <w:marRight w:val="0"/>
                                                                                      <w:marTop w:val="0"/>
                                                                                      <w:marBottom w:val="0"/>
                                                                                      <w:divBdr>
                                                                                        <w:top w:val="none" w:sz="0" w:space="0" w:color="auto"/>
                                                                                        <w:left w:val="none" w:sz="0" w:space="0" w:color="auto"/>
                                                                                        <w:bottom w:val="none" w:sz="0" w:space="0" w:color="auto"/>
                                                                                        <w:right w:val="none" w:sz="0" w:space="0" w:color="auto"/>
                                                                                      </w:divBdr>
                                                                                      <w:divsChild>
                                                                                        <w:div w:id="427507944">
                                                                                          <w:marLeft w:val="0"/>
                                                                                          <w:marRight w:val="0"/>
                                                                                          <w:marTop w:val="0"/>
                                                                                          <w:marBottom w:val="0"/>
                                                                                          <w:divBdr>
                                                                                            <w:top w:val="none" w:sz="0" w:space="0" w:color="auto"/>
                                                                                            <w:left w:val="none" w:sz="0" w:space="0" w:color="auto"/>
                                                                                            <w:bottom w:val="none" w:sz="0" w:space="0" w:color="auto"/>
                                                                                            <w:right w:val="none" w:sz="0" w:space="0" w:color="auto"/>
                                                                                          </w:divBdr>
                                                                                          <w:divsChild>
                                                                                            <w:div w:id="876888680">
                                                                                              <w:marLeft w:val="0"/>
                                                                                              <w:marRight w:val="0"/>
                                                                                              <w:marTop w:val="0"/>
                                                                                              <w:marBottom w:val="0"/>
                                                                                              <w:divBdr>
                                                                                                <w:top w:val="none" w:sz="0" w:space="0" w:color="auto"/>
                                                                                                <w:left w:val="none" w:sz="0" w:space="0" w:color="auto"/>
                                                                                                <w:bottom w:val="none" w:sz="0" w:space="0" w:color="auto"/>
                                                                                                <w:right w:val="none" w:sz="0" w:space="0" w:color="auto"/>
                                                                                              </w:divBdr>
                                                                                              <w:divsChild>
                                                                                                <w:div w:id="1129781177">
                                                                                                  <w:marLeft w:val="0"/>
                                                                                                  <w:marRight w:val="0"/>
                                                                                                  <w:marTop w:val="0"/>
                                                                                                  <w:marBottom w:val="0"/>
                                                                                                  <w:divBdr>
                                                                                                    <w:top w:val="none" w:sz="0" w:space="0" w:color="auto"/>
                                                                                                    <w:left w:val="none" w:sz="0" w:space="0" w:color="auto"/>
                                                                                                    <w:bottom w:val="none" w:sz="0" w:space="0" w:color="auto"/>
                                                                                                    <w:right w:val="none" w:sz="0" w:space="0" w:color="auto"/>
                                                                                                  </w:divBdr>
                                                                                                  <w:divsChild>
                                                                                                    <w:div w:id="534778599">
                                                                                                      <w:marLeft w:val="0"/>
                                                                                                      <w:marRight w:val="0"/>
                                                                                                      <w:marTop w:val="0"/>
                                                                                                      <w:marBottom w:val="0"/>
                                                                                                      <w:divBdr>
                                                                                                        <w:top w:val="none" w:sz="0" w:space="0" w:color="auto"/>
                                                                                                        <w:left w:val="none" w:sz="0" w:space="0" w:color="auto"/>
                                                                                                        <w:bottom w:val="none" w:sz="0" w:space="0" w:color="auto"/>
                                                                                                        <w:right w:val="none" w:sz="0" w:space="0" w:color="auto"/>
                                                                                                      </w:divBdr>
                                                                                                      <w:divsChild>
                                                                                                        <w:div w:id="670530344">
                                                                                                          <w:marLeft w:val="0"/>
                                                                                                          <w:marRight w:val="0"/>
                                                                                                          <w:marTop w:val="0"/>
                                                                                                          <w:marBottom w:val="0"/>
                                                                                                          <w:divBdr>
                                                                                                            <w:top w:val="none" w:sz="0" w:space="0" w:color="auto"/>
                                                                                                            <w:left w:val="none" w:sz="0" w:space="0" w:color="auto"/>
                                                                                                            <w:bottom w:val="none" w:sz="0" w:space="0" w:color="auto"/>
                                                                                                            <w:right w:val="none" w:sz="0" w:space="0" w:color="auto"/>
                                                                                                          </w:divBdr>
                                                                                                          <w:divsChild>
                                                                                                            <w:div w:id="204409407">
                                                                                                              <w:marLeft w:val="0"/>
                                                                                                              <w:marRight w:val="0"/>
                                                                                                              <w:marTop w:val="0"/>
                                                                                                              <w:marBottom w:val="0"/>
                                                                                                              <w:divBdr>
                                                                                                                <w:top w:val="none" w:sz="0" w:space="0" w:color="auto"/>
                                                                                                                <w:left w:val="none" w:sz="0" w:space="0" w:color="auto"/>
                                                                                                                <w:bottom w:val="none" w:sz="0" w:space="0" w:color="auto"/>
                                                                                                                <w:right w:val="none" w:sz="0" w:space="0" w:color="auto"/>
                                                                                                              </w:divBdr>
                                                                                                              <w:divsChild>
                                                                                                                <w:div w:id="247884351">
                                                                                                                  <w:marLeft w:val="0"/>
                                                                                                                  <w:marRight w:val="0"/>
                                                                                                                  <w:marTop w:val="0"/>
                                                                                                                  <w:marBottom w:val="0"/>
                                                                                                                  <w:divBdr>
                                                                                                                    <w:top w:val="none" w:sz="0" w:space="0" w:color="auto"/>
                                                                                                                    <w:left w:val="none" w:sz="0" w:space="0" w:color="auto"/>
                                                                                                                    <w:bottom w:val="none" w:sz="0" w:space="0" w:color="auto"/>
                                                                                                                    <w:right w:val="none" w:sz="0" w:space="0" w:color="auto"/>
                                                                                                                  </w:divBdr>
                                                                                                                  <w:divsChild>
                                                                                                                    <w:div w:id="636448863">
                                                                                                                      <w:marLeft w:val="0"/>
                                                                                                                      <w:marRight w:val="0"/>
                                                                                                                      <w:marTop w:val="0"/>
                                                                                                                      <w:marBottom w:val="0"/>
                                                                                                                      <w:divBdr>
                                                                                                                        <w:top w:val="none" w:sz="0" w:space="0" w:color="auto"/>
                                                                                                                        <w:left w:val="none" w:sz="0" w:space="0" w:color="auto"/>
                                                                                                                        <w:bottom w:val="none" w:sz="0" w:space="0" w:color="auto"/>
                                                                                                                        <w:right w:val="none" w:sz="0" w:space="0" w:color="auto"/>
                                                                                                                      </w:divBdr>
                                                                                                                      <w:divsChild>
                                                                                                                        <w:div w:id="814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616418">
                                                                                                          <w:marLeft w:val="0"/>
                                                                                                          <w:marRight w:val="0"/>
                                                                                                          <w:marTop w:val="0"/>
                                                                                                          <w:marBottom w:val="0"/>
                                                                                                          <w:divBdr>
                                                                                                            <w:top w:val="none" w:sz="0" w:space="0" w:color="auto"/>
                                                                                                            <w:left w:val="none" w:sz="0" w:space="0" w:color="auto"/>
                                                                                                            <w:bottom w:val="none" w:sz="0" w:space="0" w:color="auto"/>
                                                                                                            <w:right w:val="none" w:sz="0" w:space="0" w:color="auto"/>
                                                                                                          </w:divBdr>
                                                                                                          <w:divsChild>
                                                                                                            <w:div w:id="1262101062">
                                                                                                              <w:marLeft w:val="0"/>
                                                                                                              <w:marRight w:val="0"/>
                                                                                                              <w:marTop w:val="0"/>
                                                                                                              <w:marBottom w:val="0"/>
                                                                                                              <w:divBdr>
                                                                                                                <w:top w:val="none" w:sz="0" w:space="0" w:color="auto"/>
                                                                                                                <w:left w:val="none" w:sz="0" w:space="0" w:color="auto"/>
                                                                                                                <w:bottom w:val="none" w:sz="0" w:space="0" w:color="auto"/>
                                                                                                                <w:right w:val="none" w:sz="0" w:space="0" w:color="auto"/>
                                                                                                              </w:divBdr>
                                                                                                              <w:divsChild>
                                                                                                                <w:div w:id="1253202408">
                                                                                                                  <w:marLeft w:val="0"/>
                                                                                                                  <w:marRight w:val="0"/>
                                                                                                                  <w:marTop w:val="0"/>
                                                                                                                  <w:marBottom w:val="0"/>
                                                                                                                  <w:divBdr>
                                                                                                                    <w:top w:val="none" w:sz="0" w:space="0" w:color="auto"/>
                                                                                                                    <w:left w:val="none" w:sz="0" w:space="0" w:color="auto"/>
                                                                                                                    <w:bottom w:val="none" w:sz="0" w:space="0" w:color="auto"/>
                                                                                                                    <w:right w:val="none" w:sz="0" w:space="0" w:color="auto"/>
                                                                                                                  </w:divBdr>
                                                                                                                  <w:divsChild>
                                                                                                                    <w:div w:id="297883062">
                                                                                                                      <w:marLeft w:val="0"/>
                                                                                                                      <w:marRight w:val="0"/>
                                                                                                                      <w:marTop w:val="0"/>
                                                                                                                      <w:marBottom w:val="0"/>
                                                                                                                      <w:divBdr>
                                                                                                                        <w:top w:val="none" w:sz="0" w:space="0" w:color="auto"/>
                                                                                                                        <w:left w:val="none" w:sz="0" w:space="0" w:color="auto"/>
                                                                                                                        <w:bottom w:val="none" w:sz="0" w:space="0" w:color="auto"/>
                                                                                                                        <w:right w:val="none" w:sz="0" w:space="0" w:color="auto"/>
                                                                                                                      </w:divBdr>
                                                                                                                      <w:divsChild>
                                                                                                                        <w:div w:id="293104061">
                                                                                                                          <w:marLeft w:val="0"/>
                                                                                                                          <w:marRight w:val="0"/>
                                                                                                                          <w:marTop w:val="0"/>
                                                                                                                          <w:marBottom w:val="0"/>
                                                                                                                          <w:divBdr>
                                                                                                                            <w:top w:val="none" w:sz="0" w:space="0" w:color="auto"/>
                                                                                                                            <w:left w:val="none" w:sz="0" w:space="0" w:color="auto"/>
                                                                                                                            <w:bottom w:val="none" w:sz="0" w:space="0" w:color="auto"/>
                                                                                                                            <w:right w:val="none" w:sz="0" w:space="0" w:color="auto"/>
                                                                                                                          </w:divBdr>
                                                                                                                          <w:divsChild>
                                                                                                                            <w:div w:id="13654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9865679">
                                                                      <w:marLeft w:val="0"/>
                                                                      <w:marRight w:val="0"/>
                                                                      <w:marTop w:val="0"/>
                                                                      <w:marBottom w:val="0"/>
                                                                      <w:divBdr>
                                                                        <w:top w:val="none" w:sz="0" w:space="0" w:color="auto"/>
                                                                        <w:left w:val="none" w:sz="0" w:space="0" w:color="auto"/>
                                                                        <w:bottom w:val="none" w:sz="0" w:space="0" w:color="auto"/>
                                                                        <w:right w:val="none" w:sz="0" w:space="0" w:color="auto"/>
                                                                      </w:divBdr>
                                                                      <w:divsChild>
                                                                        <w:div w:id="846746162">
                                                                          <w:marLeft w:val="0"/>
                                                                          <w:marRight w:val="0"/>
                                                                          <w:marTop w:val="0"/>
                                                                          <w:marBottom w:val="0"/>
                                                                          <w:divBdr>
                                                                            <w:top w:val="none" w:sz="0" w:space="0" w:color="auto"/>
                                                                            <w:left w:val="none" w:sz="0" w:space="0" w:color="auto"/>
                                                                            <w:bottom w:val="none" w:sz="0" w:space="0" w:color="auto"/>
                                                                            <w:right w:val="none" w:sz="0" w:space="0" w:color="auto"/>
                                                                          </w:divBdr>
                                                                          <w:divsChild>
                                                                            <w:div w:id="979921035">
                                                                              <w:marLeft w:val="0"/>
                                                                              <w:marRight w:val="0"/>
                                                                              <w:marTop w:val="0"/>
                                                                              <w:marBottom w:val="0"/>
                                                                              <w:divBdr>
                                                                                <w:top w:val="none" w:sz="0" w:space="0" w:color="auto"/>
                                                                                <w:left w:val="none" w:sz="0" w:space="0" w:color="auto"/>
                                                                                <w:bottom w:val="none" w:sz="0" w:space="0" w:color="auto"/>
                                                                                <w:right w:val="none" w:sz="0" w:space="0" w:color="auto"/>
                                                                              </w:divBdr>
                                                                              <w:divsChild>
                                                                                <w:div w:id="1300113425">
                                                                                  <w:marLeft w:val="0"/>
                                                                                  <w:marRight w:val="0"/>
                                                                                  <w:marTop w:val="0"/>
                                                                                  <w:marBottom w:val="0"/>
                                                                                  <w:divBdr>
                                                                                    <w:top w:val="none" w:sz="0" w:space="0" w:color="auto"/>
                                                                                    <w:left w:val="none" w:sz="0" w:space="0" w:color="auto"/>
                                                                                    <w:bottom w:val="none" w:sz="0" w:space="0" w:color="auto"/>
                                                                                    <w:right w:val="none" w:sz="0" w:space="0" w:color="auto"/>
                                                                                  </w:divBdr>
                                                                                  <w:divsChild>
                                                                                    <w:div w:id="2054111505">
                                                                                      <w:marLeft w:val="0"/>
                                                                                      <w:marRight w:val="0"/>
                                                                                      <w:marTop w:val="0"/>
                                                                                      <w:marBottom w:val="0"/>
                                                                                      <w:divBdr>
                                                                                        <w:top w:val="none" w:sz="0" w:space="0" w:color="auto"/>
                                                                                        <w:left w:val="none" w:sz="0" w:space="0" w:color="auto"/>
                                                                                        <w:bottom w:val="none" w:sz="0" w:space="0" w:color="auto"/>
                                                                                        <w:right w:val="none" w:sz="0" w:space="0" w:color="auto"/>
                                                                                      </w:divBdr>
                                                                                      <w:divsChild>
                                                                                        <w:div w:id="987856848">
                                                                                          <w:marLeft w:val="0"/>
                                                                                          <w:marRight w:val="0"/>
                                                                                          <w:marTop w:val="0"/>
                                                                                          <w:marBottom w:val="0"/>
                                                                                          <w:divBdr>
                                                                                            <w:top w:val="none" w:sz="0" w:space="0" w:color="auto"/>
                                                                                            <w:left w:val="none" w:sz="0" w:space="0" w:color="auto"/>
                                                                                            <w:bottom w:val="none" w:sz="0" w:space="0" w:color="auto"/>
                                                                                            <w:right w:val="none" w:sz="0" w:space="0" w:color="auto"/>
                                                                                          </w:divBdr>
                                                                                          <w:divsChild>
                                                                                            <w:div w:id="1941640955">
                                                                                              <w:marLeft w:val="0"/>
                                                                                              <w:marRight w:val="0"/>
                                                                                              <w:marTop w:val="0"/>
                                                                                              <w:marBottom w:val="0"/>
                                                                                              <w:divBdr>
                                                                                                <w:top w:val="none" w:sz="0" w:space="0" w:color="auto"/>
                                                                                                <w:left w:val="none" w:sz="0" w:space="0" w:color="auto"/>
                                                                                                <w:bottom w:val="none" w:sz="0" w:space="0" w:color="auto"/>
                                                                                                <w:right w:val="none" w:sz="0" w:space="0" w:color="auto"/>
                                                                                              </w:divBdr>
                                                                                              <w:divsChild>
                                                                                                <w:div w:id="262692707">
                                                                                                  <w:marLeft w:val="0"/>
                                                                                                  <w:marRight w:val="0"/>
                                                                                                  <w:marTop w:val="0"/>
                                                                                                  <w:marBottom w:val="0"/>
                                                                                                  <w:divBdr>
                                                                                                    <w:top w:val="none" w:sz="0" w:space="0" w:color="auto"/>
                                                                                                    <w:left w:val="none" w:sz="0" w:space="0" w:color="auto"/>
                                                                                                    <w:bottom w:val="none" w:sz="0" w:space="0" w:color="auto"/>
                                                                                                    <w:right w:val="none" w:sz="0" w:space="0" w:color="auto"/>
                                                                                                  </w:divBdr>
                                                                                                  <w:divsChild>
                                                                                                    <w:div w:id="554776347">
                                                                                                      <w:marLeft w:val="0"/>
                                                                                                      <w:marRight w:val="0"/>
                                                                                                      <w:marTop w:val="0"/>
                                                                                                      <w:marBottom w:val="0"/>
                                                                                                      <w:divBdr>
                                                                                                        <w:top w:val="none" w:sz="0" w:space="0" w:color="auto"/>
                                                                                                        <w:left w:val="none" w:sz="0" w:space="0" w:color="auto"/>
                                                                                                        <w:bottom w:val="none" w:sz="0" w:space="0" w:color="auto"/>
                                                                                                        <w:right w:val="none" w:sz="0" w:space="0" w:color="auto"/>
                                                                                                      </w:divBdr>
                                                                                                      <w:divsChild>
                                                                                                        <w:div w:id="1002777350">
                                                                                                          <w:marLeft w:val="0"/>
                                                                                                          <w:marRight w:val="0"/>
                                                                                                          <w:marTop w:val="0"/>
                                                                                                          <w:marBottom w:val="0"/>
                                                                                                          <w:divBdr>
                                                                                                            <w:top w:val="none" w:sz="0" w:space="0" w:color="auto"/>
                                                                                                            <w:left w:val="none" w:sz="0" w:space="0" w:color="auto"/>
                                                                                                            <w:bottom w:val="none" w:sz="0" w:space="0" w:color="auto"/>
                                                                                                            <w:right w:val="none" w:sz="0" w:space="0" w:color="auto"/>
                                                                                                          </w:divBdr>
                                                                                                          <w:divsChild>
                                                                                                            <w:div w:id="38806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290041">
                                                                      <w:marLeft w:val="0"/>
                                                                      <w:marRight w:val="0"/>
                                                                      <w:marTop w:val="0"/>
                                                                      <w:marBottom w:val="0"/>
                                                                      <w:divBdr>
                                                                        <w:top w:val="none" w:sz="0" w:space="0" w:color="auto"/>
                                                                        <w:left w:val="none" w:sz="0" w:space="0" w:color="auto"/>
                                                                        <w:bottom w:val="none" w:sz="0" w:space="0" w:color="auto"/>
                                                                        <w:right w:val="none" w:sz="0" w:space="0" w:color="auto"/>
                                                                      </w:divBdr>
                                                                      <w:divsChild>
                                                                        <w:div w:id="1032998965">
                                                                          <w:marLeft w:val="0"/>
                                                                          <w:marRight w:val="0"/>
                                                                          <w:marTop w:val="0"/>
                                                                          <w:marBottom w:val="0"/>
                                                                          <w:divBdr>
                                                                            <w:top w:val="none" w:sz="0" w:space="0" w:color="auto"/>
                                                                            <w:left w:val="none" w:sz="0" w:space="0" w:color="auto"/>
                                                                            <w:bottom w:val="none" w:sz="0" w:space="0" w:color="auto"/>
                                                                            <w:right w:val="none" w:sz="0" w:space="0" w:color="auto"/>
                                                                          </w:divBdr>
                                                                          <w:divsChild>
                                                                            <w:div w:id="793406730">
                                                                              <w:marLeft w:val="0"/>
                                                                              <w:marRight w:val="0"/>
                                                                              <w:marTop w:val="0"/>
                                                                              <w:marBottom w:val="0"/>
                                                                              <w:divBdr>
                                                                                <w:top w:val="none" w:sz="0" w:space="0" w:color="auto"/>
                                                                                <w:left w:val="none" w:sz="0" w:space="0" w:color="auto"/>
                                                                                <w:bottom w:val="none" w:sz="0" w:space="0" w:color="auto"/>
                                                                                <w:right w:val="none" w:sz="0" w:space="0" w:color="auto"/>
                                                                              </w:divBdr>
                                                                              <w:divsChild>
                                                                                <w:div w:id="435291858">
                                                                                  <w:marLeft w:val="0"/>
                                                                                  <w:marRight w:val="0"/>
                                                                                  <w:marTop w:val="0"/>
                                                                                  <w:marBottom w:val="0"/>
                                                                                  <w:divBdr>
                                                                                    <w:top w:val="none" w:sz="0" w:space="0" w:color="auto"/>
                                                                                    <w:left w:val="none" w:sz="0" w:space="0" w:color="auto"/>
                                                                                    <w:bottom w:val="none" w:sz="0" w:space="0" w:color="auto"/>
                                                                                    <w:right w:val="none" w:sz="0" w:space="0" w:color="auto"/>
                                                                                  </w:divBdr>
                                                                                  <w:divsChild>
                                                                                    <w:div w:id="462694677">
                                                                                      <w:marLeft w:val="0"/>
                                                                                      <w:marRight w:val="0"/>
                                                                                      <w:marTop w:val="0"/>
                                                                                      <w:marBottom w:val="0"/>
                                                                                      <w:divBdr>
                                                                                        <w:top w:val="none" w:sz="0" w:space="0" w:color="auto"/>
                                                                                        <w:left w:val="none" w:sz="0" w:space="0" w:color="auto"/>
                                                                                        <w:bottom w:val="none" w:sz="0" w:space="0" w:color="auto"/>
                                                                                        <w:right w:val="none" w:sz="0" w:space="0" w:color="auto"/>
                                                                                      </w:divBdr>
                                                                                      <w:divsChild>
                                                                                        <w:div w:id="1343047369">
                                                                                          <w:marLeft w:val="0"/>
                                                                                          <w:marRight w:val="0"/>
                                                                                          <w:marTop w:val="0"/>
                                                                                          <w:marBottom w:val="0"/>
                                                                                          <w:divBdr>
                                                                                            <w:top w:val="none" w:sz="0" w:space="0" w:color="auto"/>
                                                                                            <w:left w:val="none" w:sz="0" w:space="0" w:color="auto"/>
                                                                                            <w:bottom w:val="none" w:sz="0" w:space="0" w:color="auto"/>
                                                                                            <w:right w:val="none" w:sz="0" w:space="0" w:color="auto"/>
                                                                                          </w:divBdr>
                                                                                          <w:divsChild>
                                                                                            <w:div w:id="386760191">
                                                                                              <w:marLeft w:val="0"/>
                                                                                              <w:marRight w:val="0"/>
                                                                                              <w:marTop w:val="0"/>
                                                                                              <w:marBottom w:val="0"/>
                                                                                              <w:divBdr>
                                                                                                <w:top w:val="none" w:sz="0" w:space="0" w:color="auto"/>
                                                                                                <w:left w:val="none" w:sz="0" w:space="0" w:color="auto"/>
                                                                                                <w:bottom w:val="none" w:sz="0" w:space="0" w:color="auto"/>
                                                                                                <w:right w:val="none" w:sz="0" w:space="0" w:color="auto"/>
                                                                                              </w:divBdr>
                                                                                              <w:divsChild>
                                                                                                <w:div w:id="818376105">
                                                                                                  <w:marLeft w:val="0"/>
                                                                                                  <w:marRight w:val="0"/>
                                                                                                  <w:marTop w:val="0"/>
                                                                                                  <w:marBottom w:val="0"/>
                                                                                                  <w:divBdr>
                                                                                                    <w:top w:val="none" w:sz="0" w:space="0" w:color="auto"/>
                                                                                                    <w:left w:val="none" w:sz="0" w:space="0" w:color="auto"/>
                                                                                                    <w:bottom w:val="none" w:sz="0" w:space="0" w:color="auto"/>
                                                                                                    <w:right w:val="none" w:sz="0" w:space="0" w:color="auto"/>
                                                                                                  </w:divBdr>
                                                                                                  <w:divsChild>
                                                                                                    <w:div w:id="19226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458230">
                                                                      <w:marLeft w:val="0"/>
                                                                      <w:marRight w:val="0"/>
                                                                      <w:marTop w:val="0"/>
                                                                      <w:marBottom w:val="0"/>
                                                                      <w:divBdr>
                                                                        <w:top w:val="none" w:sz="0" w:space="0" w:color="auto"/>
                                                                        <w:left w:val="none" w:sz="0" w:space="0" w:color="auto"/>
                                                                        <w:bottom w:val="none" w:sz="0" w:space="0" w:color="auto"/>
                                                                        <w:right w:val="none" w:sz="0" w:space="0" w:color="auto"/>
                                                                      </w:divBdr>
                                                                      <w:divsChild>
                                                                        <w:div w:id="1826625645">
                                                                          <w:marLeft w:val="0"/>
                                                                          <w:marRight w:val="0"/>
                                                                          <w:marTop w:val="0"/>
                                                                          <w:marBottom w:val="0"/>
                                                                          <w:divBdr>
                                                                            <w:top w:val="none" w:sz="0" w:space="0" w:color="auto"/>
                                                                            <w:left w:val="none" w:sz="0" w:space="0" w:color="auto"/>
                                                                            <w:bottom w:val="none" w:sz="0" w:space="0" w:color="auto"/>
                                                                            <w:right w:val="none" w:sz="0" w:space="0" w:color="auto"/>
                                                                          </w:divBdr>
                                                                          <w:divsChild>
                                                                            <w:div w:id="804617207">
                                                                              <w:marLeft w:val="0"/>
                                                                              <w:marRight w:val="0"/>
                                                                              <w:marTop w:val="0"/>
                                                                              <w:marBottom w:val="0"/>
                                                                              <w:divBdr>
                                                                                <w:top w:val="none" w:sz="0" w:space="0" w:color="auto"/>
                                                                                <w:left w:val="none" w:sz="0" w:space="0" w:color="auto"/>
                                                                                <w:bottom w:val="none" w:sz="0" w:space="0" w:color="auto"/>
                                                                                <w:right w:val="none" w:sz="0" w:space="0" w:color="auto"/>
                                                                              </w:divBdr>
                                                                              <w:divsChild>
                                                                                <w:div w:id="1670595346">
                                                                                  <w:marLeft w:val="0"/>
                                                                                  <w:marRight w:val="0"/>
                                                                                  <w:marTop w:val="0"/>
                                                                                  <w:marBottom w:val="0"/>
                                                                                  <w:divBdr>
                                                                                    <w:top w:val="none" w:sz="0" w:space="0" w:color="auto"/>
                                                                                    <w:left w:val="none" w:sz="0" w:space="0" w:color="auto"/>
                                                                                    <w:bottom w:val="none" w:sz="0" w:space="0" w:color="auto"/>
                                                                                    <w:right w:val="none" w:sz="0" w:space="0" w:color="auto"/>
                                                                                  </w:divBdr>
                                                                                  <w:divsChild>
                                                                                    <w:div w:id="917059253">
                                                                                      <w:marLeft w:val="0"/>
                                                                                      <w:marRight w:val="0"/>
                                                                                      <w:marTop w:val="0"/>
                                                                                      <w:marBottom w:val="0"/>
                                                                                      <w:divBdr>
                                                                                        <w:top w:val="none" w:sz="0" w:space="0" w:color="auto"/>
                                                                                        <w:left w:val="none" w:sz="0" w:space="0" w:color="auto"/>
                                                                                        <w:bottom w:val="none" w:sz="0" w:space="0" w:color="auto"/>
                                                                                        <w:right w:val="none" w:sz="0" w:space="0" w:color="auto"/>
                                                                                      </w:divBdr>
                                                                                      <w:divsChild>
                                                                                        <w:div w:id="415131880">
                                                                                          <w:marLeft w:val="0"/>
                                                                                          <w:marRight w:val="0"/>
                                                                                          <w:marTop w:val="0"/>
                                                                                          <w:marBottom w:val="0"/>
                                                                                          <w:divBdr>
                                                                                            <w:top w:val="none" w:sz="0" w:space="0" w:color="auto"/>
                                                                                            <w:left w:val="none" w:sz="0" w:space="0" w:color="auto"/>
                                                                                            <w:bottom w:val="none" w:sz="0" w:space="0" w:color="auto"/>
                                                                                            <w:right w:val="none" w:sz="0" w:space="0" w:color="auto"/>
                                                                                          </w:divBdr>
                                                                                          <w:divsChild>
                                                                                            <w:div w:id="1277904434">
                                                                                              <w:marLeft w:val="0"/>
                                                                                              <w:marRight w:val="0"/>
                                                                                              <w:marTop w:val="0"/>
                                                                                              <w:marBottom w:val="0"/>
                                                                                              <w:divBdr>
                                                                                                <w:top w:val="none" w:sz="0" w:space="0" w:color="auto"/>
                                                                                                <w:left w:val="none" w:sz="0" w:space="0" w:color="auto"/>
                                                                                                <w:bottom w:val="none" w:sz="0" w:space="0" w:color="auto"/>
                                                                                                <w:right w:val="none" w:sz="0" w:space="0" w:color="auto"/>
                                                                                              </w:divBdr>
                                                                                              <w:divsChild>
                                                                                                <w:div w:id="331877485">
                                                                                                  <w:marLeft w:val="0"/>
                                                                                                  <w:marRight w:val="0"/>
                                                                                                  <w:marTop w:val="0"/>
                                                                                                  <w:marBottom w:val="0"/>
                                                                                                  <w:divBdr>
                                                                                                    <w:top w:val="none" w:sz="0" w:space="0" w:color="auto"/>
                                                                                                    <w:left w:val="none" w:sz="0" w:space="0" w:color="auto"/>
                                                                                                    <w:bottom w:val="none" w:sz="0" w:space="0" w:color="auto"/>
                                                                                                    <w:right w:val="none" w:sz="0" w:space="0" w:color="auto"/>
                                                                                                  </w:divBdr>
                                                                                                  <w:divsChild>
                                                                                                    <w:div w:id="544680917">
                                                                                                      <w:marLeft w:val="0"/>
                                                                                                      <w:marRight w:val="0"/>
                                                                                                      <w:marTop w:val="0"/>
                                                                                                      <w:marBottom w:val="0"/>
                                                                                                      <w:divBdr>
                                                                                                        <w:top w:val="none" w:sz="0" w:space="0" w:color="auto"/>
                                                                                                        <w:left w:val="none" w:sz="0" w:space="0" w:color="auto"/>
                                                                                                        <w:bottom w:val="none" w:sz="0" w:space="0" w:color="auto"/>
                                                                                                        <w:right w:val="none" w:sz="0" w:space="0" w:color="auto"/>
                                                                                                      </w:divBdr>
                                                                                                      <w:divsChild>
                                                                                                        <w:div w:id="1729500642">
                                                                                                          <w:marLeft w:val="0"/>
                                                                                                          <w:marRight w:val="0"/>
                                                                                                          <w:marTop w:val="0"/>
                                                                                                          <w:marBottom w:val="0"/>
                                                                                                          <w:divBdr>
                                                                                                            <w:top w:val="none" w:sz="0" w:space="0" w:color="auto"/>
                                                                                                            <w:left w:val="none" w:sz="0" w:space="0" w:color="auto"/>
                                                                                                            <w:bottom w:val="none" w:sz="0" w:space="0" w:color="auto"/>
                                                                                                            <w:right w:val="none" w:sz="0" w:space="0" w:color="auto"/>
                                                                                                          </w:divBdr>
                                                                                                          <w:divsChild>
                                                                                                            <w:div w:id="10948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108873">
                                                                      <w:marLeft w:val="0"/>
                                                                      <w:marRight w:val="0"/>
                                                                      <w:marTop w:val="0"/>
                                                                      <w:marBottom w:val="0"/>
                                                                      <w:divBdr>
                                                                        <w:top w:val="none" w:sz="0" w:space="0" w:color="auto"/>
                                                                        <w:left w:val="none" w:sz="0" w:space="0" w:color="auto"/>
                                                                        <w:bottom w:val="none" w:sz="0" w:space="0" w:color="auto"/>
                                                                        <w:right w:val="none" w:sz="0" w:space="0" w:color="auto"/>
                                                                      </w:divBdr>
                                                                      <w:divsChild>
                                                                        <w:div w:id="1070495271">
                                                                          <w:marLeft w:val="0"/>
                                                                          <w:marRight w:val="0"/>
                                                                          <w:marTop w:val="0"/>
                                                                          <w:marBottom w:val="0"/>
                                                                          <w:divBdr>
                                                                            <w:top w:val="none" w:sz="0" w:space="0" w:color="auto"/>
                                                                            <w:left w:val="none" w:sz="0" w:space="0" w:color="auto"/>
                                                                            <w:bottom w:val="none" w:sz="0" w:space="0" w:color="auto"/>
                                                                            <w:right w:val="none" w:sz="0" w:space="0" w:color="auto"/>
                                                                          </w:divBdr>
                                                                          <w:divsChild>
                                                                            <w:div w:id="1289437917">
                                                                              <w:marLeft w:val="0"/>
                                                                              <w:marRight w:val="0"/>
                                                                              <w:marTop w:val="0"/>
                                                                              <w:marBottom w:val="0"/>
                                                                              <w:divBdr>
                                                                                <w:top w:val="none" w:sz="0" w:space="0" w:color="auto"/>
                                                                                <w:left w:val="none" w:sz="0" w:space="0" w:color="auto"/>
                                                                                <w:bottom w:val="none" w:sz="0" w:space="0" w:color="auto"/>
                                                                                <w:right w:val="none" w:sz="0" w:space="0" w:color="auto"/>
                                                                              </w:divBdr>
                                                                              <w:divsChild>
                                                                                <w:div w:id="1447046963">
                                                                                  <w:marLeft w:val="0"/>
                                                                                  <w:marRight w:val="0"/>
                                                                                  <w:marTop w:val="0"/>
                                                                                  <w:marBottom w:val="0"/>
                                                                                  <w:divBdr>
                                                                                    <w:top w:val="none" w:sz="0" w:space="0" w:color="auto"/>
                                                                                    <w:left w:val="none" w:sz="0" w:space="0" w:color="auto"/>
                                                                                    <w:bottom w:val="none" w:sz="0" w:space="0" w:color="auto"/>
                                                                                    <w:right w:val="none" w:sz="0" w:space="0" w:color="auto"/>
                                                                                  </w:divBdr>
                                                                                  <w:divsChild>
                                                                                    <w:div w:id="603809244">
                                                                                      <w:marLeft w:val="0"/>
                                                                                      <w:marRight w:val="0"/>
                                                                                      <w:marTop w:val="0"/>
                                                                                      <w:marBottom w:val="0"/>
                                                                                      <w:divBdr>
                                                                                        <w:top w:val="none" w:sz="0" w:space="0" w:color="auto"/>
                                                                                        <w:left w:val="none" w:sz="0" w:space="0" w:color="auto"/>
                                                                                        <w:bottom w:val="none" w:sz="0" w:space="0" w:color="auto"/>
                                                                                        <w:right w:val="none" w:sz="0" w:space="0" w:color="auto"/>
                                                                                      </w:divBdr>
                                                                                      <w:divsChild>
                                                                                        <w:div w:id="1177422356">
                                                                                          <w:marLeft w:val="0"/>
                                                                                          <w:marRight w:val="0"/>
                                                                                          <w:marTop w:val="0"/>
                                                                                          <w:marBottom w:val="0"/>
                                                                                          <w:divBdr>
                                                                                            <w:top w:val="none" w:sz="0" w:space="0" w:color="auto"/>
                                                                                            <w:left w:val="none" w:sz="0" w:space="0" w:color="auto"/>
                                                                                            <w:bottom w:val="none" w:sz="0" w:space="0" w:color="auto"/>
                                                                                            <w:right w:val="none" w:sz="0" w:space="0" w:color="auto"/>
                                                                                          </w:divBdr>
                                                                                          <w:divsChild>
                                                                                            <w:div w:id="208617395">
                                                                                              <w:marLeft w:val="0"/>
                                                                                              <w:marRight w:val="0"/>
                                                                                              <w:marTop w:val="0"/>
                                                                                              <w:marBottom w:val="0"/>
                                                                                              <w:divBdr>
                                                                                                <w:top w:val="none" w:sz="0" w:space="0" w:color="auto"/>
                                                                                                <w:left w:val="none" w:sz="0" w:space="0" w:color="auto"/>
                                                                                                <w:bottom w:val="none" w:sz="0" w:space="0" w:color="auto"/>
                                                                                                <w:right w:val="none" w:sz="0" w:space="0" w:color="auto"/>
                                                                                              </w:divBdr>
                                                                                              <w:divsChild>
                                                                                                <w:div w:id="338043319">
                                                                                                  <w:marLeft w:val="0"/>
                                                                                                  <w:marRight w:val="0"/>
                                                                                                  <w:marTop w:val="0"/>
                                                                                                  <w:marBottom w:val="0"/>
                                                                                                  <w:divBdr>
                                                                                                    <w:top w:val="none" w:sz="0" w:space="0" w:color="auto"/>
                                                                                                    <w:left w:val="none" w:sz="0" w:space="0" w:color="auto"/>
                                                                                                    <w:bottom w:val="none" w:sz="0" w:space="0" w:color="auto"/>
                                                                                                    <w:right w:val="none" w:sz="0" w:space="0" w:color="auto"/>
                                                                                                  </w:divBdr>
                                                                                                  <w:divsChild>
                                                                                                    <w:div w:id="1085806023">
                                                                                                      <w:marLeft w:val="0"/>
                                                                                                      <w:marRight w:val="0"/>
                                                                                                      <w:marTop w:val="0"/>
                                                                                                      <w:marBottom w:val="0"/>
                                                                                                      <w:divBdr>
                                                                                                        <w:top w:val="none" w:sz="0" w:space="0" w:color="auto"/>
                                                                                                        <w:left w:val="none" w:sz="0" w:space="0" w:color="auto"/>
                                                                                                        <w:bottom w:val="none" w:sz="0" w:space="0" w:color="auto"/>
                                                                                                        <w:right w:val="none" w:sz="0" w:space="0" w:color="auto"/>
                                                                                                      </w:divBdr>
                                                                                                      <w:divsChild>
                                                                                                        <w:div w:id="564799833">
                                                                                                          <w:marLeft w:val="0"/>
                                                                                                          <w:marRight w:val="0"/>
                                                                                                          <w:marTop w:val="0"/>
                                                                                                          <w:marBottom w:val="0"/>
                                                                                                          <w:divBdr>
                                                                                                            <w:top w:val="none" w:sz="0" w:space="0" w:color="auto"/>
                                                                                                            <w:left w:val="none" w:sz="0" w:space="0" w:color="auto"/>
                                                                                                            <w:bottom w:val="none" w:sz="0" w:space="0" w:color="auto"/>
                                                                                                            <w:right w:val="none" w:sz="0" w:space="0" w:color="auto"/>
                                                                                                          </w:divBdr>
                                                                                                          <w:divsChild>
                                                                                                            <w:div w:id="21444062">
                                                                                                              <w:marLeft w:val="0"/>
                                                                                                              <w:marRight w:val="0"/>
                                                                                                              <w:marTop w:val="0"/>
                                                                                                              <w:marBottom w:val="0"/>
                                                                                                              <w:divBdr>
                                                                                                                <w:top w:val="none" w:sz="0" w:space="0" w:color="auto"/>
                                                                                                                <w:left w:val="none" w:sz="0" w:space="0" w:color="auto"/>
                                                                                                                <w:bottom w:val="none" w:sz="0" w:space="0" w:color="auto"/>
                                                                                                                <w:right w:val="none" w:sz="0" w:space="0" w:color="auto"/>
                                                                                                              </w:divBdr>
                                                                                                              <w:divsChild>
                                                                                                                <w:div w:id="1283343124">
                                                                                                                  <w:marLeft w:val="0"/>
                                                                                                                  <w:marRight w:val="0"/>
                                                                                                                  <w:marTop w:val="0"/>
                                                                                                                  <w:marBottom w:val="0"/>
                                                                                                                  <w:divBdr>
                                                                                                                    <w:top w:val="none" w:sz="0" w:space="0" w:color="auto"/>
                                                                                                                    <w:left w:val="none" w:sz="0" w:space="0" w:color="auto"/>
                                                                                                                    <w:bottom w:val="none" w:sz="0" w:space="0" w:color="auto"/>
                                                                                                                    <w:right w:val="none" w:sz="0" w:space="0" w:color="auto"/>
                                                                                                                  </w:divBdr>
                                                                                                                  <w:divsChild>
                                                                                                                    <w:div w:id="1356927483">
                                                                                                                      <w:marLeft w:val="0"/>
                                                                                                                      <w:marRight w:val="0"/>
                                                                                                                      <w:marTop w:val="0"/>
                                                                                                                      <w:marBottom w:val="0"/>
                                                                                                                      <w:divBdr>
                                                                                                                        <w:top w:val="none" w:sz="0" w:space="0" w:color="auto"/>
                                                                                                                        <w:left w:val="none" w:sz="0" w:space="0" w:color="auto"/>
                                                                                                                        <w:bottom w:val="none" w:sz="0" w:space="0" w:color="auto"/>
                                                                                                                        <w:right w:val="none" w:sz="0" w:space="0" w:color="auto"/>
                                                                                                                      </w:divBdr>
                                                                                                                      <w:divsChild>
                                                                                                                        <w:div w:id="4837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7036">
                                                                                                          <w:marLeft w:val="0"/>
                                                                                                          <w:marRight w:val="0"/>
                                                                                                          <w:marTop w:val="0"/>
                                                                                                          <w:marBottom w:val="0"/>
                                                                                                          <w:divBdr>
                                                                                                            <w:top w:val="none" w:sz="0" w:space="0" w:color="auto"/>
                                                                                                            <w:left w:val="none" w:sz="0" w:space="0" w:color="auto"/>
                                                                                                            <w:bottom w:val="none" w:sz="0" w:space="0" w:color="auto"/>
                                                                                                            <w:right w:val="none" w:sz="0" w:space="0" w:color="auto"/>
                                                                                                          </w:divBdr>
                                                                                                          <w:divsChild>
                                                                                                            <w:div w:id="907958530">
                                                                                                              <w:marLeft w:val="0"/>
                                                                                                              <w:marRight w:val="0"/>
                                                                                                              <w:marTop w:val="0"/>
                                                                                                              <w:marBottom w:val="0"/>
                                                                                                              <w:divBdr>
                                                                                                                <w:top w:val="none" w:sz="0" w:space="0" w:color="auto"/>
                                                                                                                <w:left w:val="none" w:sz="0" w:space="0" w:color="auto"/>
                                                                                                                <w:bottom w:val="none" w:sz="0" w:space="0" w:color="auto"/>
                                                                                                                <w:right w:val="none" w:sz="0" w:space="0" w:color="auto"/>
                                                                                                              </w:divBdr>
                                                                                                              <w:divsChild>
                                                                                                                <w:div w:id="1800953504">
                                                                                                                  <w:marLeft w:val="0"/>
                                                                                                                  <w:marRight w:val="0"/>
                                                                                                                  <w:marTop w:val="0"/>
                                                                                                                  <w:marBottom w:val="0"/>
                                                                                                                  <w:divBdr>
                                                                                                                    <w:top w:val="none" w:sz="0" w:space="0" w:color="auto"/>
                                                                                                                    <w:left w:val="none" w:sz="0" w:space="0" w:color="auto"/>
                                                                                                                    <w:bottom w:val="none" w:sz="0" w:space="0" w:color="auto"/>
                                                                                                                    <w:right w:val="none" w:sz="0" w:space="0" w:color="auto"/>
                                                                                                                  </w:divBdr>
                                                                                                                  <w:divsChild>
                                                                                                                    <w:div w:id="694503382">
                                                                                                                      <w:marLeft w:val="0"/>
                                                                                                                      <w:marRight w:val="0"/>
                                                                                                                      <w:marTop w:val="0"/>
                                                                                                                      <w:marBottom w:val="0"/>
                                                                                                                      <w:divBdr>
                                                                                                                        <w:top w:val="none" w:sz="0" w:space="0" w:color="auto"/>
                                                                                                                        <w:left w:val="none" w:sz="0" w:space="0" w:color="auto"/>
                                                                                                                        <w:bottom w:val="none" w:sz="0" w:space="0" w:color="auto"/>
                                                                                                                        <w:right w:val="none" w:sz="0" w:space="0" w:color="auto"/>
                                                                                                                      </w:divBdr>
                                                                                                                      <w:divsChild>
                                                                                                                        <w:div w:id="319965213">
                                                                                                                          <w:marLeft w:val="0"/>
                                                                                                                          <w:marRight w:val="0"/>
                                                                                                                          <w:marTop w:val="0"/>
                                                                                                                          <w:marBottom w:val="0"/>
                                                                                                                          <w:divBdr>
                                                                                                                            <w:top w:val="none" w:sz="0" w:space="0" w:color="auto"/>
                                                                                                                            <w:left w:val="none" w:sz="0" w:space="0" w:color="auto"/>
                                                                                                                            <w:bottom w:val="none" w:sz="0" w:space="0" w:color="auto"/>
                                                                                                                            <w:right w:val="none" w:sz="0" w:space="0" w:color="auto"/>
                                                                                                                          </w:divBdr>
                                                                                                                          <w:divsChild>
                                                                                                                            <w:div w:id="146711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214130">
                                                                                                  <w:marLeft w:val="0"/>
                                                                                                  <w:marRight w:val="0"/>
                                                                                                  <w:marTop w:val="0"/>
                                                                                                  <w:marBottom w:val="0"/>
                                                                                                  <w:divBdr>
                                                                                                    <w:top w:val="none" w:sz="0" w:space="0" w:color="auto"/>
                                                                                                    <w:left w:val="none" w:sz="0" w:space="0" w:color="auto"/>
                                                                                                    <w:bottom w:val="none" w:sz="0" w:space="0" w:color="auto"/>
                                                                                                    <w:right w:val="none" w:sz="0" w:space="0" w:color="auto"/>
                                                                                                  </w:divBdr>
                                                                                                  <w:divsChild>
                                                                                                    <w:div w:id="1895696882">
                                                                                                      <w:marLeft w:val="0"/>
                                                                                                      <w:marRight w:val="0"/>
                                                                                                      <w:marTop w:val="0"/>
                                                                                                      <w:marBottom w:val="0"/>
                                                                                                      <w:divBdr>
                                                                                                        <w:top w:val="none" w:sz="0" w:space="0" w:color="auto"/>
                                                                                                        <w:left w:val="none" w:sz="0" w:space="0" w:color="auto"/>
                                                                                                        <w:bottom w:val="none" w:sz="0" w:space="0" w:color="auto"/>
                                                                                                        <w:right w:val="none" w:sz="0" w:space="0" w:color="auto"/>
                                                                                                      </w:divBdr>
                                                                                                      <w:divsChild>
                                                                                                        <w:div w:id="433212391">
                                                                                                          <w:marLeft w:val="0"/>
                                                                                                          <w:marRight w:val="0"/>
                                                                                                          <w:marTop w:val="0"/>
                                                                                                          <w:marBottom w:val="0"/>
                                                                                                          <w:divBdr>
                                                                                                            <w:top w:val="none" w:sz="0" w:space="0" w:color="auto"/>
                                                                                                            <w:left w:val="none" w:sz="0" w:space="0" w:color="auto"/>
                                                                                                            <w:bottom w:val="none" w:sz="0" w:space="0" w:color="auto"/>
                                                                                                            <w:right w:val="none" w:sz="0" w:space="0" w:color="auto"/>
                                                                                                          </w:divBdr>
                                                                                                          <w:divsChild>
                                                                                                            <w:div w:id="367419152">
                                                                                                              <w:marLeft w:val="0"/>
                                                                                                              <w:marRight w:val="0"/>
                                                                                                              <w:marTop w:val="0"/>
                                                                                                              <w:marBottom w:val="0"/>
                                                                                                              <w:divBdr>
                                                                                                                <w:top w:val="none" w:sz="0" w:space="0" w:color="auto"/>
                                                                                                                <w:left w:val="none" w:sz="0" w:space="0" w:color="auto"/>
                                                                                                                <w:bottom w:val="none" w:sz="0" w:space="0" w:color="auto"/>
                                                                                                                <w:right w:val="none" w:sz="0" w:space="0" w:color="auto"/>
                                                                                                              </w:divBdr>
                                                                                                              <w:divsChild>
                                                                                                                <w:div w:id="525488685">
                                                                                                                  <w:marLeft w:val="0"/>
                                                                                                                  <w:marRight w:val="0"/>
                                                                                                                  <w:marTop w:val="0"/>
                                                                                                                  <w:marBottom w:val="0"/>
                                                                                                                  <w:divBdr>
                                                                                                                    <w:top w:val="none" w:sz="0" w:space="0" w:color="auto"/>
                                                                                                                    <w:left w:val="none" w:sz="0" w:space="0" w:color="auto"/>
                                                                                                                    <w:bottom w:val="none" w:sz="0" w:space="0" w:color="auto"/>
                                                                                                                    <w:right w:val="none" w:sz="0" w:space="0" w:color="auto"/>
                                                                                                                  </w:divBdr>
                                                                                                                  <w:divsChild>
                                                                                                                    <w:div w:id="1614366412">
                                                                                                                      <w:marLeft w:val="0"/>
                                                                                                                      <w:marRight w:val="0"/>
                                                                                                                      <w:marTop w:val="0"/>
                                                                                                                      <w:marBottom w:val="0"/>
                                                                                                                      <w:divBdr>
                                                                                                                        <w:top w:val="none" w:sz="0" w:space="0" w:color="auto"/>
                                                                                                                        <w:left w:val="none" w:sz="0" w:space="0" w:color="auto"/>
                                                                                                                        <w:bottom w:val="none" w:sz="0" w:space="0" w:color="auto"/>
                                                                                                                        <w:right w:val="none" w:sz="0" w:space="0" w:color="auto"/>
                                                                                                                      </w:divBdr>
                                                                                                                      <w:divsChild>
                                                                                                                        <w:div w:id="850073761">
                                                                                                                          <w:marLeft w:val="0"/>
                                                                                                                          <w:marRight w:val="0"/>
                                                                                                                          <w:marTop w:val="0"/>
                                                                                                                          <w:marBottom w:val="0"/>
                                                                                                                          <w:divBdr>
                                                                                                                            <w:top w:val="none" w:sz="0" w:space="0" w:color="auto"/>
                                                                                                                            <w:left w:val="none" w:sz="0" w:space="0" w:color="auto"/>
                                                                                                                            <w:bottom w:val="none" w:sz="0" w:space="0" w:color="auto"/>
                                                                                                                            <w:right w:val="none" w:sz="0" w:space="0" w:color="auto"/>
                                                                                                                          </w:divBdr>
                                                                                                                          <w:divsChild>
                                                                                                                            <w:div w:id="172763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7404846">
      <w:bodyDiv w:val="1"/>
      <w:marLeft w:val="0"/>
      <w:marRight w:val="0"/>
      <w:marTop w:val="0"/>
      <w:marBottom w:val="0"/>
      <w:divBdr>
        <w:top w:val="none" w:sz="0" w:space="0" w:color="auto"/>
        <w:left w:val="none" w:sz="0" w:space="0" w:color="auto"/>
        <w:bottom w:val="none" w:sz="0" w:space="0" w:color="auto"/>
        <w:right w:val="none" w:sz="0" w:space="0" w:color="auto"/>
      </w:divBdr>
      <w:divsChild>
        <w:div w:id="873232843">
          <w:marLeft w:val="0"/>
          <w:marRight w:val="0"/>
          <w:marTop w:val="0"/>
          <w:marBottom w:val="0"/>
          <w:divBdr>
            <w:top w:val="none" w:sz="0" w:space="0" w:color="auto"/>
            <w:left w:val="none" w:sz="0" w:space="0" w:color="auto"/>
            <w:bottom w:val="none" w:sz="0" w:space="0" w:color="auto"/>
            <w:right w:val="none" w:sz="0" w:space="0" w:color="auto"/>
          </w:divBdr>
          <w:divsChild>
            <w:div w:id="1530948937">
              <w:marLeft w:val="0"/>
              <w:marRight w:val="0"/>
              <w:marTop w:val="0"/>
              <w:marBottom w:val="0"/>
              <w:divBdr>
                <w:top w:val="none" w:sz="0" w:space="0" w:color="auto"/>
                <w:left w:val="none" w:sz="0" w:space="0" w:color="auto"/>
                <w:bottom w:val="none" w:sz="0" w:space="0" w:color="auto"/>
                <w:right w:val="none" w:sz="0" w:space="0" w:color="auto"/>
              </w:divBdr>
              <w:divsChild>
                <w:div w:id="1279096813">
                  <w:marLeft w:val="0"/>
                  <w:marRight w:val="0"/>
                  <w:marTop w:val="0"/>
                  <w:marBottom w:val="0"/>
                  <w:divBdr>
                    <w:top w:val="none" w:sz="0" w:space="0" w:color="auto"/>
                    <w:left w:val="none" w:sz="0" w:space="0" w:color="auto"/>
                    <w:bottom w:val="none" w:sz="0" w:space="0" w:color="auto"/>
                    <w:right w:val="none" w:sz="0" w:space="0" w:color="auto"/>
                  </w:divBdr>
                  <w:divsChild>
                    <w:div w:id="2083334823">
                      <w:marLeft w:val="0"/>
                      <w:marRight w:val="0"/>
                      <w:marTop w:val="0"/>
                      <w:marBottom w:val="0"/>
                      <w:divBdr>
                        <w:top w:val="none" w:sz="0" w:space="0" w:color="auto"/>
                        <w:left w:val="none" w:sz="0" w:space="0" w:color="auto"/>
                        <w:bottom w:val="none" w:sz="0" w:space="0" w:color="auto"/>
                        <w:right w:val="none" w:sz="0" w:space="0" w:color="auto"/>
                      </w:divBdr>
                      <w:divsChild>
                        <w:div w:id="1281188517">
                          <w:marLeft w:val="0"/>
                          <w:marRight w:val="0"/>
                          <w:marTop w:val="0"/>
                          <w:marBottom w:val="0"/>
                          <w:divBdr>
                            <w:top w:val="none" w:sz="0" w:space="0" w:color="auto"/>
                            <w:left w:val="none" w:sz="0" w:space="0" w:color="auto"/>
                            <w:bottom w:val="none" w:sz="0" w:space="0" w:color="auto"/>
                            <w:right w:val="none" w:sz="0" w:space="0" w:color="auto"/>
                          </w:divBdr>
                          <w:divsChild>
                            <w:div w:id="2034266535">
                              <w:marLeft w:val="0"/>
                              <w:marRight w:val="0"/>
                              <w:marTop w:val="0"/>
                              <w:marBottom w:val="0"/>
                              <w:divBdr>
                                <w:top w:val="none" w:sz="0" w:space="0" w:color="auto"/>
                                <w:left w:val="none" w:sz="0" w:space="0" w:color="auto"/>
                                <w:bottom w:val="none" w:sz="0" w:space="0" w:color="auto"/>
                                <w:right w:val="none" w:sz="0" w:space="0" w:color="auto"/>
                              </w:divBdr>
                              <w:divsChild>
                                <w:div w:id="1464350580">
                                  <w:marLeft w:val="0"/>
                                  <w:marRight w:val="0"/>
                                  <w:marTop w:val="0"/>
                                  <w:marBottom w:val="0"/>
                                  <w:divBdr>
                                    <w:top w:val="none" w:sz="0" w:space="0" w:color="auto"/>
                                    <w:left w:val="none" w:sz="0" w:space="0" w:color="auto"/>
                                    <w:bottom w:val="none" w:sz="0" w:space="0" w:color="auto"/>
                                    <w:right w:val="none" w:sz="0" w:space="0" w:color="auto"/>
                                  </w:divBdr>
                                  <w:divsChild>
                                    <w:div w:id="1498307122">
                                      <w:marLeft w:val="0"/>
                                      <w:marRight w:val="0"/>
                                      <w:marTop w:val="0"/>
                                      <w:marBottom w:val="0"/>
                                      <w:divBdr>
                                        <w:top w:val="none" w:sz="0" w:space="0" w:color="auto"/>
                                        <w:left w:val="none" w:sz="0" w:space="0" w:color="auto"/>
                                        <w:bottom w:val="none" w:sz="0" w:space="0" w:color="auto"/>
                                        <w:right w:val="none" w:sz="0" w:space="0" w:color="auto"/>
                                      </w:divBdr>
                                      <w:divsChild>
                                        <w:div w:id="1174687455">
                                          <w:marLeft w:val="0"/>
                                          <w:marRight w:val="0"/>
                                          <w:marTop w:val="0"/>
                                          <w:marBottom w:val="0"/>
                                          <w:divBdr>
                                            <w:top w:val="none" w:sz="0" w:space="0" w:color="auto"/>
                                            <w:left w:val="none" w:sz="0" w:space="0" w:color="auto"/>
                                            <w:bottom w:val="none" w:sz="0" w:space="0" w:color="auto"/>
                                            <w:right w:val="none" w:sz="0" w:space="0" w:color="auto"/>
                                          </w:divBdr>
                                          <w:divsChild>
                                            <w:div w:id="2052608815">
                                              <w:marLeft w:val="0"/>
                                              <w:marRight w:val="0"/>
                                              <w:marTop w:val="0"/>
                                              <w:marBottom w:val="0"/>
                                              <w:divBdr>
                                                <w:top w:val="none" w:sz="0" w:space="0" w:color="auto"/>
                                                <w:left w:val="none" w:sz="0" w:space="0" w:color="auto"/>
                                                <w:bottom w:val="none" w:sz="0" w:space="0" w:color="auto"/>
                                                <w:right w:val="none" w:sz="0" w:space="0" w:color="auto"/>
                                              </w:divBdr>
                                              <w:divsChild>
                                                <w:div w:id="1611936868">
                                                  <w:marLeft w:val="0"/>
                                                  <w:marRight w:val="0"/>
                                                  <w:marTop w:val="0"/>
                                                  <w:marBottom w:val="0"/>
                                                  <w:divBdr>
                                                    <w:top w:val="none" w:sz="0" w:space="0" w:color="auto"/>
                                                    <w:left w:val="none" w:sz="0" w:space="0" w:color="auto"/>
                                                    <w:bottom w:val="none" w:sz="0" w:space="0" w:color="auto"/>
                                                    <w:right w:val="none" w:sz="0" w:space="0" w:color="auto"/>
                                                  </w:divBdr>
                                                  <w:divsChild>
                                                    <w:div w:id="1947686460">
                                                      <w:marLeft w:val="0"/>
                                                      <w:marRight w:val="0"/>
                                                      <w:marTop w:val="0"/>
                                                      <w:marBottom w:val="0"/>
                                                      <w:divBdr>
                                                        <w:top w:val="none" w:sz="0" w:space="0" w:color="auto"/>
                                                        <w:left w:val="none" w:sz="0" w:space="0" w:color="auto"/>
                                                        <w:bottom w:val="none" w:sz="0" w:space="0" w:color="auto"/>
                                                        <w:right w:val="none" w:sz="0" w:space="0" w:color="auto"/>
                                                      </w:divBdr>
                                                      <w:divsChild>
                                                        <w:div w:id="749158851">
                                                          <w:marLeft w:val="0"/>
                                                          <w:marRight w:val="0"/>
                                                          <w:marTop w:val="0"/>
                                                          <w:marBottom w:val="0"/>
                                                          <w:divBdr>
                                                            <w:top w:val="none" w:sz="0" w:space="0" w:color="auto"/>
                                                            <w:left w:val="none" w:sz="0" w:space="0" w:color="auto"/>
                                                            <w:bottom w:val="none" w:sz="0" w:space="0" w:color="auto"/>
                                                            <w:right w:val="none" w:sz="0" w:space="0" w:color="auto"/>
                                                          </w:divBdr>
                                                          <w:divsChild>
                                                            <w:div w:id="2078899333">
                                                              <w:marLeft w:val="0"/>
                                                              <w:marRight w:val="0"/>
                                                              <w:marTop w:val="0"/>
                                                              <w:marBottom w:val="0"/>
                                                              <w:divBdr>
                                                                <w:top w:val="none" w:sz="0" w:space="0" w:color="auto"/>
                                                                <w:left w:val="none" w:sz="0" w:space="0" w:color="auto"/>
                                                                <w:bottom w:val="none" w:sz="0" w:space="0" w:color="auto"/>
                                                                <w:right w:val="none" w:sz="0" w:space="0" w:color="auto"/>
                                                              </w:divBdr>
                                                              <w:divsChild>
                                                                <w:div w:id="1407144902">
                                                                  <w:marLeft w:val="0"/>
                                                                  <w:marRight w:val="0"/>
                                                                  <w:marTop w:val="0"/>
                                                                  <w:marBottom w:val="0"/>
                                                                  <w:divBdr>
                                                                    <w:top w:val="none" w:sz="0" w:space="0" w:color="auto"/>
                                                                    <w:left w:val="none" w:sz="0" w:space="0" w:color="auto"/>
                                                                    <w:bottom w:val="none" w:sz="0" w:space="0" w:color="auto"/>
                                                                    <w:right w:val="none" w:sz="0" w:space="0" w:color="auto"/>
                                                                  </w:divBdr>
                                                                  <w:divsChild>
                                                                    <w:div w:id="957183147">
                                                                      <w:marLeft w:val="0"/>
                                                                      <w:marRight w:val="0"/>
                                                                      <w:marTop w:val="0"/>
                                                                      <w:marBottom w:val="0"/>
                                                                      <w:divBdr>
                                                                        <w:top w:val="none" w:sz="0" w:space="0" w:color="auto"/>
                                                                        <w:left w:val="none" w:sz="0" w:space="0" w:color="auto"/>
                                                                        <w:bottom w:val="none" w:sz="0" w:space="0" w:color="auto"/>
                                                                        <w:right w:val="none" w:sz="0" w:space="0" w:color="auto"/>
                                                                      </w:divBdr>
                                                                      <w:divsChild>
                                                                        <w:div w:id="513421620">
                                                                          <w:marLeft w:val="0"/>
                                                                          <w:marRight w:val="0"/>
                                                                          <w:marTop w:val="0"/>
                                                                          <w:marBottom w:val="0"/>
                                                                          <w:divBdr>
                                                                            <w:top w:val="none" w:sz="0" w:space="0" w:color="auto"/>
                                                                            <w:left w:val="none" w:sz="0" w:space="0" w:color="auto"/>
                                                                            <w:bottom w:val="none" w:sz="0" w:space="0" w:color="auto"/>
                                                                            <w:right w:val="none" w:sz="0" w:space="0" w:color="auto"/>
                                                                          </w:divBdr>
                                                                          <w:divsChild>
                                                                            <w:div w:id="1137184810">
                                                                              <w:marLeft w:val="0"/>
                                                                              <w:marRight w:val="0"/>
                                                                              <w:marTop w:val="0"/>
                                                                              <w:marBottom w:val="0"/>
                                                                              <w:divBdr>
                                                                                <w:top w:val="none" w:sz="0" w:space="0" w:color="auto"/>
                                                                                <w:left w:val="none" w:sz="0" w:space="0" w:color="auto"/>
                                                                                <w:bottom w:val="none" w:sz="0" w:space="0" w:color="auto"/>
                                                                                <w:right w:val="none" w:sz="0" w:space="0" w:color="auto"/>
                                                                              </w:divBdr>
                                                                              <w:divsChild>
                                                                                <w:div w:id="1832788829">
                                                                                  <w:marLeft w:val="0"/>
                                                                                  <w:marRight w:val="0"/>
                                                                                  <w:marTop w:val="0"/>
                                                                                  <w:marBottom w:val="0"/>
                                                                                  <w:divBdr>
                                                                                    <w:top w:val="none" w:sz="0" w:space="0" w:color="auto"/>
                                                                                    <w:left w:val="none" w:sz="0" w:space="0" w:color="auto"/>
                                                                                    <w:bottom w:val="none" w:sz="0" w:space="0" w:color="auto"/>
                                                                                    <w:right w:val="none" w:sz="0" w:space="0" w:color="auto"/>
                                                                                  </w:divBdr>
                                                                                  <w:divsChild>
                                                                                    <w:div w:id="1982347841">
                                                                                      <w:marLeft w:val="0"/>
                                                                                      <w:marRight w:val="0"/>
                                                                                      <w:marTop w:val="0"/>
                                                                                      <w:marBottom w:val="0"/>
                                                                                      <w:divBdr>
                                                                                        <w:top w:val="none" w:sz="0" w:space="0" w:color="auto"/>
                                                                                        <w:left w:val="none" w:sz="0" w:space="0" w:color="auto"/>
                                                                                        <w:bottom w:val="none" w:sz="0" w:space="0" w:color="auto"/>
                                                                                        <w:right w:val="none" w:sz="0" w:space="0" w:color="auto"/>
                                                                                      </w:divBdr>
                                                                                      <w:divsChild>
                                                                                        <w:div w:id="1755276285">
                                                                                          <w:marLeft w:val="0"/>
                                                                                          <w:marRight w:val="0"/>
                                                                                          <w:marTop w:val="0"/>
                                                                                          <w:marBottom w:val="0"/>
                                                                                          <w:divBdr>
                                                                                            <w:top w:val="none" w:sz="0" w:space="0" w:color="auto"/>
                                                                                            <w:left w:val="none" w:sz="0" w:space="0" w:color="auto"/>
                                                                                            <w:bottom w:val="none" w:sz="0" w:space="0" w:color="auto"/>
                                                                                            <w:right w:val="none" w:sz="0" w:space="0" w:color="auto"/>
                                                                                          </w:divBdr>
                                                                                          <w:divsChild>
                                                                                            <w:div w:id="473763697">
                                                                                              <w:marLeft w:val="0"/>
                                                                                              <w:marRight w:val="0"/>
                                                                                              <w:marTop w:val="0"/>
                                                                                              <w:marBottom w:val="0"/>
                                                                                              <w:divBdr>
                                                                                                <w:top w:val="none" w:sz="0" w:space="0" w:color="auto"/>
                                                                                                <w:left w:val="none" w:sz="0" w:space="0" w:color="auto"/>
                                                                                                <w:bottom w:val="none" w:sz="0" w:space="0" w:color="auto"/>
                                                                                                <w:right w:val="none" w:sz="0" w:space="0" w:color="auto"/>
                                                                                              </w:divBdr>
                                                                                              <w:divsChild>
                                                                                                <w:div w:id="1818263451">
                                                                                                  <w:marLeft w:val="0"/>
                                                                                                  <w:marRight w:val="0"/>
                                                                                                  <w:marTop w:val="0"/>
                                                                                                  <w:marBottom w:val="0"/>
                                                                                                  <w:divBdr>
                                                                                                    <w:top w:val="none" w:sz="0" w:space="0" w:color="auto"/>
                                                                                                    <w:left w:val="none" w:sz="0" w:space="0" w:color="auto"/>
                                                                                                    <w:bottom w:val="none" w:sz="0" w:space="0" w:color="auto"/>
                                                                                                    <w:right w:val="none" w:sz="0" w:space="0" w:color="auto"/>
                                                                                                  </w:divBdr>
                                                                                                  <w:divsChild>
                                                                                                    <w:div w:id="366879072">
                                                                                                      <w:marLeft w:val="0"/>
                                                                                                      <w:marRight w:val="0"/>
                                                                                                      <w:marTop w:val="0"/>
                                                                                                      <w:marBottom w:val="0"/>
                                                                                                      <w:divBdr>
                                                                                                        <w:top w:val="none" w:sz="0" w:space="0" w:color="auto"/>
                                                                                                        <w:left w:val="none" w:sz="0" w:space="0" w:color="auto"/>
                                                                                                        <w:bottom w:val="none" w:sz="0" w:space="0" w:color="auto"/>
                                                                                                        <w:right w:val="none" w:sz="0" w:space="0" w:color="auto"/>
                                                                                                      </w:divBdr>
                                                                                                      <w:divsChild>
                                                                                                        <w:div w:id="385685008">
                                                                                                          <w:marLeft w:val="0"/>
                                                                                                          <w:marRight w:val="0"/>
                                                                                                          <w:marTop w:val="0"/>
                                                                                                          <w:marBottom w:val="0"/>
                                                                                                          <w:divBdr>
                                                                                                            <w:top w:val="none" w:sz="0" w:space="0" w:color="auto"/>
                                                                                                            <w:left w:val="none" w:sz="0" w:space="0" w:color="auto"/>
                                                                                                            <w:bottom w:val="none" w:sz="0" w:space="0" w:color="auto"/>
                                                                                                            <w:right w:val="none" w:sz="0" w:space="0" w:color="auto"/>
                                                                                                          </w:divBdr>
                                                                                                          <w:divsChild>
                                                                                                            <w:div w:id="954364620">
                                                                                                              <w:marLeft w:val="0"/>
                                                                                                              <w:marRight w:val="0"/>
                                                                                                              <w:marTop w:val="0"/>
                                                                                                              <w:marBottom w:val="0"/>
                                                                                                              <w:divBdr>
                                                                                                                <w:top w:val="none" w:sz="0" w:space="0" w:color="auto"/>
                                                                                                                <w:left w:val="none" w:sz="0" w:space="0" w:color="auto"/>
                                                                                                                <w:bottom w:val="none" w:sz="0" w:space="0" w:color="auto"/>
                                                                                                                <w:right w:val="none" w:sz="0" w:space="0" w:color="auto"/>
                                                                                                              </w:divBdr>
                                                                                                              <w:divsChild>
                                                                                                                <w:div w:id="245654556">
                                                                                                                  <w:marLeft w:val="0"/>
                                                                                                                  <w:marRight w:val="0"/>
                                                                                                                  <w:marTop w:val="0"/>
                                                                                                                  <w:marBottom w:val="0"/>
                                                                                                                  <w:divBdr>
                                                                                                                    <w:top w:val="none" w:sz="0" w:space="0" w:color="auto"/>
                                                                                                                    <w:left w:val="none" w:sz="0" w:space="0" w:color="auto"/>
                                                                                                                    <w:bottom w:val="none" w:sz="0" w:space="0" w:color="auto"/>
                                                                                                                    <w:right w:val="none" w:sz="0" w:space="0" w:color="auto"/>
                                                                                                                  </w:divBdr>
                                                                                                                  <w:divsChild>
                                                                                                                    <w:div w:id="1893032123">
                                                                                                                      <w:marLeft w:val="0"/>
                                                                                                                      <w:marRight w:val="0"/>
                                                                                                                      <w:marTop w:val="0"/>
                                                                                                                      <w:marBottom w:val="0"/>
                                                                                                                      <w:divBdr>
                                                                                                                        <w:top w:val="none" w:sz="0" w:space="0" w:color="auto"/>
                                                                                                                        <w:left w:val="none" w:sz="0" w:space="0" w:color="auto"/>
                                                                                                                        <w:bottom w:val="none" w:sz="0" w:space="0" w:color="auto"/>
                                                                                                                        <w:right w:val="none" w:sz="0" w:space="0" w:color="auto"/>
                                                                                                                      </w:divBdr>
                                                                                                                      <w:divsChild>
                                                                                                                        <w:div w:id="4339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362969">
                                                                                                          <w:marLeft w:val="0"/>
                                                                                                          <w:marRight w:val="0"/>
                                                                                                          <w:marTop w:val="0"/>
                                                                                                          <w:marBottom w:val="0"/>
                                                                                                          <w:divBdr>
                                                                                                            <w:top w:val="none" w:sz="0" w:space="0" w:color="auto"/>
                                                                                                            <w:left w:val="none" w:sz="0" w:space="0" w:color="auto"/>
                                                                                                            <w:bottom w:val="none" w:sz="0" w:space="0" w:color="auto"/>
                                                                                                            <w:right w:val="none" w:sz="0" w:space="0" w:color="auto"/>
                                                                                                          </w:divBdr>
                                                                                                          <w:divsChild>
                                                                                                            <w:div w:id="285236695">
                                                                                                              <w:marLeft w:val="0"/>
                                                                                                              <w:marRight w:val="0"/>
                                                                                                              <w:marTop w:val="0"/>
                                                                                                              <w:marBottom w:val="0"/>
                                                                                                              <w:divBdr>
                                                                                                                <w:top w:val="none" w:sz="0" w:space="0" w:color="auto"/>
                                                                                                                <w:left w:val="none" w:sz="0" w:space="0" w:color="auto"/>
                                                                                                                <w:bottom w:val="none" w:sz="0" w:space="0" w:color="auto"/>
                                                                                                                <w:right w:val="none" w:sz="0" w:space="0" w:color="auto"/>
                                                                                                              </w:divBdr>
                                                                                                              <w:divsChild>
                                                                                                                <w:div w:id="1207371160">
                                                                                                                  <w:marLeft w:val="0"/>
                                                                                                                  <w:marRight w:val="0"/>
                                                                                                                  <w:marTop w:val="0"/>
                                                                                                                  <w:marBottom w:val="0"/>
                                                                                                                  <w:divBdr>
                                                                                                                    <w:top w:val="none" w:sz="0" w:space="0" w:color="auto"/>
                                                                                                                    <w:left w:val="none" w:sz="0" w:space="0" w:color="auto"/>
                                                                                                                    <w:bottom w:val="none" w:sz="0" w:space="0" w:color="auto"/>
                                                                                                                    <w:right w:val="none" w:sz="0" w:space="0" w:color="auto"/>
                                                                                                                  </w:divBdr>
                                                                                                                  <w:divsChild>
                                                                                                                    <w:div w:id="1304045609">
                                                                                                                      <w:marLeft w:val="0"/>
                                                                                                                      <w:marRight w:val="0"/>
                                                                                                                      <w:marTop w:val="0"/>
                                                                                                                      <w:marBottom w:val="0"/>
                                                                                                                      <w:divBdr>
                                                                                                                        <w:top w:val="none" w:sz="0" w:space="0" w:color="auto"/>
                                                                                                                        <w:left w:val="none" w:sz="0" w:space="0" w:color="auto"/>
                                                                                                                        <w:bottom w:val="none" w:sz="0" w:space="0" w:color="auto"/>
                                                                                                                        <w:right w:val="none" w:sz="0" w:space="0" w:color="auto"/>
                                                                                                                      </w:divBdr>
                                                                                                                      <w:divsChild>
                                                                                                                        <w:div w:id="649596404">
                                                                                                                          <w:marLeft w:val="0"/>
                                                                                                                          <w:marRight w:val="0"/>
                                                                                                                          <w:marTop w:val="0"/>
                                                                                                                          <w:marBottom w:val="0"/>
                                                                                                                          <w:divBdr>
                                                                                                                            <w:top w:val="none" w:sz="0" w:space="0" w:color="auto"/>
                                                                                                                            <w:left w:val="none" w:sz="0" w:space="0" w:color="auto"/>
                                                                                                                            <w:bottom w:val="none" w:sz="0" w:space="0" w:color="auto"/>
                                                                                                                            <w:right w:val="none" w:sz="0" w:space="0" w:color="auto"/>
                                                                                                                          </w:divBdr>
                                                                                                                          <w:divsChild>
                                                                                                                            <w:div w:id="10873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7716334">
                                                                      <w:marLeft w:val="0"/>
                                                                      <w:marRight w:val="0"/>
                                                                      <w:marTop w:val="0"/>
                                                                      <w:marBottom w:val="0"/>
                                                                      <w:divBdr>
                                                                        <w:top w:val="none" w:sz="0" w:space="0" w:color="auto"/>
                                                                        <w:left w:val="none" w:sz="0" w:space="0" w:color="auto"/>
                                                                        <w:bottom w:val="none" w:sz="0" w:space="0" w:color="auto"/>
                                                                        <w:right w:val="none" w:sz="0" w:space="0" w:color="auto"/>
                                                                      </w:divBdr>
                                                                      <w:divsChild>
                                                                        <w:div w:id="407844494">
                                                                          <w:marLeft w:val="0"/>
                                                                          <w:marRight w:val="0"/>
                                                                          <w:marTop w:val="0"/>
                                                                          <w:marBottom w:val="0"/>
                                                                          <w:divBdr>
                                                                            <w:top w:val="none" w:sz="0" w:space="0" w:color="auto"/>
                                                                            <w:left w:val="none" w:sz="0" w:space="0" w:color="auto"/>
                                                                            <w:bottom w:val="none" w:sz="0" w:space="0" w:color="auto"/>
                                                                            <w:right w:val="none" w:sz="0" w:space="0" w:color="auto"/>
                                                                          </w:divBdr>
                                                                          <w:divsChild>
                                                                            <w:div w:id="934675887">
                                                                              <w:marLeft w:val="0"/>
                                                                              <w:marRight w:val="0"/>
                                                                              <w:marTop w:val="0"/>
                                                                              <w:marBottom w:val="0"/>
                                                                              <w:divBdr>
                                                                                <w:top w:val="none" w:sz="0" w:space="0" w:color="auto"/>
                                                                                <w:left w:val="none" w:sz="0" w:space="0" w:color="auto"/>
                                                                                <w:bottom w:val="none" w:sz="0" w:space="0" w:color="auto"/>
                                                                                <w:right w:val="none" w:sz="0" w:space="0" w:color="auto"/>
                                                                              </w:divBdr>
                                                                              <w:divsChild>
                                                                                <w:div w:id="1739861894">
                                                                                  <w:marLeft w:val="0"/>
                                                                                  <w:marRight w:val="0"/>
                                                                                  <w:marTop w:val="0"/>
                                                                                  <w:marBottom w:val="0"/>
                                                                                  <w:divBdr>
                                                                                    <w:top w:val="none" w:sz="0" w:space="0" w:color="auto"/>
                                                                                    <w:left w:val="none" w:sz="0" w:space="0" w:color="auto"/>
                                                                                    <w:bottom w:val="none" w:sz="0" w:space="0" w:color="auto"/>
                                                                                    <w:right w:val="none" w:sz="0" w:space="0" w:color="auto"/>
                                                                                  </w:divBdr>
                                                                                  <w:divsChild>
                                                                                    <w:div w:id="1727295652">
                                                                                      <w:marLeft w:val="0"/>
                                                                                      <w:marRight w:val="0"/>
                                                                                      <w:marTop w:val="0"/>
                                                                                      <w:marBottom w:val="0"/>
                                                                                      <w:divBdr>
                                                                                        <w:top w:val="none" w:sz="0" w:space="0" w:color="auto"/>
                                                                                        <w:left w:val="none" w:sz="0" w:space="0" w:color="auto"/>
                                                                                        <w:bottom w:val="none" w:sz="0" w:space="0" w:color="auto"/>
                                                                                        <w:right w:val="none" w:sz="0" w:space="0" w:color="auto"/>
                                                                                      </w:divBdr>
                                                                                      <w:divsChild>
                                                                                        <w:div w:id="379326895">
                                                                                          <w:marLeft w:val="0"/>
                                                                                          <w:marRight w:val="0"/>
                                                                                          <w:marTop w:val="0"/>
                                                                                          <w:marBottom w:val="0"/>
                                                                                          <w:divBdr>
                                                                                            <w:top w:val="none" w:sz="0" w:space="0" w:color="auto"/>
                                                                                            <w:left w:val="none" w:sz="0" w:space="0" w:color="auto"/>
                                                                                            <w:bottom w:val="none" w:sz="0" w:space="0" w:color="auto"/>
                                                                                            <w:right w:val="none" w:sz="0" w:space="0" w:color="auto"/>
                                                                                          </w:divBdr>
                                                                                          <w:divsChild>
                                                                                            <w:div w:id="1067462900">
                                                                                              <w:marLeft w:val="0"/>
                                                                                              <w:marRight w:val="0"/>
                                                                                              <w:marTop w:val="0"/>
                                                                                              <w:marBottom w:val="0"/>
                                                                                              <w:divBdr>
                                                                                                <w:top w:val="none" w:sz="0" w:space="0" w:color="auto"/>
                                                                                                <w:left w:val="none" w:sz="0" w:space="0" w:color="auto"/>
                                                                                                <w:bottom w:val="none" w:sz="0" w:space="0" w:color="auto"/>
                                                                                                <w:right w:val="none" w:sz="0" w:space="0" w:color="auto"/>
                                                                                              </w:divBdr>
                                                                                              <w:divsChild>
                                                                                                <w:div w:id="809634548">
                                                                                                  <w:marLeft w:val="0"/>
                                                                                                  <w:marRight w:val="0"/>
                                                                                                  <w:marTop w:val="0"/>
                                                                                                  <w:marBottom w:val="0"/>
                                                                                                  <w:divBdr>
                                                                                                    <w:top w:val="none" w:sz="0" w:space="0" w:color="auto"/>
                                                                                                    <w:left w:val="none" w:sz="0" w:space="0" w:color="auto"/>
                                                                                                    <w:bottom w:val="none" w:sz="0" w:space="0" w:color="auto"/>
                                                                                                    <w:right w:val="none" w:sz="0" w:space="0" w:color="auto"/>
                                                                                                  </w:divBdr>
                                                                                                  <w:divsChild>
                                                                                                    <w:div w:id="327293321">
                                                                                                      <w:marLeft w:val="0"/>
                                                                                                      <w:marRight w:val="0"/>
                                                                                                      <w:marTop w:val="0"/>
                                                                                                      <w:marBottom w:val="0"/>
                                                                                                      <w:divBdr>
                                                                                                        <w:top w:val="none" w:sz="0" w:space="0" w:color="auto"/>
                                                                                                        <w:left w:val="none" w:sz="0" w:space="0" w:color="auto"/>
                                                                                                        <w:bottom w:val="none" w:sz="0" w:space="0" w:color="auto"/>
                                                                                                        <w:right w:val="none" w:sz="0" w:space="0" w:color="auto"/>
                                                                                                      </w:divBdr>
                                                                                                      <w:divsChild>
                                                                                                        <w:div w:id="1411930479">
                                                                                                          <w:marLeft w:val="0"/>
                                                                                                          <w:marRight w:val="0"/>
                                                                                                          <w:marTop w:val="0"/>
                                                                                                          <w:marBottom w:val="0"/>
                                                                                                          <w:divBdr>
                                                                                                            <w:top w:val="none" w:sz="0" w:space="0" w:color="auto"/>
                                                                                                            <w:left w:val="none" w:sz="0" w:space="0" w:color="auto"/>
                                                                                                            <w:bottom w:val="none" w:sz="0" w:space="0" w:color="auto"/>
                                                                                                            <w:right w:val="none" w:sz="0" w:space="0" w:color="auto"/>
                                                                                                          </w:divBdr>
                                                                                                          <w:divsChild>
                                                                                                            <w:div w:id="186142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8587490">
                                                                      <w:marLeft w:val="0"/>
                                                                      <w:marRight w:val="0"/>
                                                                      <w:marTop w:val="0"/>
                                                                      <w:marBottom w:val="0"/>
                                                                      <w:divBdr>
                                                                        <w:top w:val="none" w:sz="0" w:space="0" w:color="auto"/>
                                                                        <w:left w:val="none" w:sz="0" w:space="0" w:color="auto"/>
                                                                        <w:bottom w:val="none" w:sz="0" w:space="0" w:color="auto"/>
                                                                        <w:right w:val="none" w:sz="0" w:space="0" w:color="auto"/>
                                                                      </w:divBdr>
                                                                      <w:divsChild>
                                                                        <w:div w:id="1090587249">
                                                                          <w:marLeft w:val="0"/>
                                                                          <w:marRight w:val="0"/>
                                                                          <w:marTop w:val="0"/>
                                                                          <w:marBottom w:val="0"/>
                                                                          <w:divBdr>
                                                                            <w:top w:val="none" w:sz="0" w:space="0" w:color="auto"/>
                                                                            <w:left w:val="none" w:sz="0" w:space="0" w:color="auto"/>
                                                                            <w:bottom w:val="none" w:sz="0" w:space="0" w:color="auto"/>
                                                                            <w:right w:val="none" w:sz="0" w:space="0" w:color="auto"/>
                                                                          </w:divBdr>
                                                                          <w:divsChild>
                                                                            <w:div w:id="2106412032">
                                                                              <w:marLeft w:val="0"/>
                                                                              <w:marRight w:val="0"/>
                                                                              <w:marTop w:val="0"/>
                                                                              <w:marBottom w:val="0"/>
                                                                              <w:divBdr>
                                                                                <w:top w:val="none" w:sz="0" w:space="0" w:color="auto"/>
                                                                                <w:left w:val="none" w:sz="0" w:space="0" w:color="auto"/>
                                                                                <w:bottom w:val="none" w:sz="0" w:space="0" w:color="auto"/>
                                                                                <w:right w:val="none" w:sz="0" w:space="0" w:color="auto"/>
                                                                              </w:divBdr>
                                                                              <w:divsChild>
                                                                                <w:div w:id="1016806137">
                                                                                  <w:marLeft w:val="0"/>
                                                                                  <w:marRight w:val="0"/>
                                                                                  <w:marTop w:val="0"/>
                                                                                  <w:marBottom w:val="0"/>
                                                                                  <w:divBdr>
                                                                                    <w:top w:val="none" w:sz="0" w:space="0" w:color="auto"/>
                                                                                    <w:left w:val="none" w:sz="0" w:space="0" w:color="auto"/>
                                                                                    <w:bottom w:val="none" w:sz="0" w:space="0" w:color="auto"/>
                                                                                    <w:right w:val="none" w:sz="0" w:space="0" w:color="auto"/>
                                                                                  </w:divBdr>
                                                                                  <w:divsChild>
                                                                                    <w:div w:id="1548570684">
                                                                                      <w:marLeft w:val="0"/>
                                                                                      <w:marRight w:val="0"/>
                                                                                      <w:marTop w:val="0"/>
                                                                                      <w:marBottom w:val="0"/>
                                                                                      <w:divBdr>
                                                                                        <w:top w:val="none" w:sz="0" w:space="0" w:color="auto"/>
                                                                                        <w:left w:val="none" w:sz="0" w:space="0" w:color="auto"/>
                                                                                        <w:bottom w:val="none" w:sz="0" w:space="0" w:color="auto"/>
                                                                                        <w:right w:val="none" w:sz="0" w:space="0" w:color="auto"/>
                                                                                      </w:divBdr>
                                                                                      <w:divsChild>
                                                                                        <w:div w:id="1434128404">
                                                                                          <w:marLeft w:val="0"/>
                                                                                          <w:marRight w:val="0"/>
                                                                                          <w:marTop w:val="0"/>
                                                                                          <w:marBottom w:val="0"/>
                                                                                          <w:divBdr>
                                                                                            <w:top w:val="none" w:sz="0" w:space="0" w:color="auto"/>
                                                                                            <w:left w:val="none" w:sz="0" w:space="0" w:color="auto"/>
                                                                                            <w:bottom w:val="none" w:sz="0" w:space="0" w:color="auto"/>
                                                                                            <w:right w:val="none" w:sz="0" w:space="0" w:color="auto"/>
                                                                                          </w:divBdr>
                                                                                          <w:divsChild>
                                                                                            <w:div w:id="739836253">
                                                                                              <w:marLeft w:val="0"/>
                                                                                              <w:marRight w:val="0"/>
                                                                                              <w:marTop w:val="0"/>
                                                                                              <w:marBottom w:val="0"/>
                                                                                              <w:divBdr>
                                                                                                <w:top w:val="none" w:sz="0" w:space="0" w:color="auto"/>
                                                                                                <w:left w:val="none" w:sz="0" w:space="0" w:color="auto"/>
                                                                                                <w:bottom w:val="none" w:sz="0" w:space="0" w:color="auto"/>
                                                                                                <w:right w:val="none" w:sz="0" w:space="0" w:color="auto"/>
                                                                                              </w:divBdr>
                                                                                              <w:divsChild>
                                                                                                <w:div w:id="1346637636">
                                                                                                  <w:marLeft w:val="0"/>
                                                                                                  <w:marRight w:val="0"/>
                                                                                                  <w:marTop w:val="0"/>
                                                                                                  <w:marBottom w:val="0"/>
                                                                                                  <w:divBdr>
                                                                                                    <w:top w:val="none" w:sz="0" w:space="0" w:color="auto"/>
                                                                                                    <w:left w:val="none" w:sz="0" w:space="0" w:color="auto"/>
                                                                                                    <w:bottom w:val="none" w:sz="0" w:space="0" w:color="auto"/>
                                                                                                    <w:right w:val="none" w:sz="0" w:space="0" w:color="auto"/>
                                                                                                  </w:divBdr>
                                                                                                  <w:divsChild>
                                                                                                    <w:div w:id="4585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797120">
                                                                      <w:marLeft w:val="0"/>
                                                                      <w:marRight w:val="0"/>
                                                                      <w:marTop w:val="0"/>
                                                                      <w:marBottom w:val="0"/>
                                                                      <w:divBdr>
                                                                        <w:top w:val="none" w:sz="0" w:space="0" w:color="auto"/>
                                                                        <w:left w:val="none" w:sz="0" w:space="0" w:color="auto"/>
                                                                        <w:bottom w:val="none" w:sz="0" w:space="0" w:color="auto"/>
                                                                        <w:right w:val="none" w:sz="0" w:space="0" w:color="auto"/>
                                                                      </w:divBdr>
                                                                      <w:divsChild>
                                                                        <w:div w:id="280264445">
                                                                          <w:marLeft w:val="0"/>
                                                                          <w:marRight w:val="0"/>
                                                                          <w:marTop w:val="0"/>
                                                                          <w:marBottom w:val="0"/>
                                                                          <w:divBdr>
                                                                            <w:top w:val="none" w:sz="0" w:space="0" w:color="auto"/>
                                                                            <w:left w:val="none" w:sz="0" w:space="0" w:color="auto"/>
                                                                            <w:bottom w:val="none" w:sz="0" w:space="0" w:color="auto"/>
                                                                            <w:right w:val="none" w:sz="0" w:space="0" w:color="auto"/>
                                                                          </w:divBdr>
                                                                          <w:divsChild>
                                                                            <w:div w:id="1676762612">
                                                                              <w:marLeft w:val="0"/>
                                                                              <w:marRight w:val="0"/>
                                                                              <w:marTop w:val="0"/>
                                                                              <w:marBottom w:val="0"/>
                                                                              <w:divBdr>
                                                                                <w:top w:val="none" w:sz="0" w:space="0" w:color="auto"/>
                                                                                <w:left w:val="none" w:sz="0" w:space="0" w:color="auto"/>
                                                                                <w:bottom w:val="none" w:sz="0" w:space="0" w:color="auto"/>
                                                                                <w:right w:val="none" w:sz="0" w:space="0" w:color="auto"/>
                                                                              </w:divBdr>
                                                                              <w:divsChild>
                                                                                <w:div w:id="29496801">
                                                                                  <w:marLeft w:val="0"/>
                                                                                  <w:marRight w:val="0"/>
                                                                                  <w:marTop w:val="0"/>
                                                                                  <w:marBottom w:val="0"/>
                                                                                  <w:divBdr>
                                                                                    <w:top w:val="none" w:sz="0" w:space="0" w:color="auto"/>
                                                                                    <w:left w:val="none" w:sz="0" w:space="0" w:color="auto"/>
                                                                                    <w:bottom w:val="none" w:sz="0" w:space="0" w:color="auto"/>
                                                                                    <w:right w:val="none" w:sz="0" w:space="0" w:color="auto"/>
                                                                                  </w:divBdr>
                                                                                  <w:divsChild>
                                                                                    <w:div w:id="1192690568">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1882932585">
                                                                                              <w:marLeft w:val="0"/>
                                                                                              <w:marRight w:val="0"/>
                                                                                              <w:marTop w:val="0"/>
                                                                                              <w:marBottom w:val="0"/>
                                                                                              <w:divBdr>
                                                                                                <w:top w:val="none" w:sz="0" w:space="0" w:color="auto"/>
                                                                                                <w:left w:val="none" w:sz="0" w:space="0" w:color="auto"/>
                                                                                                <w:bottom w:val="none" w:sz="0" w:space="0" w:color="auto"/>
                                                                                                <w:right w:val="none" w:sz="0" w:space="0" w:color="auto"/>
                                                                                              </w:divBdr>
                                                                                              <w:divsChild>
                                                                                                <w:div w:id="632753256">
                                                                                                  <w:marLeft w:val="0"/>
                                                                                                  <w:marRight w:val="0"/>
                                                                                                  <w:marTop w:val="0"/>
                                                                                                  <w:marBottom w:val="0"/>
                                                                                                  <w:divBdr>
                                                                                                    <w:top w:val="none" w:sz="0" w:space="0" w:color="auto"/>
                                                                                                    <w:left w:val="none" w:sz="0" w:space="0" w:color="auto"/>
                                                                                                    <w:bottom w:val="none" w:sz="0" w:space="0" w:color="auto"/>
                                                                                                    <w:right w:val="none" w:sz="0" w:space="0" w:color="auto"/>
                                                                                                  </w:divBdr>
                                                                                                  <w:divsChild>
                                                                                                    <w:div w:id="1222323598">
                                                                                                      <w:marLeft w:val="0"/>
                                                                                                      <w:marRight w:val="0"/>
                                                                                                      <w:marTop w:val="0"/>
                                                                                                      <w:marBottom w:val="0"/>
                                                                                                      <w:divBdr>
                                                                                                        <w:top w:val="none" w:sz="0" w:space="0" w:color="auto"/>
                                                                                                        <w:left w:val="none" w:sz="0" w:space="0" w:color="auto"/>
                                                                                                        <w:bottom w:val="none" w:sz="0" w:space="0" w:color="auto"/>
                                                                                                        <w:right w:val="none" w:sz="0" w:space="0" w:color="auto"/>
                                                                                                      </w:divBdr>
                                                                                                      <w:divsChild>
                                                                                                        <w:div w:id="113981709">
                                                                                                          <w:marLeft w:val="0"/>
                                                                                                          <w:marRight w:val="0"/>
                                                                                                          <w:marTop w:val="0"/>
                                                                                                          <w:marBottom w:val="0"/>
                                                                                                          <w:divBdr>
                                                                                                            <w:top w:val="none" w:sz="0" w:space="0" w:color="auto"/>
                                                                                                            <w:left w:val="none" w:sz="0" w:space="0" w:color="auto"/>
                                                                                                            <w:bottom w:val="none" w:sz="0" w:space="0" w:color="auto"/>
                                                                                                            <w:right w:val="none" w:sz="0" w:space="0" w:color="auto"/>
                                                                                                          </w:divBdr>
                                                                                                          <w:divsChild>
                                                                                                            <w:div w:id="11411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5323523">
                                                                      <w:marLeft w:val="0"/>
                                                                      <w:marRight w:val="0"/>
                                                                      <w:marTop w:val="0"/>
                                                                      <w:marBottom w:val="0"/>
                                                                      <w:divBdr>
                                                                        <w:top w:val="none" w:sz="0" w:space="0" w:color="auto"/>
                                                                        <w:left w:val="none" w:sz="0" w:space="0" w:color="auto"/>
                                                                        <w:bottom w:val="none" w:sz="0" w:space="0" w:color="auto"/>
                                                                        <w:right w:val="none" w:sz="0" w:space="0" w:color="auto"/>
                                                                      </w:divBdr>
                                                                      <w:divsChild>
                                                                        <w:div w:id="967399736">
                                                                          <w:marLeft w:val="0"/>
                                                                          <w:marRight w:val="0"/>
                                                                          <w:marTop w:val="0"/>
                                                                          <w:marBottom w:val="0"/>
                                                                          <w:divBdr>
                                                                            <w:top w:val="none" w:sz="0" w:space="0" w:color="auto"/>
                                                                            <w:left w:val="none" w:sz="0" w:space="0" w:color="auto"/>
                                                                            <w:bottom w:val="none" w:sz="0" w:space="0" w:color="auto"/>
                                                                            <w:right w:val="none" w:sz="0" w:space="0" w:color="auto"/>
                                                                          </w:divBdr>
                                                                          <w:divsChild>
                                                                            <w:div w:id="598831223">
                                                                              <w:marLeft w:val="0"/>
                                                                              <w:marRight w:val="0"/>
                                                                              <w:marTop w:val="0"/>
                                                                              <w:marBottom w:val="0"/>
                                                                              <w:divBdr>
                                                                                <w:top w:val="none" w:sz="0" w:space="0" w:color="auto"/>
                                                                                <w:left w:val="none" w:sz="0" w:space="0" w:color="auto"/>
                                                                                <w:bottom w:val="none" w:sz="0" w:space="0" w:color="auto"/>
                                                                                <w:right w:val="none" w:sz="0" w:space="0" w:color="auto"/>
                                                                              </w:divBdr>
                                                                              <w:divsChild>
                                                                                <w:div w:id="358121332">
                                                                                  <w:marLeft w:val="0"/>
                                                                                  <w:marRight w:val="0"/>
                                                                                  <w:marTop w:val="0"/>
                                                                                  <w:marBottom w:val="0"/>
                                                                                  <w:divBdr>
                                                                                    <w:top w:val="none" w:sz="0" w:space="0" w:color="auto"/>
                                                                                    <w:left w:val="none" w:sz="0" w:space="0" w:color="auto"/>
                                                                                    <w:bottom w:val="none" w:sz="0" w:space="0" w:color="auto"/>
                                                                                    <w:right w:val="none" w:sz="0" w:space="0" w:color="auto"/>
                                                                                  </w:divBdr>
                                                                                  <w:divsChild>
                                                                                    <w:div w:id="1066487090">
                                                                                      <w:marLeft w:val="0"/>
                                                                                      <w:marRight w:val="0"/>
                                                                                      <w:marTop w:val="0"/>
                                                                                      <w:marBottom w:val="0"/>
                                                                                      <w:divBdr>
                                                                                        <w:top w:val="none" w:sz="0" w:space="0" w:color="auto"/>
                                                                                        <w:left w:val="none" w:sz="0" w:space="0" w:color="auto"/>
                                                                                        <w:bottom w:val="none" w:sz="0" w:space="0" w:color="auto"/>
                                                                                        <w:right w:val="none" w:sz="0" w:space="0" w:color="auto"/>
                                                                                      </w:divBdr>
                                                                                      <w:divsChild>
                                                                                        <w:div w:id="482891063">
                                                                                          <w:marLeft w:val="0"/>
                                                                                          <w:marRight w:val="0"/>
                                                                                          <w:marTop w:val="0"/>
                                                                                          <w:marBottom w:val="0"/>
                                                                                          <w:divBdr>
                                                                                            <w:top w:val="none" w:sz="0" w:space="0" w:color="auto"/>
                                                                                            <w:left w:val="none" w:sz="0" w:space="0" w:color="auto"/>
                                                                                            <w:bottom w:val="none" w:sz="0" w:space="0" w:color="auto"/>
                                                                                            <w:right w:val="none" w:sz="0" w:space="0" w:color="auto"/>
                                                                                          </w:divBdr>
                                                                                          <w:divsChild>
                                                                                            <w:div w:id="1290090651">
                                                                                              <w:marLeft w:val="0"/>
                                                                                              <w:marRight w:val="0"/>
                                                                                              <w:marTop w:val="0"/>
                                                                                              <w:marBottom w:val="0"/>
                                                                                              <w:divBdr>
                                                                                                <w:top w:val="none" w:sz="0" w:space="0" w:color="auto"/>
                                                                                                <w:left w:val="none" w:sz="0" w:space="0" w:color="auto"/>
                                                                                                <w:bottom w:val="none" w:sz="0" w:space="0" w:color="auto"/>
                                                                                                <w:right w:val="none" w:sz="0" w:space="0" w:color="auto"/>
                                                                                              </w:divBdr>
                                                                                              <w:divsChild>
                                                                                                <w:div w:id="745346745">
                                                                                                  <w:marLeft w:val="0"/>
                                                                                                  <w:marRight w:val="0"/>
                                                                                                  <w:marTop w:val="0"/>
                                                                                                  <w:marBottom w:val="0"/>
                                                                                                  <w:divBdr>
                                                                                                    <w:top w:val="none" w:sz="0" w:space="0" w:color="auto"/>
                                                                                                    <w:left w:val="none" w:sz="0" w:space="0" w:color="auto"/>
                                                                                                    <w:bottom w:val="none" w:sz="0" w:space="0" w:color="auto"/>
                                                                                                    <w:right w:val="none" w:sz="0" w:space="0" w:color="auto"/>
                                                                                                  </w:divBdr>
                                                                                                  <w:divsChild>
                                                                                                    <w:div w:id="316343574">
                                                                                                      <w:marLeft w:val="0"/>
                                                                                                      <w:marRight w:val="0"/>
                                                                                                      <w:marTop w:val="0"/>
                                                                                                      <w:marBottom w:val="0"/>
                                                                                                      <w:divBdr>
                                                                                                        <w:top w:val="none" w:sz="0" w:space="0" w:color="auto"/>
                                                                                                        <w:left w:val="none" w:sz="0" w:space="0" w:color="auto"/>
                                                                                                        <w:bottom w:val="none" w:sz="0" w:space="0" w:color="auto"/>
                                                                                                        <w:right w:val="none" w:sz="0" w:space="0" w:color="auto"/>
                                                                                                      </w:divBdr>
                                                                                                      <w:divsChild>
                                                                                                        <w:div w:id="1950695384">
                                                                                                          <w:marLeft w:val="0"/>
                                                                                                          <w:marRight w:val="0"/>
                                                                                                          <w:marTop w:val="0"/>
                                                                                                          <w:marBottom w:val="0"/>
                                                                                                          <w:divBdr>
                                                                                                            <w:top w:val="none" w:sz="0" w:space="0" w:color="auto"/>
                                                                                                            <w:left w:val="none" w:sz="0" w:space="0" w:color="auto"/>
                                                                                                            <w:bottom w:val="none" w:sz="0" w:space="0" w:color="auto"/>
                                                                                                            <w:right w:val="none" w:sz="0" w:space="0" w:color="auto"/>
                                                                                                          </w:divBdr>
                                                                                                          <w:divsChild>
                                                                                                            <w:div w:id="930434160">
                                                                                                              <w:marLeft w:val="0"/>
                                                                                                              <w:marRight w:val="0"/>
                                                                                                              <w:marTop w:val="0"/>
                                                                                                              <w:marBottom w:val="0"/>
                                                                                                              <w:divBdr>
                                                                                                                <w:top w:val="none" w:sz="0" w:space="0" w:color="auto"/>
                                                                                                                <w:left w:val="none" w:sz="0" w:space="0" w:color="auto"/>
                                                                                                                <w:bottom w:val="none" w:sz="0" w:space="0" w:color="auto"/>
                                                                                                                <w:right w:val="none" w:sz="0" w:space="0" w:color="auto"/>
                                                                                                              </w:divBdr>
                                                                                                              <w:divsChild>
                                                                                                                <w:div w:id="904031765">
                                                                                                                  <w:marLeft w:val="0"/>
                                                                                                                  <w:marRight w:val="0"/>
                                                                                                                  <w:marTop w:val="0"/>
                                                                                                                  <w:marBottom w:val="0"/>
                                                                                                                  <w:divBdr>
                                                                                                                    <w:top w:val="none" w:sz="0" w:space="0" w:color="auto"/>
                                                                                                                    <w:left w:val="none" w:sz="0" w:space="0" w:color="auto"/>
                                                                                                                    <w:bottom w:val="none" w:sz="0" w:space="0" w:color="auto"/>
                                                                                                                    <w:right w:val="none" w:sz="0" w:space="0" w:color="auto"/>
                                                                                                                  </w:divBdr>
                                                                                                                  <w:divsChild>
                                                                                                                    <w:div w:id="1214007356">
                                                                                                                      <w:marLeft w:val="0"/>
                                                                                                                      <w:marRight w:val="0"/>
                                                                                                                      <w:marTop w:val="0"/>
                                                                                                                      <w:marBottom w:val="0"/>
                                                                                                                      <w:divBdr>
                                                                                                                        <w:top w:val="none" w:sz="0" w:space="0" w:color="auto"/>
                                                                                                                        <w:left w:val="none" w:sz="0" w:space="0" w:color="auto"/>
                                                                                                                        <w:bottom w:val="none" w:sz="0" w:space="0" w:color="auto"/>
                                                                                                                        <w:right w:val="none" w:sz="0" w:space="0" w:color="auto"/>
                                                                                                                      </w:divBdr>
                                                                                                                      <w:divsChild>
                                                                                                                        <w:div w:id="169642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43983">
                                                                                                          <w:marLeft w:val="0"/>
                                                                                                          <w:marRight w:val="0"/>
                                                                                                          <w:marTop w:val="0"/>
                                                                                                          <w:marBottom w:val="0"/>
                                                                                                          <w:divBdr>
                                                                                                            <w:top w:val="none" w:sz="0" w:space="0" w:color="auto"/>
                                                                                                            <w:left w:val="none" w:sz="0" w:space="0" w:color="auto"/>
                                                                                                            <w:bottom w:val="none" w:sz="0" w:space="0" w:color="auto"/>
                                                                                                            <w:right w:val="none" w:sz="0" w:space="0" w:color="auto"/>
                                                                                                          </w:divBdr>
                                                                                                          <w:divsChild>
                                                                                                            <w:div w:id="2130775644">
                                                                                                              <w:marLeft w:val="0"/>
                                                                                                              <w:marRight w:val="0"/>
                                                                                                              <w:marTop w:val="0"/>
                                                                                                              <w:marBottom w:val="0"/>
                                                                                                              <w:divBdr>
                                                                                                                <w:top w:val="none" w:sz="0" w:space="0" w:color="auto"/>
                                                                                                                <w:left w:val="none" w:sz="0" w:space="0" w:color="auto"/>
                                                                                                                <w:bottom w:val="none" w:sz="0" w:space="0" w:color="auto"/>
                                                                                                                <w:right w:val="none" w:sz="0" w:space="0" w:color="auto"/>
                                                                                                              </w:divBdr>
                                                                                                              <w:divsChild>
                                                                                                                <w:div w:id="249049101">
                                                                                                                  <w:marLeft w:val="0"/>
                                                                                                                  <w:marRight w:val="0"/>
                                                                                                                  <w:marTop w:val="0"/>
                                                                                                                  <w:marBottom w:val="0"/>
                                                                                                                  <w:divBdr>
                                                                                                                    <w:top w:val="none" w:sz="0" w:space="0" w:color="auto"/>
                                                                                                                    <w:left w:val="none" w:sz="0" w:space="0" w:color="auto"/>
                                                                                                                    <w:bottom w:val="none" w:sz="0" w:space="0" w:color="auto"/>
                                                                                                                    <w:right w:val="none" w:sz="0" w:space="0" w:color="auto"/>
                                                                                                                  </w:divBdr>
                                                                                                                  <w:divsChild>
                                                                                                                    <w:div w:id="1923563555">
                                                                                                                      <w:marLeft w:val="0"/>
                                                                                                                      <w:marRight w:val="0"/>
                                                                                                                      <w:marTop w:val="0"/>
                                                                                                                      <w:marBottom w:val="0"/>
                                                                                                                      <w:divBdr>
                                                                                                                        <w:top w:val="none" w:sz="0" w:space="0" w:color="auto"/>
                                                                                                                        <w:left w:val="none" w:sz="0" w:space="0" w:color="auto"/>
                                                                                                                        <w:bottom w:val="none" w:sz="0" w:space="0" w:color="auto"/>
                                                                                                                        <w:right w:val="none" w:sz="0" w:space="0" w:color="auto"/>
                                                                                                                      </w:divBdr>
                                                                                                                      <w:divsChild>
                                                                                                                        <w:div w:id="1611160285">
                                                                                                                          <w:marLeft w:val="0"/>
                                                                                                                          <w:marRight w:val="0"/>
                                                                                                                          <w:marTop w:val="0"/>
                                                                                                                          <w:marBottom w:val="0"/>
                                                                                                                          <w:divBdr>
                                                                                                                            <w:top w:val="none" w:sz="0" w:space="0" w:color="auto"/>
                                                                                                                            <w:left w:val="none" w:sz="0" w:space="0" w:color="auto"/>
                                                                                                                            <w:bottom w:val="none" w:sz="0" w:space="0" w:color="auto"/>
                                                                                                                            <w:right w:val="none" w:sz="0" w:space="0" w:color="auto"/>
                                                                                                                          </w:divBdr>
                                                                                                                          <w:divsChild>
                                                                                                                            <w:div w:id="17985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091035">
                                                                                                  <w:marLeft w:val="0"/>
                                                                                                  <w:marRight w:val="0"/>
                                                                                                  <w:marTop w:val="0"/>
                                                                                                  <w:marBottom w:val="0"/>
                                                                                                  <w:divBdr>
                                                                                                    <w:top w:val="none" w:sz="0" w:space="0" w:color="auto"/>
                                                                                                    <w:left w:val="none" w:sz="0" w:space="0" w:color="auto"/>
                                                                                                    <w:bottom w:val="none" w:sz="0" w:space="0" w:color="auto"/>
                                                                                                    <w:right w:val="none" w:sz="0" w:space="0" w:color="auto"/>
                                                                                                  </w:divBdr>
                                                                                                  <w:divsChild>
                                                                                                    <w:div w:id="1701473021">
                                                                                                      <w:marLeft w:val="0"/>
                                                                                                      <w:marRight w:val="0"/>
                                                                                                      <w:marTop w:val="0"/>
                                                                                                      <w:marBottom w:val="0"/>
                                                                                                      <w:divBdr>
                                                                                                        <w:top w:val="none" w:sz="0" w:space="0" w:color="auto"/>
                                                                                                        <w:left w:val="none" w:sz="0" w:space="0" w:color="auto"/>
                                                                                                        <w:bottom w:val="none" w:sz="0" w:space="0" w:color="auto"/>
                                                                                                        <w:right w:val="none" w:sz="0" w:space="0" w:color="auto"/>
                                                                                                      </w:divBdr>
                                                                                                      <w:divsChild>
                                                                                                        <w:div w:id="511575430">
                                                                                                          <w:marLeft w:val="0"/>
                                                                                                          <w:marRight w:val="0"/>
                                                                                                          <w:marTop w:val="0"/>
                                                                                                          <w:marBottom w:val="0"/>
                                                                                                          <w:divBdr>
                                                                                                            <w:top w:val="none" w:sz="0" w:space="0" w:color="auto"/>
                                                                                                            <w:left w:val="none" w:sz="0" w:space="0" w:color="auto"/>
                                                                                                            <w:bottom w:val="none" w:sz="0" w:space="0" w:color="auto"/>
                                                                                                            <w:right w:val="none" w:sz="0" w:space="0" w:color="auto"/>
                                                                                                          </w:divBdr>
                                                                                                          <w:divsChild>
                                                                                                            <w:div w:id="499270158">
                                                                                                              <w:marLeft w:val="0"/>
                                                                                                              <w:marRight w:val="0"/>
                                                                                                              <w:marTop w:val="0"/>
                                                                                                              <w:marBottom w:val="0"/>
                                                                                                              <w:divBdr>
                                                                                                                <w:top w:val="none" w:sz="0" w:space="0" w:color="auto"/>
                                                                                                                <w:left w:val="none" w:sz="0" w:space="0" w:color="auto"/>
                                                                                                                <w:bottom w:val="none" w:sz="0" w:space="0" w:color="auto"/>
                                                                                                                <w:right w:val="none" w:sz="0" w:space="0" w:color="auto"/>
                                                                                                              </w:divBdr>
                                                                                                              <w:divsChild>
                                                                                                                <w:div w:id="248464960">
                                                                                                                  <w:marLeft w:val="0"/>
                                                                                                                  <w:marRight w:val="0"/>
                                                                                                                  <w:marTop w:val="0"/>
                                                                                                                  <w:marBottom w:val="0"/>
                                                                                                                  <w:divBdr>
                                                                                                                    <w:top w:val="none" w:sz="0" w:space="0" w:color="auto"/>
                                                                                                                    <w:left w:val="none" w:sz="0" w:space="0" w:color="auto"/>
                                                                                                                    <w:bottom w:val="none" w:sz="0" w:space="0" w:color="auto"/>
                                                                                                                    <w:right w:val="none" w:sz="0" w:space="0" w:color="auto"/>
                                                                                                                  </w:divBdr>
                                                                                                                  <w:divsChild>
                                                                                                                    <w:div w:id="1517306925">
                                                                                                                      <w:marLeft w:val="0"/>
                                                                                                                      <w:marRight w:val="0"/>
                                                                                                                      <w:marTop w:val="0"/>
                                                                                                                      <w:marBottom w:val="0"/>
                                                                                                                      <w:divBdr>
                                                                                                                        <w:top w:val="none" w:sz="0" w:space="0" w:color="auto"/>
                                                                                                                        <w:left w:val="none" w:sz="0" w:space="0" w:color="auto"/>
                                                                                                                        <w:bottom w:val="none" w:sz="0" w:space="0" w:color="auto"/>
                                                                                                                        <w:right w:val="none" w:sz="0" w:space="0" w:color="auto"/>
                                                                                                                      </w:divBdr>
                                                                                                                      <w:divsChild>
                                                                                                                        <w:div w:id="199325203">
                                                                                                                          <w:marLeft w:val="0"/>
                                                                                                                          <w:marRight w:val="0"/>
                                                                                                                          <w:marTop w:val="0"/>
                                                                                                                          <w:marBottom w:val="0"/>
                                                                                                                          <w:divBdr>
                                                                                                                            <w:top w:val="none" w:sz="0" w:space="0" w:color="auto"/>
                                                                                                                            <w:left w:val="none" w:sz="0" w:space="0" w:color="auto"/>
                                                                                                                            <w:bottom w:val="none" w:sz="0" w:space="0" w:color="auto"/>
                                                                                                                            <w:right w:val="none" w:sz="0" w:space="0" w:color="auto"/>
                                                                                                                          </w:divBdr>
                                                                                                                          <w:divsChild>
                                                                                                                            <w:div w:id="1351030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9201707">
      <w:bodyDiv w:val="1"/>
      <w:marLeft w:val="0"/>
      <w:marRight w:val="0"/>
      <w:marTop w:val="0"/>
      <w:marBottom w:val="0"/>
      <w:divBdr>
        <w:top w:val="none" w:sz="0" w:space="0" w:color="auto"/>
        <w:left w:val="none" w:sz="0" w:space="0" w:color="auto"/>
        <w:bottom w:val="none" w:sz="0" w:space="0" w:color="auto"/>
        <w:right w:val="none" w:sz="0" w:space="0" w:color="auto"/>
      </w:divBdr>
    </w:div>
    <w:div w:id="541332099">
      <w:bodyDiv w:val="1"/>
      <w:marLeft w:val="0"/>
      <w:marRight w:val="0"/>
      <w:marTop w:val="0"/>
      <w:marBottom w:val="0"/>
      <w:divBdr>
        <w:top w:val="none" w:sz="0" w:space="0" w:color="auto"/>
        <w:left w:val="none" w:sz="0" w:space="0" w:color="auto"/>
        <w:bottom w:val="none" w:sz="0" w:space="0" w:color="auto"/>
        <w:right w:val="none" w:sz="0" w:space="0" w:color="auto"/>
      </w:divBdr>
    </w:div>
    <w:div w:id="872885545">
      <w:bodyDiv w:val="1"/>
      <w:marLeft w:val="0"/>
      <w:marRight w:val="0"/>
      <w:marTop w:val="0"/>
      <w:marBottom w:val="0"/>
      <w:divBdr>
        <w:top w:val="none" w:sz="0" w:space="0" w:color="auto"/>
        <w:left w:val="none" w:sz="0" w:space="0" w:color="auto"/>
        <w:bottom w:val="none" w:sz="0" w:space="0" w:color="auto"/>
        <w:right w:val="none" w:sz="0" w:space="0" w:color="auto"/>
      </w:divBdr>
    </w:div>
    <w:div w:id="939142893">
      <w:bodyDiv w:val="1"/>
      <w:marLeft w:val="0"/>
      <w:marRight w:val="0"/>
      <w:marTop w:val="0"/>
      <w:marBottom w:val="0"/>
      <w:divBdr>
        <w:top w:val="none" w:sz="0" w:space="0" w:color="auto"/>
        <w:left w:val="none" w:sz="0" w:space="0" w:color="auto"/>
        <w:bottom w:val="none" w:sz="0" w:space="0" w:color="auto"/>
        <w:right w:val="none" w:sz="0" w:space="0" w:color="auto"/>
      </w:divBdr>
    </w:div>
    <w:div w:id="1571571561">
      <w:bodyDiv w:val="1"/>
      <w:marLeft w:val="0"/>
      <w:marRight w:val="0"/>
      <w:marTop w:val="0"/>
      <w:marBottom w:val="0"/>
      <w:divBdr>
        <w:top w:val="none" w:sz="0" w:space="0" w:color="auto"/>
        <w:left w:val="none" w:sz="0" w:space="0" w:color="auto"/>
        <w:bottom w:val="none" w:sz="0" w:space="0" w:color="auto"/>
        <w:right w:val="none" w:sz="0" w:space="0" w:color="auto"/>
      </w:divBdr>
    </w:div>
    <w:div w:id="1776824185">
      <w:bodyDiv w:val="1"/>
      <w:marLeft w:val="0"/>
      <w:marRight w:val="0"/>
      <w:marTop w:val="0"/>
      <w:marBottom w:val="0"/>
      <w:divBdr>
        <w:top w:val="none" w:sz="0" w:space="0" w:color="auto"/>
        <w:left w:val="none" w:sz="0" w:space="0" w:color="auto"/>
        <w:bottom w:val="none" w:sz="0" w:space="0" w:color="auto"/>
        <w:right w:val="none" w:sz="0" w:space="0" w:color="auto"/>
      </w:divBdr>
      <w:divsChild>
        <w:div w:id="1175000122">
          <w:marLeft w:val="0"/>
          <w:marRight w:val="0"/>
          <w:marTop w:val="0"/>
          <w:marBottom w:val="0"/>
          <w:divBdr>
            <w:top w:val="none" w:sz="0" w:space="0" w:color="auto"/>
            <w:left w:val="none" w:sz="0" w:space="0" w:color="auto"/>
            <w:bottom w:val="none" w:sz="0" w:space="0" w:color="auto"/>
            <w:right w:val="none" w:sz="0" w:space="0" w:color="auto"/>
          </w:divBdr>
          <w:divsChild>
            <w:div w:id="1173842096">
              <w:marLeft w:val="0"/>
              <w:marRight w:val="0"/>
              <w:marTop w:val="0"/>
              <w:marBottom w:val="0"/>
              <w:divBdr>
                <w:top w:val="none" w:sz="0" w:space="0" w:color="auto"/>
                <w:left w:val="none" w:sz="0" w:space="0" w:color="auto"/>
                <w:bottom w:val="none" w:sz="0" w:space="0" w:color="auto"/>
                <w:right w:val="none" w:sz="0" w:space="0" w:color="auto"/>
              </w:divBdr>
              <w:divsChild>
                <w:div w:id="1108350369">
                  <w:marLeft w:val="0"/>
                  <w:marRight w:val="0"/>
                  <w:marTop w:val="0"/>
                  <w:marBottom w:val="0"/>
                  <w:divBdr>
                    <w:top w:val="none" w:sz="0" w:space="0" w:color="auto"/>
                    <w:left w:val="none" w:sz="0" w:space="0" w:color="auto"/>
                    <w:bottom w:val="none" w:sz="0" w:space="0" w:color="auto"/>
                    <w:right w:val="none" w:sz="0" w:space="0" w:color="auto"/>
                  </w:divBdr>
                  <w:divsChild>
                    <w:div w:id="1369986980">
                      <w:marLeft w:val="0"/>
                      <w:marRight w:val="0"/>
                      <w:marTop w:val="0"/>
                      <w:marBottom w:val="0"/>
                      <w:divBdr>
                        <w:top w:val="none" w:sz="0" w:space="0" w:color="auto"/>
                        <w:left w:val="none" w:sz="0" w:space="0" w:color="auto"/>
                        <w:bottom w:val="none" w:sz="0" w:space="0" w:color="auto"/>
                        <w:right w:val="none" w:sz="0" w:space="0" w:color="auto"/>
                      </w:divBdr>
                      <w:divsChild>
                        <w:div w:id="830750553">
                          <w:marLeft w:val="0"/>
                          <w:marRight w:val="0"/>
                          <w:marTop w:val="0"/>
                          <w:marBottom w:val="0"/>
                          <w:divBdr>
                            <w:top w:val="none" w:sz="0" w:space="0" w:color="auto"/>
                            <w:left w:val="none" w:sz="0" w:space="0" w:color="auto"/>
                            <w:bottom w:val="none" w:sz="0" w:space="0" w:color="auto"/>
                            <w:right w:val="none" w:sz="0" w:space="0" w:color="auto"/>
                          </w:divBdr>
                          <w:divsChild>
                            <w:div w:id="880551082">
                              <w:marLeft w:val="0"/>
                              <w:marRight w:val="0"/>
                              <w:marTop w:val="0"/>
                              <w:marBottom w:val="0"/>
                              <w:divBdr>
                                <w:top w:val="none" w:sz="0" w:space="0" w:color="auto"/>
                                <w:left w:val="none" w:sz="0" w:space="0" w:color="auto"/>
                                <w:bottom w:val="none" w:sz="0" w:space="0" w:color="auto"/>
                                <w:right w:val="none" w:sz="0" w:space="0" w:color="auto"/>
                              </w:divBdr>
                              <w:divsChild>
                                <w:div w:id="258295481">
                                  <w:marLeft w:val="0"/>
                                  <w:marRight w:val="0"/>
                                  <w:marTop w:val="0"/>
                                  <w:marBottom w:val="0"/>
                                  <w:divBdr>
                                    <w:top w:val="none" w:sz="0" w:space="0" w:color="auto"/>
                                    <w:left w:val="none" w:sz="0" w:space="0" w:color="auto"/>
                                    <w:bottom w:val="none" w:sz="0" w:space="0" w:color="auto"/>
                                    <w:right w:val="none" w:sz="0" w:space="0" w:color="auto"/>
                                  </w:divBdr>
                                  <w:divsChild>
                                    <w:div w:id="1144128753">
                                      <w:marLeft w:val="0"/>
                                      <w:marRight w:val="0"/>
                                      <w:marTop w:val="0"/>
                                      <w:marBottom w:val="0"/>
                                      <w:divBdr>
                                        <w:top w:val="none" w:sz="0" w:space="0" w:color="auto"/>
                                        <w:left w:val="none" w:sz="0" w:space="0" w:color="auto"/>
                                        <w:bottom w:val="none" w:sz="0" w:space="0" w:color="auto"/>
                                        <w:right w:val="none" w:sz="0" w:space="0" w:color="auto"/>
                                      </w:divBdr>
                                      <w:divsChild>
                                        <w:div w:id="44958335">
                                          <w:marLeft w:val="0"/>
                                          <w:marRight w:val="0"/>
                                          <w:marTop w:val="0"/>
                                          <w:marBottom w:val="0"/>
                                          <w:divBdr>
                                            <w:top w:val="none" w:sz="0" w:space="0" w:color="auto"/>
                                            <w:left w:val="none" w:sz="0" w:space="0" w:color="auto"/>
                                            <w:bottom w:val="none" w:sz="0" w:space="0" w:color="auto"/>
                                            <w:right w:val="none" w:sz="0" w:space="0" w:color="auto"/>
                                          </w:divBdr>
                                          <w:divsChild>
                                            <w:div w:id="1359114795">
                                              <w:marLeft w:val="0"/>
                                              <w:marRight w:val="0"/>
                                              <w:marTop w:val="0"/>
                                              <w:marBottom w:val="0"/>
                                              <w:divBdr>
                                                <w:top w:val="none" w:sz="0" w:space="0" w:color="auto"/>
                                                <w:left w:val="none" w:sz="0" w:space="0" w:color="auto"/>
                                                <w:bottom w:val="none" w:sz="0" w:space="0" w:color="auto"/>
                                                <w:right w:val="none" w:sz="0" w:space="0" w:color="auto"/>
                                              </w:divBdr>
                                              <w:divsChild>
                                                <w:div w:id="2110811639">
                                                  <w:marLeft w:val="0"/>
                                                  <w:marRight w:val="0"/>
                                                  <w:marTop w:val="0"/>
                                                  <w:marBottom w:val="0"/>
                                                  <w:divBdr>
                                                    <w:top w:val="none" w:sz="0" w:space="0" w:color="auto"/>
                                                    <w:left w:val="none" w:sz="0" w:space="0" w:color="auto"/>
                                                    <w:bottom w:val="none" w:sz="0" w:space="0" w:color="auto"/>
                                                    <w:right w:val="none" w:sz="0" w:space="0" w:color="auto"/>
                                                  </w:divBdr>
                                                  <w:divsChild>
                                                    <w:div w:id="762652961">
                                                      <w:marLeft w:val="0"/>
                                                      <w:marRight w:val="0"/>
                                                      <w:marTop w:val="0"/>
                                                      <w:marBottom w:val="0"/>
                                                      <w:divBdr>
                                                        <w:top w:val="none" w:sz="0" w:space="0" w:color="auto"/>
                                                        <w:left w:val="none" w:sz="0" w:space="0" w:color="auto"/>
                                                        <w:bottom w:val="none" w:sz="0" w:space="0" w:color="auto"/>
                                                        <w:right w:val="none" w:sz="0" w:space="0" w:color="auto"/>
                                                      </w:divBdr>
                                                      <w:divsChild>
                                                        <w:div w:id="6016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654385">
          <w:marLeft w:val="0"/>
          <w:marRight w:val="0"/>
          <w:marTop w:val="0"/>
          <w:marBottom w:val="0"/>
          <w:divBdr>
            <w:top w:val="none" w:sz="0" w:space="0" w:color="auto"/>
            <w:left w:val="none" w:sz="0" w:space="0" w:color="auto"/>
            <w:bottom w:val="none" w:sz="0" w:space="0" w:color="auto"/>
            <w:right w:val="none" w:sz="0" w:space="0" w:color="auto"/>
          </w:divBdr>
          <w:divsChild>
            <w:div w:id="883297856">
              <w:marLeft w:val="0"/>
              <w:marRight w:val="0"/>
              <w:marTop w:val="0"/>
              <w:marBottom w:val="0"/>
              <w:divBdr>
                <w:top w:val="none" w:sz="0" w:space="0" w:color="auto"/>
                <w:left w:val="none" w:sz="0" w:space="0" w:color="auto"/>
                <w:bottom w:val="none" w:sz="0" w:space="0" w:color="auto"/>
                <w:right w:val="none" w:sz="0" w:space="0" w:color="auto"/>
              </w:divBdr>
              <w:divsChild>
                <w:div w:id="1565023940">
                  <w:marLeft w:val="0"/>
                  <w:marRight w:val="0"/>
                  <w:marTop w:val="0"/>
                  <w:marBottom w:val="0"/>
                  <w:divBdr>
                    <w:top w:val="none" w:sz="0" w:space="0" w:color="auto"/>
                    <w:left w:val="none" w:sz="0" w:space="0" w:color="auto"/>
                    <w:bottom w:val="none" w:sz="0" w:space="0" w:color="auto"/>
                    <w:right w:val="none" w:sz="0" w:space="0" w:color="auto"/>
                  </w:divBdr>
                  <w:divsChild>
                    <w:div w:id="405225312">
                      <w:marLeft w:val="0"/>
                      <w:marRight w:val="0"/>
                      <w:marTop w:val="0"/>
                      <w:marBottom w:val="0"/>
                      <w:divBdr>
                        <w:top w:val="none" w:sz="0" w:space="0" w:color="auto"/>
                        <w:left w:val="none" w:sz="0" w:space="0" w:color="auto"/>
                        <w:bottom w:val="none" w:sz="0" w:space="0" w:color="auto"/>
                        <w:right w:val="none" w:sz="0" w:space="0" w:color="auto"/>
                      </w:divBdr>
                      <w:divsChild>
                        <w:div w:id="2063092465">
                          <w:marLeft w:val="0"/>
                          <w:marRight w:val="0"/>
                          <w:marTop w:val="0"/>
                          <w:marBottom w:val="0"/>
                          <w:divBdr>
                            <w:top w:val="none" w:sz="0" w:space="0" w:color="auto"/>
                            <w:left w:val="none" w:sz="0" w:space="0" w:color="auto"/>
                            <w:bottom w:val="none" w:sz="0" w:space="0" w:color="auto"/>
                            <w:right w:val="none" w:sz="0" w:space="0" w:color="auto"/>
                          </w:divBdr>
                          <w:divsChild>
                            <w:div w:id="1098017619">
                              <w:marLeft w:val="0"/>
                              <w:marRight w:val="0"/>
                              <w:marTop w:val="0"/>
                              <w:marBottom w:val="0"/>
                              <w:divBdr>
                                <w:top w:val="none" w:sz="0" w:space="0" w:color="auto"/>
                                <w:left w:val="none" w:sz="0" w:space="0" w:color="auto"/>
                                <w:bottom w:val="none" w:sz="0" w:space="0" w:color="auto"/>
                                <w:right w:val="none" w:sz="0" w:space="0" w:color="auto"/>
                              </w:divBdr>
                              <w:divsChild>
                                <w:div w:id="445345965">
                                  <w:marLeft w:val="0"/>
                                  <w:marRight w:val="0"/>
                                  <w:marTop w:val="0"/>
                                  <w:marBottom w:val="0"/>
                                  <w:divBdr>
                                    <w:top w:val="none" w:sz="0" w:space="0" w:color="auto"/>
                                    <w:left w:val="none" w:sz="0" w:space="0" w:color="auto"/>
                                    <w:bottom w:val="none" w:sz="0" w:space="0" w:color="auto"/>
                                    <w:right w:val="none" w:sz="0" w:space="0" w:color="auto"/>
                                  </w:divBdr>
                                  <w:divsChild>
                                    <w:div w:id="582834216">
                                      <w:marLeft w:val="0"/>
                                      <w:marRight w:val="0"/>
                                      <w:marTop w:val="0"/>
                                      <w:marBottom w:val="0"/>
                                      <w:divBdr>
                                        <w:top w:val="none" w:sz="0" w:space="0" w:color="auto"/>
                                        <w:left w:val="none" w:sz="0" w:space="0" w:color="auto"/>
                                        <w:bottom w:val="none" w:sz="0" w:space="0" w:color="auto"/>
                                        <w:right w:val="none" w:sz="0" w:space="0" w:color="auto"/>
                                      </w:divBdr>
                                      <w:divsChild>
                                        <w:div w:id="1562326878">
                                          <w:marLeft w:val="0"/>
                                          <w:marRight w:val="0"/>
                                          <w:marTop w:val="0"/>
                                          <w:marBottom w:val="0"/>
                                          <w:divBdr>
                                            <w:top w:val="none" w:sz="0" w:space="0" w:color="auto"/>
                                            <w:left w:val="none" w:sz="0" w:space="0" w:color="auto"/>
                                            <w:bottom w:val="none" w:sz="0" w:space="0" w:color="auto"/>
                                            <w:right w:val="none" w:sz="0" w:space="0" w:color="auto"/>
                                          </w:divBdr>
                                          <w:divsChild>
                                            <w:div w:id="1166752611">
                                              <w:marLeft w:val="0"/>
                                              <w:marRight w:val="0"/>
                                              <w:marTop w:val="0"/>
                                              <w:marBottom w:val="0"/>
                                              <w:divBdr>
                                                <w:top w:val="none" w:sz="0" w:space="0" w:color="auto"/>
                                                <w:left w:val="none" w:sz="0" w:space="0" w:color="auto"/>
                                                <w:bottom w:val="none" w:sz="0" w:space="0" w:color="auto"/>
                                                <w:right w:val="none" w:sz="0" w:space="0" w:color="auto"/>
                                              </w:divBdr>
                                              <w:divsChild>
                                                <w:div w:id="19939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abs/2308.09480"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2410.20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F2969-118D-46B6-BEF1-0F1E8298A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39</Pages>
  <Words>11053</Words>
  <Characters>63006</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News-Based Inflation Risk and Price Dynamics in Africa: Evidence from a Panel VAR</vt:lpstr>
    </vt:vector>
  </TitlesOfParts>
  <Company/>
  <LinksUpToDate>false</LinksUpToDate>
  <CharactersWithSpaces>73912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News-Based Inflation Risk and Price Dynamics in Africa: Evidence from a Panel VAR</dc:title>
  <dc:creator>CAPE Economic Research and Consulting</dc:creator>
  <cp:keywords/>
  <cp:lastModifiedBy>Oyedamola Taiwo</cp:lastModifiedBy>
  <cp:revision>12</cp:revision>
  <dcterms:created xsi:type="dcterms:W3CDTF">2026-09-17T17:44:00Z</dcterms:created>
  <dcterms:modified xsi:type="dcterms:W3CDTF">2026-09-19T15:45:00Z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to be supplied.]</vt:lpwstr>
  </property>
  <property fmtid="{D5CDD505-2E9C-101B-9397-08002B2CF9AE}" pid="3" name="bibliography">
    <vt:lpwstr>references.bib</vt:lpwstr>
  </property>
  <property fmtid="{D5CDD505-2E9C-101B-9397-08002B2CF9AE}" pid="4" name="date">
    <vt:lpwstr>May 2026</vt:lpwstr>
  </property>
</Properties>
</file>