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8CC200" w14:textId="3C7B9A7E" w:rsidR="00AE43C5" w:rsidRPr="007E5BA8" w:rsidRDefault="00B76D04" w:rsidP="0016538D">
      <w:pPr>
        <w:pStyle w:val="Title"/>
        <w:rPr>
          <w:b/>
          <w:bCs/>
          <w:sz w:val="32"/>
          <w:szCs w:val="32"/>
          <w:lang w:val="en-GB"/>
        </w:rPr>
      </w:pPr>
      <w:bookmarkStart w:id="0" w:name="_Hlk121436281"/>
      <w:r w:rsidRPr="007E5BA8">
        <w:rPr>
          <w:b/>
          <w:bCs/>
          <w:sz w:val="32"/>
          <w:szCs w:val="32"/>
          <w:lang w:val="en-GB"/>
        </w:rPr>
        <w:t xml:space="preserve">Cape </w:t>
      </w:r>
      <w:r w:rsidR="008101DE" w:rsidRPr="007E5BA8">
        <w:rPr>
          <w:b/>
          <w:bCs/>
          <w:sz w:val="32"/>
          <w:szCs w:val="32"/>
          <w:lang w:val="en-GB"/>
        </w:rPr>
        <w:t>Economic Performance and Prospect</w:t>
      </w:r>
      <w:r w:rsidRPr="007E5BA8">
        <w:rPr>
          <w:b/>
          <w:bCs/>
          <w:sz w:val="32"/>
          <w:szCs w:val="32"/>
          <w:lang w:val="en-GB"/>
        </w:rPr>
        <w:t xml:space="preserve"> </w:t>
      </w:r>
      <w:r w:rsidR="0031763F" w:rsidRPr="007E5BA8">
        <w:rPr>
          <w:b/>
          <w:bCs/>
          <w:sz w:val="32"/>
          <w:szCs w:val="32"/>
          <w:lang w:val="en-GB"/>
        </w:rPr>
        <w:t xml:space="preserve">Bulletin </w:t>
      </w:r>
      <w:r w:rsidR="007E630B" w:rsidRPr="007E5BA8">
        <w:rPr>
          <w:b/>
          <w:bCs/>
          <w:sz w:val="32"/>
          <w:szCs w:val="32"/>
          <w:lang w:val="en-GB"/>
        </w:rPr>
        <w:t>–</w:t>
      </w:r>
      <w:r w:rsidR="0031763F" w:rsidRPr="007E5BA8">
        <w:rPr>
          <w:b/>
          <w:bCs/>
          <w:sz w:val="32"/>
          <w:szCs w:val="32"/>
          <w:lang w:val="en-GB"/>
        </w:rPr>
        <w:t xml:space="preserve"> </w:t>
      </w:r>
      <w:r w:rsidR="00645695" w:rsidRPr="007E5BA8">
        <w:rPr>
          <w:b/>
          <w:bCs/>
          <w:sz w:val="32"/>
          <w:szCs w:val="32"/>
          <w:lang w:val="en-GB"/>
        </w:rPr>
        <w:t>April</w:t>
      </w:r>
      <w:r w:rsidR="006D3BC3" w:rsidRPr="007E5BA8">
        <w:rPr>
          <w:b/>
          <w:bCs/>
          <w:sz w:val="32"/>
          <w:szCs w:val="32"/>
          <w:lang w:val="en-GB"/>
        </w:rPr>
        <w:t xml:space="preserve"> </w:t>
      </w:r>
      <w:r w:rsidR="0031763F" w:rsidRPr="007E5BA8">
        <w:rPr>
          <w:b/>
          <w:bCs/>
          <w:sz w:val="32"/>
          <w:szCs w:val="32"/>
          <w:lang w:val="en-GB"/>
        </w:rPr>
        <w:t>202</w:t>
      </w:r>
      <w:r w:rsidR="000E5A2A" w:rsidRPr="007E5BA8">
        <w:rPr>
          <w:b/>
          <w:bCs/>
          <w:sz w:val="32"/>
          <w:szCs w:val="32"/>
          <w:lang w:val="en-GB"/>
        </w:rPr>
        <w:t>6</w:t>
      </w:r>
    </w:p>
    <w:p w14:paraId="1A01D438" w14:textId="2DD0543F" w:rsidR="00DE54B1" w:rsidRPr="003444E4" w:rsidRDefault="00DE54B1" w:rsidP="0016538D">
      <w:pPr>
        <w:spacing w:before="240"/>
        <w:jc w:val="both"/>
        <w:rPr>
          <w:b/>
          <w:bCs/>
          <w:lang w:val="en-GB"/>
        </w:rPr>
      </w:pPr>
      <w:r w:rsidRPr="003444E4">
        <w:rPr>
          <w:b/>
          <w:bCs/>
          <w:lang w:val="en-GB"/>
        </w:rPr>
        <w:t>Highlights</w:t>
      </w:r>
    </w:p>
    <w:p w14:paraId="05635A6C" w14:textId="4FA7B21A" w:rsidR="00772A7F" w:rsidRPr="003444E4" w:rsidRDefault="00772A7F" w:rsidP="0016538D">
      <w:pPr>
        <w:numPr>
          <w:ilvl w:val="0"/>
          <w:numId w:val="1"/>
        </w:numPr>
        <w:ind w:left="142"/>
        <w:contextualSpacing/>
        <w:jc w:val="both"/>
        <w:rPr>
          <w:i/>
          <w:iCs/>
          <w:sz w:val="18"/>
          <w:szCs w:val="18"/>
          <w:lang w:val="en-GB"/>
        </w:rPr>
      </w:pPr>
      <w:r w:rsidRPr="003444E4">
        <w:rPr>
          <w:i/>
          <w:iCs/>
          <w:sz w:val="18"/>
          <w:szCs w:val="18"/>
          <w:lang w:val="en-GB"/>
        </w:rPr>
        <w:t xml:space="preserve">Price pressures expected to </w:t>
      </w:r>
      <w:r w:rsidR="006918C4" w:rsidRPr="003444E4">
        <w:rPr>
          <w:i/>
          <w:iCs/>
          <w:sz w:val="18"/>
          <w:szCs w:val="18"/>
          <w:lang w:val="en-GB"/>
        </w:rPr>
        <w:t xml:space="preserve">sustain moderation in 2026 </w:t>
      </w:r>
      <w:r w:rsidR="00DB1453" w:rsidRPr="003444E4">
        <w:rPr>
          <w:i/>
          <w:iCs/>
          <w:sz w:val="18"/>
          <w:szCs w:val="18"/>
          <w:lang w:val="en-GB"/>
        </w:rPr>
        <w:t xml:space="preserve">although this is highly threatened by ongoing crisis in the middle east. </w:t>
      </w:r>
    </w:p>
    <w:p w14:paraId="4F908D24" w14:textId="14AE1DD2" w:rsidR="00772A7F" w:rsidRPr="003444E4" w:rsidRDefault="00772A7F" w:rsidP="0016538D">
      <w:pPr>
        <w:numPr>
          <w:ilvl w:val="0"/>
          <w:numId w:val="1"/>
        </w:numPr>
        <w:ind w:left="142"/>
        <w:contextualSpacing/>
        <w:jc w:val="both"/>
        <w:rPr>
          <w:i/>
          <w:iCs/>
          <w:sz w:val="18"/>
          <w:szCs w:val="18"/>
          <w:lang w:val="en-GB"/>
        </w:rPr>
      </w:pPr>
      <w:r w:rsidRPr="003444E4">
        <w:rPr>
          <w:i/>
          <w:iCs/>
          <w:sz w:val="18"/>
          <w:szCs w:val="18"/>
          <w:lang w:val="en-GB"/>
        </w:rPr>
        <w:t>Nigeria’s</w:t>
      </w:r>
      <w:r w:rsidR="005357D4" w:rsidRPr="003444E4">
        <w:rPr>
          <w:i/>
          <w:iCs/>
          <w:sz w:val="18"/>
          <w:szCs w:val="18"/>
          <w:lang w:val="en-GB"/>
        </w:rPr>
        <w:t xml:space="preserve"> </w:t>
      </w:r>
      <w:r w:rsidRPr="003444E4">
        <w:rPr>
          <w:i/>
          <w:iCs/>
          <w:sz w:val="18"/>
          <w:szCs w:val="18"/>
          <w:lang w:val="en-GB"/>
        </w:rPr>
        <w:t xml:space="preserve">output growth </w:t>
      </w:r>
      <w:r w:rsidR="005357D4" w:rsidRPr="003444E4">
        <w:rPr>
          <w:i/>
          <w:iCs/>
          <w:sz w:val="18"/>
          <w:szCs w:val="18"/>
          <w:lang w:val="en-GB"/>
        </w:rPr>
        <w:t xml:space="preserve">in 2026 is </w:t>
      </w:r>
      <w:r w:rsidRPr="003444E4">
        <w:rPr>
          <w:i/>
          <w:iCs/>
          <w:sz w:val="18"/>
          <w:szCs w:val="18"/>
          <w:lang w:val="en-GB"/>
        </w:rPr>
        <w:t>expected to</w:t>
      </w:r>
      <w:r w:rsidR="000C1347" w:rsidRPr="003444E4">
        <w:rPr>
          <w:i/>
          <w:iCs/>
          <w:sz w:val="18"/>
          <w:szCs w:val="18"/>
          <w:lang w:val="en-GB"/>
        </w:rPr>
        <w:t xml:space="preserve"> remain positive</w:t>
      </w:r>
      <w:r w:rsidR="00C505B4" w:rsidRPr="003444E4">
        <w:rPr>
          <w:i/>
          <w:iCs/>
          <w:sz w:val="18"/>
          <w:szCs w:val="18"/>
          <w:lang w:val="en-GB"/>
        </w:rPr>
        <w:t xml:space="preserve"> </w:t>
      </w:r>
      <w:r w:rsidR="0025657A" w:rsidRPr="003444E4">
        <w:rPr>
          <w:i/>
          <w:iCs/>
          <w:sz w:val="18"/>
          <w:szCs w:val="18"/>
          <w:lang w:val="en-GB"/>
        </w:rPr>
        <w:t>as economy stabilises</w:t>
      </w:r>
      <w:r w:rsidR="00FB7BB3" w:rsidRPr="003444E4">
        <w:rPr>
          <w:i/>
          <w:iCs/>
          <w:sz w:val="18"/>
          <w:szCs w:val="18"/>
          <w:lang w:val="en-GB"/>
        </w:rPr>
        <w:t xml:space="preserve"> and consolidates </w:t>
      </w:r>
      <w:r w:rsidR="0025657A" w:rsidRPr="003444E4">
        <w:rPr>
          <w:i/>
          <w:iCs/>
          <w:sz w:val="18"/>
          <w:szCs w:val="18"/>
          <w:lang w:val="en-GB"/>
        </w:rPr>
        <w:t>reforms</w:t>
      </w:r>
      <w:r w:rsidRPr="003444E4">
        <w:rPr>
          <w:i/>
          <w:iCs/>
          <w:sz w:val="18"/>
          <w:szCs w:val="18"/>
          <w:lang w:val="en-GB"/>
        </w:rPr>
        <w:t xml:space="preserve">. </w:t>
      </w:r>
    </w:p>
    <w:p w14:paraId="63DD1885" w14:textId="7FA8AE39" w:rsidR="006A0E79" w:rsidRPr="003444E4" w:rsidRDefault="006A0E79" w:rsidP="0016538D">
      <w:pPr>
        <w:jc w:val="both"/>
        <w:rPr>
          <w:lang w:val="en-GB"/>
        </w:rPr>
        <w:sectPr w:rsidR="006A0E79" w:rsidRPr="003444E4" w:rsidSect="00DE54B1">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849" w:bottom="1440" w:left="1440" w:header="708" w:footer="708" w:gutter="0"/>
          <w:cols w:space="708"/>
          <w:docGrid w:linePitch="360"/>
        </w:sectPr>
      </w:pPr>
    </w:p>
    <w:p w14:paraId="226BF8D0" w14:textId="399DA10B" w:rsidR="00DE54B1" w:rsidRPr="003444E4" w:rsidRDefault="00A73157" w:rsidP="0016538D">
      <w:pPr>
        <w:pStyle w:val="Heading1"/>
        <w:rPr>
          <w:color w:val="auto"/>
          <w:lang w:val="en-GB"/>
        </w:rPr>
        <w:sectPr w:rsidR="00DE54B1" w:rsidRPr="003444E4" w:rsidSect="00DE54B1">
          <w:type w:val="continuous"/>
          <w:pgSz w:w="11906" w:h="16838"/>
          <w:pgMar w:top="1440" w:right="849" w:bottom="1440" w:left="1440" w:header="708" w:footer="708" w:gutter="0"/>
          <w:cols w:space="708"/>
          <w:docGrid w:linePitch="360"/>
        </w:sectPr>
      </w:pPr>
      <w:r w:rsidRPr="003444E4">
        <w:rPr>
          <w:color w:val="auto"/>
          <w:lang w:val="en-GB"/>
        </w:rPr>
        <w:t xml:space="preserve">Global Economic Update   </w:t>
      </w:r>
    </w:p>
    <w:p w14:paraId="2005D9A5" w14:textId="77777777" w:rsidR="00112960" w:rsidRPr="003444E4" w:rsidRDefault="00112960" w:rsidP="00112960">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The global economy ended the first quarter of 2026 with moderate but increasingly fragile momentum. By the end of March, economic activity had broadly stabilised, although performance continued to diverge significantly across regions. The United States remained the primary growth anchor among Advanced Economies (AEs), supported by a resilient labour market, steady consumer spending, and continued investment in artificial intelligence and digital infrastructure that sustained corporate productivity gains. In contrast, the euro area struggled to regain strong momentum, constrained by elevated energy costs, weak industrial output, and structural rigidities that limited the pace of recovery, despite modest fiscal support measures.</w:t>
      </w:r>
    </w:p>
    <w:p w14:paraId="1B7B50BB" w14:textId="77777777" w:rsidR="00112960" w:rsidRPr="003444E4" w:rsidRDefault="00112960" w:rsidP="00112960">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Among Emerging Market and Developing Economies (EMDEs), growth continued to outpace that of advanced economies, underpinned by domestic demand resilience, gradual labour market improvements, and relatively stable financial inflows. India and several Southeast Asian economies maintained strong growth trajectories, driven by robust investment activity and steady private consumption. However, by March, these economies increasingly felt the effects of deepening trade fragmentation, as supply chains continued to realign along geopolitical and strategic considerations rather than purely cost efficiency.</w:t>
      </w:r>
    </w:p>
    <w:p w14:paraId="64D4DBD7" w14:textId="77777777" w:rsidR="00112960" w:rsidRPr="003444E4" w:rsidRDefault="00112960" w:rsidP="00112960">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China recorded gradual improvements in economic momentum, reflecting the lagged effects of late 2025 stimulus measures aimed at stabilising the property sector and boosting domestic demand. While real estate sector challenges persisted, investment activity stabilised and confidence indicators showed early signs of recovery, contributing to a cautiously improving outlook.</w:t>
      </w:r>
    </w:p>
    <w:p w14:paraId="5502B300" w14:textId="77777777" w:rsidR="00112960" w:rsidRPr="003444E4" w:rsidRDefault="00112960" w:rsidP="00112960">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Disinflation trends became more synchronised globally by the end of the first quarter, reflecting the continued unwinding of earlier price shocks. Across advanced economies, including the United States, the United Kingdom, and the euro area, disinflation plateaued, while in the Euro area inflation hinged back up as impact of disruptions to the supply chains and energy market become visible. Notwithstanding, both headline and core inflation are closer to medium term targets, albeit with intermittent volatility. Tail risks remained elevated due to geopolitical uncertainty, residual labour market tightness, and vulnerability to renewed energy price shocks.</w:t>
      </w:r>
    </w:p>
    <w:p w14:paraId="6399F66B" w14:textId="77777777" w:rsidR="00112960" w:rsidRPr="003444E4" w:rsidRDefault="00112960" w:rsidP="00112960">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A broadly less similar, and less uniform, pattern emerged across EMDEs. Several Sub Saharan African economies experienced continued moderation from the exceptionally high inflation levels recorded during the period of global supply disruptions and exchange rate pressures. Improved agricultural output in some regions, stabilising import costs, and sustained monetary tightening contributed to this easing. However, inflation remained elevated and in some cases in double digit territory, reflecting structural constraints such as supply bottlenecks and logistics challenges from the ongoing geopolitical tensions, (</w:t>
      </w:r>
      <w:proofErr w:type="spellStart"/>
      <w:r w:rsidRPr="003444E4">
        <w:rPr>
          <w:rFonts w:asciiTheme="minorHAnsi" w:hAnsiTheme="minorHAnsi"/>
          <w:sz w:val="22"/>
          <w:szCs w:val="22"/>
          <w:lang w:val="en-GB" w:eastAsia="en-US"/>
        </w:rPr>
        <w:t>i.e</w:t>
      </w:r>
      <w:proofErr w:type="spellEnd"/>
      <w:r w:rsidRPr="003444E4">
        <w:rPr>
          <w:rFonts w:asciiTheme="minorHAnsi" w:hAnsiTheme="minorHAnsi"/>
          <w:sz w:val="22"/>
          <w:szCs w:val="22"/>
          <w:lang w:val="en-GB" w:eastAsia="en-US"/>
        </w:rPr>
        <w:t xml:space="preserve"> Russia-Ukraine war and the closure of the strait of </w:t>
      </w:r>
      <w:proofErr w:type="spellStart"/>
      <w:r w:rsidRPr="003444E4">
        <w:rPr>
          <w:rFonts w:asciiTheme="minorHAnsi" w:hAnsiTheme="minorHAnsi"/>
          <w:sz w:val="22"/>
          <w:szCs w:val="22"/>
          <w:lang w:val="en-GB" w:eastAsia="en-US"/>
        </w:rPr>
        <w:t>Homuz</w:t>
      </w:r>
      <w:proofErr w:type="spellEnd"/>
      <w:r w:rsidRPr="003444E4">
        <w:rPr>
          <w:rFonts w:asciiTheme="minorHAnsi" w:hAnsiTheme="minorHAnsi"/>
          <w:sz w:val="22"/>
          <w:szCs w:val="22"/>
          <w:lang w:val="en-GB" w:eastAsia="en-US"/>
        </w:rPr>
        <w:t xml:space="preserve"> following the conflict between the U.S and Israel against Iran) foreign exchange fragilities, and dependence on imported food and energy inputs.</w:t>
      </w:r>
    </w:p>
    <w:p w14:paraId="6C0A6EAA" w14:textId="248F4489" w:rsidR="008618D2" w:rsidRPr="003444E4" w:rsidRDefault="00112960" w:rsidP="00112960">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Overall, while the global disinflation process continued, it remains highly vulnerable to renewed shocks. Apparent convergence in inflation outcomes masked underlying differences in economic resilience, fiscal space, and policy buffers, underscoring the fragility of the global disinflation path amid rising geopolitical risks</w:t>
      </w:r>
      <w:r w:rsidR="008618D2" w:rsidRPr="003444E4">
        <w:rPr>
          <w:rFonts w:asciiTheme="minorHAnsi" w:hAnsiTheme="minorHAnsi"/>
          <w:sz w:val="22"/>
          <w:szCs w:val="22"/>
          <w:lang w:val="en-GB" w:eastAsia="en-US"/>
        </w:rPr>
        <w:t>.</w:t>
      </w:r>
    </w:p>
    <w:p w14:paraId="1857ACA3" w14:textId="2687A8E9" w:rsidR="00C51E16" w:rsidRPr="003444E4" w:rsidRDefault="00C51E16" w:rsidP="0016538D">
      <w:pPr>
        <w:ind w:left="851" w:hanging="851"/>
        <w:jc w:val="both"/>
        <w:rPr>
          <w:rFonts w:ascii="Calibri" w:hAnsi="Calibri"/>
          <w:i/>
          <w:iCs/>
          <w:sz w:val="18"/>
          <w:szCs w:val="16"/>
          <w:lang w:val="en-GB"/>
        </w:rPr>
      </w:pPr>
      <w:r w:rsidRPr="003444E4">
        <w:rPr>
          <w:rFonts w:ascii="Calibri" w:hAnsi="Calibri"/>
          <w:i/>
          <w:iCs/>
          <w:sz w:val="18"/>
          <w:szCs w:val="16"/>
        </w:rPr>
        <w:lastRenderedPageBreak/>
        <w:t xml:space="preserve">Figure </w:t>
      </w:r>
      <w:r w:rsidRPr="003444E4">
        <w:rPr>
          <w:rFonts w:ascii="Calibri" w:hAnsi="Calibri"/>
          <w:i/>
          <w:iCs/>
          <w:sz w:val="18"/>
          <w:szCs w:val="16"/>
          <w:lang w:val="en-GB"/>
        </w:rPr>
        <w:t>1</w:t>
      </w:r>
      <w:r w:rsidRPr="003444E4">
        <w:rPr>
          <w:rFonts w:ascii="Calibri" w:hAnsi="Calibri"/>
          <w:i/>
          <w:iCs/>
          <w:sz w:val="18"/>
          <w:szCs w:val="16"/>
        </w:rPr>
        <w:t xml:space="preserve">: Year-on-Year </w:t>
      </w:r>
      <w:r w:rsidRPr="003444E4">
        <w:rPr>
          <w:rFonts w:ascii="Calibri" w:hAnsi="Calibri"/>
          <w:i/>
          <w:iCs/>
          <w:sz w:val="18"/>
          <w:szCs w:val="16"/>
          <w:lang w:val="en-GB"/>
        </w:rPr>
        <w:t>Inflation in Selected Economies (</w:t>
      </w:r>
      <w:r w:rsidR="00066DEE" w:rsidRPr="003444E4">
        <w:rPr>
          <w:rFonts w:ascii="Calibri" w:hAnsi="Calibri"/>
          <w:i/>
          <w:iCs/>
          <w:sz w:val="18"/>
          <w:szCs w:val="16"/>
          <w:lang w:val="en-GB"/>
        </w:rPr>
        <w:t>January</w:t>
      </w:r>
      <w:r w:rsidR="00A85C6B" w:rsidRPr="003444E4">
        <w:rPr>
          <w:rFonts w:ascii="Calibri" w:hAnsi="Calibri"/>
          <w:i/>
          <w:iCs/>
          <w:sz w:val="18"/>
          <w:szCs w:val="16"/>
          <w:lang w:val="en-GB"/>
        </w:rPr>
        <w:t xml:space="preserve"> </w:t>
      </w:r>
      <w:r w:rsidRPr="003444E4">
        <w:rPr>
          <w:rFonts w:ascii="Calibri" w:hAnsi="Calibri"/>
          <w:i/>
          <w:iCs/>
          <w:sz w:val="18"/>
          <w:szCs w:val="16"/>
          <w:lang w:val="en-GB"/>
        </w:rPr>
        <w:t xml:space="preserve">2025 – </w:t>
      </w:r>
      <w:r w:rsidR="00066DEE" w:rsidRPr="003444E4">
        <w:rPr>
          <w:rFonts w:ascii="Calibri" w:hAnsi="Calibri"/>
          <w:i/>
          <w:iCs/>
          <w:sz w:val="18"/>
          <w:szCs w:val="16"/>
          <w:lang w:val="en-GB"/>
        </w:rPr>
        <w:t>February</w:t>
      </w:r>
      <w:r w:rsidRPr="003444E4">
        <w:rPr>
          <w:rFonts w:ascii="Calibri" w:hAnsi="Calibri"/>
          <w:i/>
          <w:iCs/>
          <w:sz w:val="18"/>
          <w:szCs w:val="16"/>
          <w:lang w:val="en-GB"/>
        </w:rPr>
        <w:t xml:space="preserve"> </w:t>
      </w:r>
      <w:r w:rsidRPr="003444E4">
        <w:rPr>
          <w:rFonts w:ascii="Calibri" w:hAnsi="Calibri"/>
          <w:i/>
          <w:iCs/>
          <w:sz w:val="18"/>
          <w:szCs w:val="16"/>
        </w:rPr>
        <w:t>202</w:t>
      </w:r>
      <w:r w:rsidR="00B40CE6" w:rsidRPr="003444E4">
        <w:rPr>
          <w:rFonts w:ascii="Calibri" w:hAnsi="Calibri"/>
          <w:i/>
          <w:iCs/>
          <w:sz w:val="18"/>
          <w:szCs w:val="16"/>
          <w:lang w:val="en-GB"/>
        </w:rPr>
        <w:t>6</w:t>
      </w:r>
      <w:r w:rsidRPr="003444E4">
        <w:rPr>
          <w:rFonts w:ascii="Calibri" w:hAnsi="Calibri"/>
          <w:i/>
          <w:iCs/>
          <w:sz w:val="18"/>
          <w:szCs w:val="16"/>
        </w:rPr>
        <w:t xml:space="preserve">) in </w:t>
      </w:r>
      <w:r w:rsidRPr="003444E4">
        <w:rPr>
          <w:rFonts w:ascii="Calibri" w:hAnsi="Calibri"/>
          <w:i/>
          <w:iCs/>
          <w:sz w:val="18"/>
          <w:szCs w:val="16"/>
          <w:lang w:val="en-GB"/>
        </w:rPr>
        <w:t>percent</w:t>
      </w:r>
    </w:p>
    <w:p w14:paraId="5435BAAD" w14:textId="07B08BCA" w:rsidR="005B4906" w:rsidRPr="003444E4" w:rsidRDefault="00066DEE" w:rsidP="0016538D">
      <w:pPr>
        <w:ind w:left="851" w:hanging="851"/>
        <w:jc w:val="both"/>
        <w:rPr>
          <w:rFonts w:ascii="Calibri" w:hAnsi="Calibri"/>
          <w:i/>
          <w:iCs/>
          <w:sz w:val="18"/>
          <w:szCs w:val="16"/>
          <w:lang w:val="en-GB"/>
        </w:rPr>
      </w:pPr>
      <w:r w:rsidRPr="003444E4">
        <w:rPr>
          <w:noProof/>
        </w:rPr>
        <w:drawing>
          <wp:inline distT="0" distB="0" distL="0" distR="0" wp14:anchorId="1AEF7E88" wp14:editId="44B3EAE2">
            <wp:extent cx="2828290" cy="1696720"/>
            <wp:effectExtent l="0" t="0" r="10160" b="17780"/>
            <wp:docPr id="1" name="Chart 1">
              <a:extLst xmlns:a="http://schemas.openxmlformats.org/drawingml/2006/main">
                <a:ext uri="{FF2B5EF4-FFF2-40B4-BE49-F238E27FC236}">
                  <a16:creationId xmlns:a16="http://schemas.microsoft.com/office/drawing/2014/main" id="{F4437155-71A6-4FCD-8CF3-7056735D45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707AF06" w14:textId="77777777" w:rsidR="00C51E16" w:rsidRPr="003444E4" w:rsidRDefault="00C51E16" w:rsidP="0016538D">
      <w:pPr>
        <w:jc w:val="both"/>
        <w:rPr>
          <w:lang w:val="en-GB"/>
        </w:rPr>
      </w:pPr>
      <w:r w:rsidRPr="003444E4">
        <w:rPr>
          <w:rFonts w:ascii="Calibri" w:hAnsi="Calibri"/>
          <w:b/>
          <w:bCs/>
          <w:sz w:val="18"/>
          <w:szCs w:val="16"/>
        </w:rPr>
        <w:t>Source: Various National Statistics Offices</w:t>
      </w:r>
    </w:p>
    <w:p w14:paraId="2D0B7ACB" w14:textId="77777777"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Central banks in advanced economies are increasingly cautious now following the heightened risk of inflation reversals following shocks from the ongoing conflict in the middle east. The re-emergence of price stickiness in selected sectors, particularly, food, fertilizers, petrochemicals, energy, and energy adjacent industries, reinforced a preference for gradualism and strong data dependence. As a result, policymakers particularly in Advanced Economies are adopting a measured approach, signalling that any rate cuts would proceed slowly and remain conditional. In the emerging markets, concerns over volatile capital flows, currency depreciation risks, and limited policy buffers are compelling several EMDEs to adopt a slower and more risk averse approach. In economies with persistent external vulnerabilities or elevated sovereign borrowing costs, policymakers are exercising additional restraint to avoid reigniting inflation or triggering financial stability pressures.</w:t>
      </w:r>
    </w:p>
    <w:p w14:paraId="2C729A49" w14:textId="77777777"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 xml:space="preserve">In March 2026, the S&amp;P 500 declined by approximately 5.1 per cent, the Dow Jones Industrial Average fell by about 5.2 per cent snapping a 10-month winning streak. Market breadth remained exceptionally poor, with widespread losses across nearly all sectors except Energy. Mid- and small-capitalization equities also struggled significantly; the S&amp;P </w:t>
      </w:r>
      <w:proofErr w:type="spellStart"/>
      <w:r w:rsidRPr="003444E4">
        <w:rPr>
          <w:rFonts w:asciiTheme="minorHAnsi" w:hAnsiTheme="minorHAnsi"/>
          <w:sz w:val="22"/>
          <w:szCs w:val="22"/>
          <w:lang w:val="en-GB" w:eastAsia="en-US"/>
        </w:rPr>
        <w:t>MidCap</w:t>
      </w:r>
      <w:proofErr w:type="spellEnd"/>
      <w:r w:rsidRPr="003444E4">
        <w:rPr>
          <w:rFonts w:asciiTheme="minorHAnsi" w:hAnsiTheme="minorHAnsi"/>
          <w:sz w:val="22"/>
          <w:szCs w:val="22"/>
          <w:lang w:val="en-GB" w:eastAsia="en-US"/>
        </w:rPr>
        <w:t xml:space="preserve"> 400 posted a loss of roughly 6.3 per cent. This uniform downturn was driven by a global "risk-off" sentiment as escalating conflict in the Middle East caused oil prices to surge and Treasury yields to spike. Unlike the selective rotation seen in February, March was characterized by a broad </w:t>
      </w:r>
      <w:r w:rsidRPr="003444E4">
        <w:rPr>
          <w:rFonts w:asciiTheme="minorHAnsi" w:hAnsiTheme="minorHAnsi"/>
          <w:sz w:val="22"/>
          <w:szCs w:val="22"/>
          <w:lang w:val="en-GB" w:eastAsia="en-US"/>
        </w:rPr>
        <w:t>retreat from equities. While the tech-heavy Nasdaq fell 4.8 per cent, it entered correction territory, dropping more than 10% from its previous peak, as investors moved away from high-growth names sensitive to rising rates and stagflation risks.</w:t>
      </w:r>
    </w:p>
    <w:p w14:paraId="4395A282" w14:textId="77777777"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Geopolitical developments continued to weigh heavily on the global outlook. Persistent trade disputes and security concerns accelerated the reorganisation of supply chains, with firms prioritising resilience and geopolitical alignment over cost efficiency. In Europe, the conflict in Ukraine remained unresolved, injecting continued uncertainty into energy markets and cross border investment decisions.</w:t>
      </w:r>
    </w:p>
    <w:p w14:paraId="5E8833B6" w14:textId="77777777"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In the Middle East, conditions deteriorated further following the late February escalation involving coordinated U.S.–Israel military actions against Iran, with retaliatory developments by March raising concerns over regional stability. Heightened risks to maritime corridors, particularly around the Strait of Hormuz, increased risk premia across energy markets and global trade routes. This environment sustained elevated geopolitical uncertainty, weighed on investor confidence, and complicated macroeconomic decision making worldwide.</w:t>
      </w:r>
    </w:p>
    <w:p w14:paraId="2A34A8D5" w14:textId="77777777"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Crude oil prices remained elevated and volatile through March, supported by steady global demand, disciplined OPEC+ supply management, and a rising geopolitical risk premium. While structural forces—such as potential non-OPEC supply growth—continued to pose medium term downside risks, ongoing tensions in the Middle East kept energy markets vulnerable to sudden price spikes. These dynamics posed inflationary risks for energy importing economies and fiscal planning challenges for exporters.</w:t>
      </w:r>
    </w:p>
    <w:p w14:paraId="413DB371" w14:textId="2216EE21"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 xml:space="preserve">Gold prices weakened for most of March 2026 after peaking at around US$ 5,300 per ounce, although it remained elevated. It however remained above US$5000 per ounce for the first half of March before further moderating and oscillating between US$4300 – US$5000 per ounce. This trend underscored the increasing </w:t>
      </w:r>
      <w:r w:rsidRPr="003444E4">
        <w:rPr>
          <w:rFonts w:asciiTheme="minorHAnsi" w:hAnsiTheme="minorHAnsi"/>
          <w:sz w:val="22"/>
          <w:szCs w:val="22"/>
          <w:lang w:val="en-GB" w:eastAsia="en-US"/>
        </w:rPr>
        <w:lastRenderedPageBreak/>
        <w:t>transmission of geopolitical risk through financial markets, with implications for capital flows and exchange rate pressures across EMDEs.</w:t>
      </w:r>
    </w:p>
    <w:p w14:paraId="7719DB80" w14:textId="77777777"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 xml:space="preserve">Cryptocurrency markets remained volatile, with risk off sentiment persisting amid global uncertainty. Price corrections continued across major digital assets, reflecting portfolio rebalancing, reduced speculative activity, and cautious institutional participation. At the same time, </w:t>
      </w:r>
      <w:proofErr w:type="spellStart"/>
      <w:r w:rsidRPr="003444E4">
        <w:rPr>
          <w:rFonts w:asciiTheme="minorHAnsi" w:hAnsiTheme="minorHAnsi"/>
          <w:sz w:val="22"/>
          <w:szCs w:val="22"/>
          <w:lang w:val="en-GB" w:eastAsia="en-US"/>
        </w:rPr>
        <w:t>stablecoins</w:t>
      </w:r>
      <w:proofErr w:type="spellEnd"/>
      <w:r w:rsidRPr="003444E4">
        <w:rPr>
          <w:rFonts w:asciiTheme="minorHAnsi" w:hAnsiTheme="minorHAnsi"/>
          <w:sz w:val="22"/>
          <w:szCs w:val="22"/>
          <w:lang w:val="en-GB" w:eastAsia="en-US"/>
        </w:rPr>
        <w:t xml:space="preserve"> retained their functional role in settlement and liquidity, while global regulators advanced work on cross border oversight frameworks and market integrity safeguards.</w:t>
      </w:r>
    </w:p>
    <w:p w14:paraId="3606BB75" w14:textId="77777777"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The cryptocurrency market in March 2026 experienced a tentative stabilization following the heavy corrections of early Q1, though it remained sensitive to a high-interest-rate environment and geopolitical shocks. Bitcoin recovered from its February lows to consolidate between US$68,000 and US$71,000, while Ethereum found support near US$2,250, showing slight resilience after previously steeper percentage losses.</w:t>
      </w:r>
    </w:p>
    <w:p w14:paraId="3B523805" w14:textId="77777777"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Total cryptocurrency market capitalization stabilized near US$2.46 trillion, reflecting a measured return of institutional demand despite earlier "risk-off" positioning. While the market had erased significant value since January, March saw a pivot in fund flows; notably, spot Bitcoin ETFs recorded net inflows of US$1.32 billion, marking their first positive monthly performance of the year. Large-cap assets continued to lead, with Bitcoin dominance holding near 57 per cent, while mid-cap and speculative segments saw more focused, idiosyncratic gains as broader liquidity remained selective.</w:t>
      </w:r>
    </w:p>
    <w:p w14:paraId="5C3BDA5A" w14:textId="77777777" w:rsidR="00380B88"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Stablecoins reached a record total valuation of US$316 billion, reinforcing their role as the market's primary liquidity layer. Leading tokens USDT and USDC maintained their pegs flawlessly, with USDT capturing a 58.25 per cent market share and USDC facilitating over US$2.55 trillion in year-to-date transaction volume, supporting high turnover even during periods of price consolidation.</w:t>
      </w:r>
    </w:p>
    <w:p w14:paraId="41EE30AF" w14:textId="7F3493EB" w:rsidR="006572C3" w:rsidRPr="003444E4" w:rsidRDefault="00380B88" w:rsidP="00380B88">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 xml:space="preserve">Regulatory and institutional frameworks reached a major milestone in March 2026. The Securities and Exchange Commission (SEC) issued a landmark interpretive release on March 17, providing much-needed clarity on the classification of digital assets as securities. Simultaneously, global policymakers finalized key components of cross-border </w:t>
      </w:r>
      <w:proofErr w:type="spellStart"/>
      <w:r w:rsidRPr="003444E4">
        <w:rPr>
          <w:rFonts w:asciiTheme="minorHAnsi" w:hAnsiTheme="minorHAnsi"/>
          <w:sz w:val="22"/>
          <w:szCs w:val="22"/>
          <w:lang w:val="en-GB" w:eastAsia="en-US"/>
        </w:rPr>
        <w:t>stablecoin</w:t>
      </w:r>
      <w:proofErr w:type="spellEnd"/>
      <w:r w:rsidRPr="003444E4">
        <w:rPr>
          <w:rFonts w:asciiTheme="minorHAnsi" w:hAnsiTheme="minorHAnsi"/>
          <w:sz w:val="22"/>
          <w:szCs w:val="22"/>
          <w:lang w:val="en-GB" w:eastAsia="en-US"/>
        </w:rPr>
        <w:t xml:space="preserve"> frameworks, focusing on full reserve transparency. Overall, the month was characterized by a transition from pure turbulence toward a "cautious recovery," as institutional participants re-entered the market following the peak of geopolitical risk transmission and regulatory uncertainty</w:t>
      </w:r>
      <w:r w:rsidR="004008DD" w:rsidRPr="003444E4">
        <w:rPr>
          <w:rFonts w:asciiTheme="minorHAnsi" w:hAnsiTheme="minorHAnsi"/>
          <w:sz w:val="22"/>
          <w:szCs w:val="22"/>
          <w:lang w:val="en-GB" w:eastAsia="en-US"/>
        </w:rPr>
        <w:t>.</w:t>
      </w:r>
    </w:p>
    <w:p w14:paraId="31F78F40" w14:textId="77777777" w:rsidR="001F6FF4" w:rsidRPr="003444E4" w:rsidRDefault="001F6FF4" w:rsidP="0016538D">
      <w:pPr>
        <w:pStyle w:val="Heading1"/>
        <w:rPr>
          <w:color w:val="002060"/>
          <w:lang w:val="en-GB"/>
        </w:rPr>
      </w:pPr>
      <w:r w:rsidRPr="003444E4">
        <w:rPr>
          <w:color w:val="002060"/>
          <w:lang w:val="en-GB"/>
        </w:rPr>
        <w:t>Global Economic Outlook</w:t>
      </w:r>
    </w:p>
    <w:p w14:paraId="5FCA219D" w14:textId="77777777" w:rsidR="00785B62" w:rsidRPr="003444E4" w:rsidRDefault="00785B62" w:rsidP="00785B62">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Looking ahead, the global economy remains on a cautiously steady but increasingly risk laden trajectory. While the U.S tariff induced turbulence of early 2025 has eased, the escalation in the Middle East in first quarter of 2026 introduces fresh downside risks to global trade, energy prices, and financial markets. Any sustained disruption to critical shipping routes or energy infrastructure would materially amplify these risks.</w:t>
      </w:r>
    </w:p>
    <w:p w14:paraId="68785FBF" w14:textId="77777777" w:rsidR="00785B62" w:rsidRPr="003444E4" w:rsidRDefault="00785B62" w:rsidP="00785B62">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The U.S. economy is projected to maintain solid growth in 2026, supported by resilient domestic demand and investment. The euro area is expected to improve modestly, while China and India remain key drivers of EMDE growth. Monetary policy globally is likely to remain cautious but ultimately ease gradually, reflecting sustained sensitivity to inflation and geopolitical shocks.</w:t>
      </w:r>
    </w:p>
    <w:p w14:paraId="43E85646" w14:textId="6CFE08D0" w:rsidR="009E38B5" w:rsidRPr="003444E4" w:rsidRDefault="00785B62" w:rsidP="00785B62">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Global trade growth is expected to continue, albeit below historical averages, constrained by fragmentation, shipping and freight disruptions and geopolitical realignment. Commodity markets are likely to remain volatile, shaped by shifting demand expectations and persistent geopolitical risks. In this environment, effective policy coordination, restoration of fiscal buffers, and strengthened institutional credibility will remain essential to preserving stability and resilience across the global economy</w:t>
      </w:r>
      <w:r w:rsidR="00BB4D20" w:rsidRPr="003444E4">
        <w:rPr>
          <w:rFonts w:asciiTheme="minorHAnsi" w:hAnsiTheme="minorHAnsi"/>
          <w:sz w:val="22"/>
          <w:szCs w:val="22"/>
          <w:lang w:val="en-GB" w:eastAsia="en-US"/>
        </w:rPr>
        <w:t>.</w:t>
      </w:r>
    </w:p>
    <w:p w14:paraId="393AF768" w14:textId="77777777" w:rsidR="00B37149" w:rsidRPr="003444E4" w:rsidRDefault="00B37149" w:rsidP="00B762CD">
      <w:pPr>
        <w:spacing w:after="160" w:line="259" w:lineRule="auto"/>
        <w:jc w:val="both"/>
        <w:rPr>
          <w:rFonts w:asciiTheme="minorHAnsi" w:hAnsiTheme="minorHAnsi"/>
          <w:sz w:val="22"/>
          <w:szCs w:val="22"/>
          <w:lang w:val="en-GB" w:eastAsia="en-US"/>
        </w:rPr>
      </w:pPr>
    </w:p>
    <w:p w14:paraId="410D8A6F" w14:textId="77777777" w:rsidR="003444E4" w:rsidRPr="003444E4" w:rsidRDefault="003444E4" w:rsidP="003444E4">
      <w:pPr>
        <w:pStyle w:val="Heading1"/>
        <w:rPr>
          <w:rFonts w:ascii="Calibri" w:hAnsi="Calibri" w:cs="Calibri"/>
          <w:color w:val="2E74B5" w:themeColor="accent5" w:themeShade="BF"/>
          <w:lang w:val="en-GB"/>
        </w:rPr>
      </w:pPr>
      <w:r w:rsidRPr="003444E4">
        <w:rPr>
          <w:rFonts w:ascii="Calibri" w:hAnsi="Calibri" w:cs="Calibri"/>
          <w:color w:val="2E74B5" w:themeColor="accent5" w:themeShade="BF"/>
          <w:lang w:val="en-GB"/>
        </w:rPr>
        <w:t xml:space="preserve">Nigeria’s Output Growth </w:t>
      </w:r>
    </w:p>
    <w:p w14:paraId="3F849014" w14:textId="77777777" w:rsidR="003444E4" w:rsidRPr="003444E4" w:rsidRDefault="003444E4" w:rsidP="003444E4">
      <w:pPr>
        <w:jc w:val="both"/>
        <w:rPr>
          <w:rFonts w:ascii="Calibri" w:hAnsi="Calibri" w:cs="Calibri"/>
          <w:sz w:val="22"/>
          <w:szCs w:val="22"/>
          <w:lang w:val="en-GB"/>
        </w:rPr>
      </w:pPr>
      <w:r w:rsidRPr="003444E4">
        <w:rPr>
          <w:rFonts w:ascii="Calibri" w:hAnsi="Calibri" w:cs="Calibri"/>
          <w:sz w:val="22"/>
          <w:szCs w:val="22"/>
          <w:lang w:val="en-GB"/>
        </w:rPr>
        <w:t>Nigeria’s growth momentum in Q1 2026 continued to reflect underlying economic resilience, despite prevailing macroeconomic and cost pressures. After the temporary slowdown recorded in January, high-frequency indicators pointed to a rebound in private sector activity in February, followed by a moderation in March.</w:t>
      </w:r>
    </w:p>
    <w:p w14:paraId="5B981B3E" w14:textId="77777777" w:rsidR="003444E4" w:rsidRPr="003444E4" w:rsidRDefault="003444E4" w:rsidP="003444E4">
      <w:pPr>
        <w:jc w:val="both"/>
        <w:rPr>
          <w:rFonts w:ascii="Calibri" w:hAnsi="Calibri" w:cs="Calibri"/>
          <w:sz w:val="6"/>
          <w:szCs w:val="6"/>
          <w:lang w:val="en-GB"/>
        </w:rPr>
      </w:pPr>
    </w:p>
    <w:p w14:paraId="7559FA67" w14:textId="77777777" w:rsidR="003444E4" w:rsidRPr="003444E4" w:rsidRDefault="003444E4" w:rsidP="003444E4">
      <w:pPr>
        <w:jc w:val="both"/>
        <w:rPr>
          <w:rFonts w:ascii="Calibri" w:hAnsi="Calibri" w:cs="Calibri"/>
          <w:sz w:val="22"/>
          <w:szCs w:val="22"/>
          <w:lang w:val="en-GB"/>
        </w:rPr>
      </w:pPr>
      <w:r w:rsidRPr="003444E4">
        <w:rPr>
          <w:rFonts w:ascii="Calibri" w:hAnsi="Calibri" w:cs="Calibri"/>
          <w:sz w:val="22"/>
          <w:szCs w:val="22"/>
          <w:lang w:val="en-GB"/>
        </w:rPr>
        <w:t>The Stanbic IBTC Purchasing Managers’ Index (PMI) increased to 53.2 points in February 2026 from 49.7 points in January, indicating a return to expansion in business conditions, supported largely by stronger customer demand and a recovery in new orders and output. Similarly, the Central Bank of Nigeria’s Composite PMI indicated sustained improvement in aggregate economic activity, rising to 56.4 points in February 2026 from 55.7 points in January. The increase in the headline index reflected continued growth across key sectors of the economy, supported by improvements in production levels, new orders, employment, and inventory accumulation.</w:t>
      </w:r>
    </w:p>
    <w:p w14:paraId="17E83C4E" w14:textId="77777777" w:rsidR="003444E4" w:rsidRPr="003444E4" w:rsidRDefault="003444E4" w:rsidP="003444E4">
      <w:pPr>
        <w:jc w:val="both"/>
        <w:rPr>
          <w:rFonts w:ascii="Calibri" w:hAnsi="Calibri" w:cs="Calibri"/>
          <w:sz w:val="22"/>
          <w:szCs w:val="22"/>
          <w:lang w:val="en-GB"/>
        </w:rPr>
      </w:pPr>
    </w:p>
    <w:p w14:paraId="435E2B9E" w14:textId="77777777" w:rsidR="003444E4" w:rsidRPr="003444E4" w:rsidRDefault="003444E4" w:rsidP="003444E4">
      <w:pPr>
        <w:jc w:val="both"/>
        <w:rPr>
          <w:rFonts w:ascii="Calibri" w:hAnsi="Calibri" w:cs="Calibri"/>
          <w:sz w:val="22"/>
          <w:szCs w:val="22"/>
          <w:lang w:val="en-GB"/>
        </w:rPr>
      </w:pPr>
      <w:r w:rsidRPr="003444E4">
        <w:rPr>
          <w:rFonts w:ascii="Calibri" w:hAnsi="Calibri" w:cs="Calibri"/>
          <w:i/>
          <w:iCs/>
          <w:color w:val="2F5496"/>
          <w:sz w:val="18"/>
          <w:szCs w:val="16"/>
          <w:lang w:val="en-GB"/>
        </w:rPr>
        <w:t>F</w:t>
      </w:r>
      <w:proofErr w:type="spellStart"/>
      <w:r w:rsidRPr="003444E4">
        <w:rPr>
          <w:rFonts w:ascii="Calibri" w:hAnsi="Calibri" w:cs="Calibri"/>
          <w:i/>
          <w:iCs/>
          <w:color w:val="2F5496"/>
          <w:sz w:val="18"/>
          <w:szCs w:val="16"/>
        </w:rPr>
        <w:t>igure</w:t>
      </w:r>
      <w:proofErr w:type="spellEnd"/>
      <w:r w:rsidRPr="003444E4">
        <w:rPr>
          <w:rFonts w:ascii="Calibri" w:hAnsi="Calibri" w:cs="Calibri"/>
          <w:i/>
          <w:iCs/>
          <w:color w:val="2F5496"/>
          <w:sz w:val="18"/>
          <w:szCs w:val="16"/>
        </w:rPr>
        <w:t xml:space="preserve"> </w:t>
      </w:r>
      <w:r w:rsidRPr="003444E4">
        <w:rPr>
          <w:rFonts w:ascii="Calibri" w:hAnsi="Calibri" w:cs="Calibri"/>
          <w:i/>
          <w:iCs/>
          <w:color w:val="2F5496"/>
          <w:sz w:val="18"/>
          <w:szCs w:val="16"/>
          <w:lang w:val="en-GB"/>
        </w:rPr>
        <w:t>6a</w:t>
      </w:r>
      <w:r w:rsidRPr="003444E4">
        <w:rPr>
          <w:rFonts w:ascii="Calibri" w:hAnsi="Calibri" w:cs="Calibri"/>
          <w:i/>
          <w:iCs/>
          <w:color w:val="2F5496"/>
          <w:sz w:val="18"/>
          <w:szCs w:val="16"/>
        </w:rPr>
        <w:t>: Trend of Nigeria’s PMI (</w:t>
      </w:r>
      <w:r w:rsidRPr="003444E4">
        <w:rPr>
          <w:rFonts w:ascii="Calibri" w:hAnsi="Calibri" w:cs="Calibri"/>
          <w:i/>
          <w:iCs/>
          <w:color w:val="2F5496"/>
          <w:sz w:val="18"/>
          <w:szCs w:val="16"/>
          <w:lang w:val="en-GB"/>
        </w:rPr>
        <w:t>Mar. 2025</w:t>
      </w:r>
      <w:r w:rsidRPr="003444E4">
        <w:rPr>
          <w:rFonts w:ascii="Calibri" w:hAnsi="Calibri" w:cs="Calibri"/>
          <w:i/>
          <w:iCs/>
          <w:color w:val="2F5496"/>
          <w:sz w:val="18"/>
          <w:szCs w:val="16"/>
        </w:rPr>
        <w:t>–</w:t>
      </w:r>
      <w:r w:rsidRPr="003444E4">
        <w:rPr>
          <w:rFonts w:ascii="Calibri" w:hAnsi="Calibri" w:cs="Calibri"/>
          <w:i/>
          <w:iCs/>
          <w:color w:val="2F5496"/>
          <w:sz w:val="18"/>
          <w:szCs w:val="16"/>
          <w:lang w:val="en-GB"/>
        </w:rPr>
        <w:t>Mar</w:t>
      </w:r>
      <w:r w:rsidRPr="003444E4">
        <w:rPr>
          <w:rFonts w:ascii="Calibri" w:hAnsi="Calibri" w:cs="Calibri"/>
          <w:i/>
          <w:iCs/>
          <w:color w:val="2F5496"/>
          <w:sz w:val="18"/>
          <w:szCs w:val="16"/>
        </w:rPr>
        <w:t xml:space="preserve"> 202</w:t>
      </w:r>
      <w:r w:rsidRPr="003444E4">
        <w:rPr>
          <w:rFonts w:ascii="Calibri" w:hAnsi="Calibri" w:cs="Calibri"/>
          <w:i/>
          <w:iCs/>
          <w:color w:val="2F5496"/>
          <w:sz w:val="18"/>
          <w:szCs w:val="16"/>
          <w:lang w:val="en-GB"/>
        </w:rPr>
        <w:t>6</w:t>
      </w:r>
      <w:r w:rsidRPr="003444E4">
        <w:rPr>
          <w:rFonts w:ascii="Calibri" w:hAnsi="Calibri" w:cs="Calibri"/>
          <w:i/>
          <w:iCs/>
          <w:color w:val="2F5496"/>
          <w:sz w:val="18"/>
          <w:szCs w:val="16"/>
        </w:rPr>
        <w:t>)</w:t>
      </w:r>
    </w:p>
    <w:p w14:paraId="0EBC177B" w14:textId="77777777" w:rsidR="003444E4" w:rsidRPr="003444E4" w:rsidRDefault="003444E4" w:rsidP="003444E4">
      <w:pPr>
        <w:jc w:val="both"/>
        <w:rPr>
          <w:rFonts w:ascii="Calibri" w:hAnsi="Calibri" w:cs="Calibri"/>
          <w:lang w:val="en-GB"/>
        </w:rPr>
      </w:pPr>
      <w:r w:rsidRPr="003444E4">
        <w:rPr>
          <w:rFonts w:ascii="Calibri" w:hAnsi="Calibri" w:cs="Calibri"/>
          <w:noProof/>
          <w:lang w:val="en-GB"/>
        </w:rPr>
        <w:drawing>
          <wp:inline distT="0" distB="0" distL="0" distR="0" wp14:anchorId="7904A06D" wp14:editId="418B749A">
            <wp:extent cx="2819400" cy="1968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5119" cy="1986209"/>
                    </a:xfrm>
                    <a:prstGeom prst="rect">
                      <a:avLst/>
                    </a:prstGeom>
                    <a:noFill/>
                  </pic:spPr>
                </pic:pic>
              </a:graphicData>
            </a:graphic>
          </wp:inline>
        </w:drawing>
      </w:r>
    </w:p>
    <w:p w14:paraId="60DD7D4F" w14:textId="77777777" w:rsidR="003444E4" w:rsidRPr="003444E4" w:rsidRDefault="003444E4" w:rsidP="003444E4">
      <w:pPr>
        <w:jc w:val="both"/>
        <w:rPr>
          <w:rFonts w:ascii="Calibri" w:hAnsi="Calibri" w:cs="Calibri"/>
          <w:color w:val="2F5496"/>
          <w:sz w:val="18"/>
          <w:szCs w:val="16"/>
        </w:rPr>
      </w:pPr>
      <w:r w:rsidRPr="003444E4">
        <w:rPr>
          <w:rFonts w:ascii="Calibri" w:hAnsi="Calibri" w:cs="Calibri"/>
          <w:color w:val="2F5496"/>
          <w:sz w:val="18"/>
          <w:szCs w:val="16"/>
        </w:rPr>
        <w:t>Source: Stanbic-IBC</w:t>
      </w:r>
    </w:p>
    <w:p w14:paraId="2C1D1F4F" w14:textId="77777777" w:rsidR="003444E4" w:rsidRPr="003444E4" w:rsidRDefault="003444E4" w:rsidP="003444E4">
      <w:pPr>
        <w:jc w:val="both"/>
        <w:rPr>
          <w:rFonts w:ascii="Calibri" w:hAnsi="Calibri" w:cs="Calibri"/>
          <w:sz w:val="22"/>
          <w:szCs w:val="22"/>
          <w:lang w:val="en-GB"/>
        </w:rPr>
      </w:pPr>
    </w:p>
    <w:p w14:paraId="7446EAD8" w14:textId="77777777" w:rsidR="003444E4" w:rsidRPr="003444E4" w:rsidRDefault="003444E4" w:rsidP="003444E4">
      <w:pPr>
        <w:jc w:val="both"/>
        <w:rPr>
          <w:rFonts w:ascii="Calibri" w:hAnsi="Calibri" w:cs="Calibri"/>
          <w:sz w:val="22"/>
          <w:szCs w:val="22"/>
          <w:lang w:val="en-GB"/>
        </w:rPr>
      </w:pPr>
      <w:r w:rsidRPr="003444E4">
        <w:rPr>
          <w:rFonts w:ascii="Calibri" w:hAnsi="Calibri" w:cs="Calibri"/>
          <w:sz w:val="22"/>
          <w:szCs w:val="22"/>
          <w:lang w:val="en-GB"/>
        </w:rPr>
        <w:t xml:space="preserve">However, in March 2026, there were signs of a moderation in the pace of expansion, although economic activity remained in growth territory. The Stanbic IBTC PMI declined to 51.9 points in March from 53.2 points in February, reflecting a slower expansion in private sector activity, largely driven by rising fuel costs which intensified input price pressures and constrained output </w:t>
      </w:r>
      <w:proofErr w:type="gramStart"/>
      <w:r w:rsidRPr="003444E4">
        <w:rPr>
          <w:rFonts w:ascii="Calibri" w:hAnsi="Calibri" w:cs="Calibri"/>
          <w:sz w:val="22"/>
          <w:szCs w:val="22"/>
          <w:lang w:val="en-GB"/>
        </w:rPr>
        <w:t>growth .</w:t>
      </w:r>
      <w:proofErr w:type="gramEnd"/>
      <w:r w:rsidRPr="003444E4">
        <w:rPr>
          <w:rFonts w:ascii="Calibri" w:hAnsi="Calibri" w:cs="Calibri"/>
          <w:sz w:val="22"/>
          <w:szCs w:val="22"/>
          <w:lang w:val="en-GB"/>
        </w:rPr>
        <w:t xml:space="preserve"> Despite this moderation, underlying demand conditions remained resilient, as evidenced by a </w:t>
      </w:r>
      <w:r w:rsidRPr="003444E4">
        <w:rPr>
          <w:rFonts w:ascii="Calibri" w:hAnsi="Calibri" w:cs="Calibri"/>
          <w:sz w:val="22"/>
          <w:szCs w:val="22"/>
          <w:lang w:val="en-GB"/>
        </w:rPr>
        <w:t>sustained increase in new orders and continued expansion in employment and purchasing activity.</w:t>
      </w:r>
    </w:p>
    <w:p w14:paraId="7164AB0E" w14:textId="77777777" w:rsidR="003444E4" w:rsidRPr="003444E4" w:rsidRDefault="003444E4" w:rsidP="003444E4">
      <w:pPr>
        <w:jc w:val="both"/>
        <w:rPr>
          <w:rFonts w:ascii="Calibri" w:hAnsi="Calibri" w:cs="Calibri"/>
          <w:sz w:val="22"/>
          <w:szCs w:val="22"/>
          <w:lang w:val="en-GB"/>
        </w:rPr>
      </w:pPr>
      <w:r w:rsidRPr="003444E4">
        <w:rPr>
          <w:rFonts w:ascii="Calibri" w:hAnsi="Calibri" w:cs="Calibri"/>
          <w:sz w:val="22"/>
          <w:szCs w:val="22"/>
          <w:lang w:val="en-GB"/>
        </w:rPr>
        <w:t>In the same vein, the CBN Composite PMI eased to 53.2 points in March 2026, from 56.4 points in February, indicating that while overall business conditions remained expansionary, the pace of growth slowed relative to the previous month.</w:t>
      </w:r>
    </w:p>
    <w:p w14:paraId="3E033584" w14:textId="77777777" w:rsidR="003444E4" w:rsidRPr="003444E4" w:rsidRDefault="003444E4" w:rsidP="003444E4">
      <w:pPr>
        <w:jc w:val="both"/>
        <w:rPr>
          <w:rFonts w:ascii="Calibri" w:hAnsi="Calibri" w:cs="Calibri"/>
          <w:sz w:val="22"/>
          <w:szCs w:val="22"/>
          <w:lang w:val="en-GB"/>
        </w:rPr>
      </w:pPr>
    </w:p>
    <w:p w14:paraId="1C28E57E" w14:textId="77777777" w:rsidR="003444E4" w:rsidRPr="003444E4" w:rsidRDefault="003444E4" w:rsidP="003444E4">
      <w:pPr>
        <w:jc w:val="both"/>
        <w:rPr>
          <w:rFonts w:ascii="Calibri" w:hAnsi="Calibri" w:cs="Calibri"/>
          <w:sz w:val="22"/>
          <w:szCs w:val="22"/>
        </w:rPr>
      </w:pPr>
      <w:r w:rsidRPr="003444E4">
        <w:rPr>
          <w:rFonts w:ascii="Calibri" w:hAnsi="Calibri" w:cs="Calibri"/>
          <w:i/>
          <w:iCs/>
          <w:color w:val="2F5496"/>
          <w:sz w:val="20"/>
          <w:szCs w:val="18"/>
        </w:rPr>
        <w:t xml:space="preserve">Figure </w:t>
      </w:r>
      <w:r w:rsidRPr="003444E4">
        <w:rPr>
          <w:rFonts w:ascii="Calibri" w:hAnsi="Calibri" w:cs="Calibri"/>
          <w:i/>
          <w:iCs/>
          <w:color w:val="2F5496"/>
          <w:sz w:val="20"/>
          <w:szCs w:val="18"/>
          <w:lang w:val="en-GB"/>
        </w:rPr>
        <w:t>6b</w:t>
      </w:r>
      <w:r w:rsidRPr="003444E4">
        <w:rPr>
          <w:rFonts w:ascii="Calibri" w:hAnsi="Calibri" w:cs="Calibri"/>
          <w:i/>
          <w:iCs/>
          <w:color w:val="2F5496"/>
          <w:sz w:val="20"/>
          <w:szCs w:val="18"/>
        </w:rPr>
        <w:t>: Trend of Nigeria’s PMI (</w:t>
      </w:r>
      <w:r w:rsidRPr="003444E4">
        <w:rPr>
          <w:rFonts w:ascii="Calibri" w:hAnsi="Calibri" w:cs="Calibri"/>
          <w:i/>
          <w:iCs/>
          <w:color w:val="2F5496"/>
          <w:sz w:val="20"/>
          <w:szCs w:val="18"/>
          <w:lang w:val="en-GB"/>
        </w:rPr>
        <w:t>Feb. 2025</w:t>
      </w:r>
      <w:r w:rsidRPr="003444E4">
        <w:rPr>
          <w:rFonts w:ascii="Calibri" w:hAnsi="Calibri" w:cs="Calibri"/>
          <w:i/>
          <w:iCs/>
          <w:color w:val="2F5496"/>
          <w:sz w:val="20"/>
          <w:szCs w:val="18"/>
        </w:rPr>
        <w:t>–</w:t>
      </w:r>
      <w:r w:rsidRPr="003444E4">
        <w:rPr>
          <w:rFonts w:ascii="Calibri" w:hAnsi="Calibri" w:cs="Calibri"/>
          <w:i/>
          <w:iCs/>
          <w:color w:val="2F5496"/>
          <w:sz w:val="20"/>
          <w:szCs w:val="18"/>
          <w:lang w:val="en-GB"/>
        </w:rPr>
        <w:t>Feb.</w:t>
      </w:r>
      <w:r w:rsidRPr="003444E4">
        <w:rPr>
          <w:rFonts w:ascii="Calibri" w:hAnsi="Calibri" w:cs="Calibri"/>
          <w:i/>
          <w:iCs/>
          <w:color w:val="2F5496"/>
          <w:sz w:val="20"/>
          <w:szCs w:val="18"/>
        </w:rPr>
        <w:t xml:space="preserve"> 202</w:t>
      </w:r>
      <w:r w:rsidRPr="003444E4">
        <w:rPr>
          <w:rFonts w:ascii="Calibri" w:hAnsi="Calibri" w:cs="Calibri"/>
          <w:i/>
          <w:iCs/>
          <w:color w:val="2F5496"/>
          <w:sz w:val="20"/>
          <w:szCs w:val="18"/>
          <w:lang w:val="en-GB"/>
        </w:rPr>
        <w:t>6)</w:t>
      </w:r>
    </w:p>
    <w:p w14:paraId="67F8D2C3" w14:textId="77777777" w:rsidR="003444E4" w:rsidRPr="003444E4" w:rsidRDefault="003444E4" w:rsidP="003444E4">
      <w:pPr>
        <w:jc w:val="both"/>
        <w:rPr>
          <w:rFonts w:ascii="Calibri" w:hAnsi="Calibri" w:cs="Calibri"/>
          <w:lang w:val="en-GB"/>
        </w:rPr>
      </w:pPr>
      <w:r w:rsidRPr="003444E4">
        <w:rPr>
          <w:rFonts w:ascii="Calibri" w:hAnsi="Calibri" w:cs="Calibri"/>
          <w:noProof/>
          <w:lang w:val="en-GB"/>
        </w:rPr>
        <w:drawing>
          <wp:anchor distT="0" distB="0" distL="114300" distR="114300" simplePos="0" relativeHeight="251661312" behindDoc="0" locked="0" layoutInCell="1" allowOverlap="1" wp14:anchorId="1E050D4B" wp14:editId="42DBA573">
            <wp:simplePos x="0" y="0"/>
            <wp:positionH relativeFrom="column">
              <wp:align>right</wp:align>
            </wp:positionH>
            <wp:positionV relativeFrom="paragraph">
              <wp:posOffset>48895</wp:posOffset>
            </wp:positionV>
            <wp:extent cx="2768600" cy="158727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8600" cy="1587274"/>
                    </a:xfrm>
                    <a:prstGeom prst="rect">
                      <a:avLst/>
                    </a:prstGeom>
                    <a:noFill/>
                  </pic:spPr>
                </pic:pic>
              </a:graphicData>
            </a:graphic>
            <wp14:sizeRelH relativeFrom="margin">
              <wp14:pctWidth>0</wp14:pctWidth>
            </wp14:sizeRelH>
            <wp14:sizeRelV relativeFrom="margin">
              <wp14:pctHeight>0</wp14:pctHeight>
            </wp14:sizeRelV>
          </wp:anchor>
        </w:drawing>
      </w:r>
    </w:p>
    <w:p w14:paraId="4FBA6153" w14:textId="77777777" w:rsidR="003444E4" w:rsidRPr="003444E4" w:rsidRDefault="003444E4" w:rsidP="003444E4">
      <w:pPr>
        <w:jc w:val="both"/>
        <w:rPr>
          <w:rFonts w:ascii="Calibri" w:hAnsi="Calibri" w:cs="Calibri"/>
          <w:lang w:val="en-GB"/>
        </w:rPr>
      </w:pPr>
    </w:p>
    <w:p w14:paraId="3C3488DD" w14:textId="77777777" w:rsidR="003444E4" w:rsidRPr="003444E4" w:rsidRDefault="003444E4" w:rsidP="003444E4">
      <w:pPr>
        <w:jc w:val="both"/>
        <w:rPr>
          <w:rFonts w:ascii="Calibri" w:hAnsi="Calibri" w:cs="Calibri"/>
          <w:lang w:val="en-GB"/>
        </w:rPr>
      </w:pPr>
    </w:p>
    <w:p w14:paraId="46736CB6" w14:textId="77777777" w:rsidR="003444E4" w:rsidRPr="003444E4" w:rsidRDefault="003444E4" w:rsidP="003444E4">
      <w:pPr>
        <w:jc w:val="both"/>
        <w:rPr>
          <w:rFonts w:ascii="Calibri" w:hAnsi="Calibri" w:cs="Calibri"/>
          <w:lang w:val="en-GB"/>
        </w:rPr>
      </w:pPr>
    </w:p>
    <w:p w14:paraId="551E6792" w14:textId="77777777" w:rsidR="003444E4" w:rsidRPr="003444E4" w:rsidRDefault="003444E4" w:rsidP="003444E4">
      <w:pPr>
        <w:jc w:val="both"/>
        <w:rPr>
          <w:rFonts w:ascii="Calibri" w:hAnsi="Calibri" w:cs="Calibri"/>
          <w:lang w:val="en-GB"/>
        </w:rPr>
      </w:pPr>
    </w:p>
    <w:p w14:paraId="0A7823A2" w14:textId="77777777" w:rsidR="003444E4" w:rsidRPr="003444E4" w:rsidRDefault="003444E4" w:rsidP="003444E4">
      <w:pPr>
        <w:jc w:val="both"/>
        <w:rPr>
          <w:rFonts w:ascii="Calibri" w:hAnsi="Calibri" w:cs="Calibri"/>
          <w:lang w:val="en-GB"/>
        </w:rPr>
      </w:pPr>
    </w:p>
    <w:p w14:paraId="3DFBBE4A" w14:textId="77777777" w:rsidR="003444E4" w:rsidRPr="003444E4" w:rsidRDefault="003444E4" w:rsidP="003444E4">
      <w:pPr>
        <w:jc w:val="both"/>
        <w:rPr>
          <w:rFonts w:ascii="Calibri" w:hAnsi="Calibri" w:cs="Calibri"/>
          <w:lang w:val="en-GB"/>
        </w:rPr>
      </w:pPr>
    </w:p>
    <w:p w14:paraId="7DBFFED0" w14:textId="77777777" w:rsidR="003444E4" w:rsidRPr="003444E4" w:rsidRDefault="003444E4" w:rsidP="003444E4">
      <w:pPr>
        <w:jc w:val="both"/>
        <w:rPr>
          <w:rFonts w:ascii="Calibri" w:hAnsi="Calibri" w:cs="Calibri"/>
          <w:lang w:val="en-GB"/>
        </w:rPr>
      </w:pPr>
    </w:p>
    <w:p w14:paraId="499F5AE9" w14:textId="77777777" w:rsidR="003444E4" w:rsidRPr="003444E4" w:rsidRDefault="003444E4" w:rsidP="003444E4">
      <w:pPr>
        <w:jc w:val="both"/>
        <w:rPr>
          <w:rFonts w:ascii="Calibri" w:hAnsi="Calibri" w:cs="Calibri"/>
          <w:lang w:val="en-GB"/>
        </w:rPr>
      </w:pPr>
    </w:p>
    <w:p w14:paraId="016F8579" w14:textId="77777777" w:rsidR="003444E4" w:rsidRPr="003444E4" w:rsidRDefault="003444E4" w:rsidP="003444E4">
      <w:pPr>
        <w:jc w:val="both"/>
        <w:rPr>
          <w:rFonts w:ascii="Calibri" w:hAnsi="Calibri" w:cs="Calibri"/>
          <w:color w:val="2F5496"/>
          <w:sz w:val="18"/>
          <w:szCs w:val="16"/>
          <w:lang w:val="en-GB"/>
        </w:rPr>
      </w:pPr>
      <w:r w:rsidRPr="003444E4">
        <w:rPr>
          <w:rFonts w:ascii="Calibri" w:hAnsi="Calibri" w:cs="Calibri"/>
          <w:color w:val="2F5496"/>
          <w:sz w:val="18"/>
          <w:szCs w:val="16"/>
          <w:lang w:val="en-GB"/>
        </w:rPr>
        <w:t xml:space="preserve">  </w:t>
      </w:r>
      <w:r w:rsidRPr="003444E4">
        <w:rPr>
          <w:rFonts w:ascii="Calibri" w:hAnsi="Calibri" w:cs="Calibri"/>
          <w:color w:val="2F5496"/>
          <w:sz w:val="18"/>
          <w:szCs w:val="16"/>
        </w:rPr>
        <w:t xml:space="preserve">Source: </w:t>
      </w:r>
      <w:r w:rsidRPr="003444E4">
        <w:rPr>
          <w:rFonts w:ascii="Calibri" w:hAnsi="Calibri" w:cs="Calibri"/>
          <w:color w:val="2F5496"/>
          <w:sz w:val="18"/>
          <w:szCs w:val="16"/>
          <w:lang w:val="en-GB"/>
        </w:rPr>
        <w:t>CBN</w:t>
      </w:r>
    </w:p>
    <w:p w14:paraId="2E602ADB" w14:textId="77777777" w:rsidR="003444E4" w:rsidRPr="003444E4" w:rsidRDefault="003444E4" w:rsidP="003444E4">
      <w:pPr>
        <w:jc w:val="both"/>
        <w:rPr>
          <w:rFonts w:ascii="Calibri" w:hAnsi="Calibri" w:cs="Calibri"/>
          <w:sz w:val="8"/>
          <w:szCs w:val="8"/>
          <w:lang w:val="en-GB"/>
        </w:rPr>
      </w:pPr>
    </w:p>
    <w:p w14:paraId="3A58DA5E" w14:textId="77777777" w:rsidR="003444E4" w:rsidRPr="003444E4" w:rsidRDefault="003444E4" w:rsidP="003444E4">
      <w:pPr>
        <w:jc w:val="both"/>
        <w:rPr>
          <w:rFonts w:ascii="Calibri" w:hAnsi="Calibri" w:cs="Calibri"/>
          <w:sz w:val="22"/>
          <w:szCs w:val="22"/>
          <w:lang w:val="en-GB"/>
        </w:rPr>
      </w:pPr>
      <w:r w:rsidRPr="003444E4">
        <w:rPr>
          <w:rFonts w:ascii="Calibri" w:hAnsi="Calibri" w:cs="Calibri"/>
          <w:sz w:val="22"/>
          <w:szCs w:val="22"/>
          <w:lang w:val="en-GB"/>
        </w:rPr>
        <w:t>Sectoral developments suggest that the moderation in March was driven by cost-side pressures, particularly higher fuel prices, which impacted manufacturing and services output, even as agriculture and trade-related activities remained supportive of growth. Firms continued to respond to sustained demand by expanding employment and rebuilding inventories, although at a more cautious pace.</w:t>
      </w:r>
    </w:p>
    <w:p w14:paraId="7DBE2013" w14:textId="77777777" w:rsidR="003444E4" w:rsidRPr="003444E4" w:rsidRDefault="003444E4" w:rsidP="003444E4">
      <w:pPr>
        <w:jc w:val="both"/>
        <w:rPr>
          <w:rFonts w:ascii="Calibri" w:hAnsi="Calibri" w:cs="Calibri"/>
          <w:sz w:val="4"/>
          <w:szCs w:val="4"/>
          <w:lang w:val="en-GB"/>
        </w:rPr>
      </w:pPr>
    </w:p>
    <w:p w14:paraId="01E16BD9" w14:textId="7A7F79A5" w:rsidR="003444E4" w:rsidRPr="003444E4" w:rsidRDefault="003444E4" w:rsidP="003444E4">
      <w:pPr>
        <w:jc w:val="both"/>
        <w:rPr>
          <w:rFonts w:ascii="Calibri" w:hAnsi="Calibri" w:cs="Calibri"/>
          <w:sz w:val="22"/>
          <w:szCs w:val="22"/>
          <w:lang w:val="en-GB"/>
        </w:rPr>
      </w:pPr>
      <w:r w:rsidRPr="003444E4">
        <w:rPr>
          <w:rFonts w:ascii="Calibri" w:hAnsi="Calibri" w:cs="Calibri"/>
          <w:sz w:val="22"/>
          <w:szCs w:val="22"/>
          <w:lang w:val="en-GB"/>
        </w:rPr>
        <w:t xml:space="preserve">Overall, developments in Q1 2026 suggest that while economic activity remains resilient and firmly in expansionary territory, growth momentum softened slightly toward the end of the quarter, reflecting the re-emergence of cost pressures. Nonetheless, the persistence of strong demand conditions, continued expansion in new orders, and positive business expectations indicate that the underlying growth trajectory remains intact. </w:t>
      </w:r>
    </w:p>
    <w:p w14:paraId="3FF30985" w14:textId="77777777" w:rsidR="003444E4" w:rsidRPr="003444E4" w:rsidRDefault="003444E4" w:rsidP="003444E4">
      <w:pPr>
        <w:spacing w:after="160" w:line="259" w:lineRule="auto"/>
        <w:jc w:val="both"/>
        <w:rPr>
          <w:rFonts w:ascii="Calibri" w:hAnsi="Calibri" w:cs="Calibri"/>
          <w:i/>
          <w:iCs/>
          <w:color w:val="2F5496"/>
          <w:sz w:val="20"/>
          <w:szCs w:val="18"/>
          <w:lang w:val="en-GB"/>
        </w:rPr>
      </w:pPr>
      <w:r w:rsidRPr="003444E4">
        <w:rPr>
          <w:rFonts w:ascii="Calibri" w:hAnsi="Calibri" w:cs="Calibri"/>
          <w:noProof/>
        </w:rPr>
        <w:drawing>
          <wp:anchor distT="0" distB="0" distL="114300" distR="114300" simplePos="0" relativeHeight="251659264" behindDoc="0" locked="0" layoutInCell="1" allowOverlap="1" wp14:anchorId="7F67173F" wp14:editId="30F3D05C">
            <wp:simplePos x="0" y="0"/>
            <wp:positionH relativeFrom="column">
              <wp:align>right</wp:align>
            </wp:positionH>
            <wp:positionV relativeFrom="paragraph">
              <wp:posOffset>411480</wp:posOffset>
            </wp:positionV>
            <wp:extent cx="2882900" cy="1854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2882900" cy="185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44E4">
        <w:rPr>
          <w:rFonts w:ascii="Calibri" w:hAnsi="Calibri" w:cs="Calibri"/>
          <w:i/>
          <w:iCs/>
          <w:color w:val="2F5496"/>
          <w:sz w:val="20"/>
          <w:szCs w:val="18"/>
        </w:rPr>
        <w:t xml:space="preserve">Figure </w:t>
      </w:r>
      <w:r w:rsidRPr="003444E4">
        <w:rPr>
          <w:rFonts w:ascii="Calibri" w:hAnsi="Calibri" w:cs="Calibri"/>
          <w:i/>
          <w:iCs/>
          <w:color w:val="2F5496"/>
          <w:sz w:val="20"/>
          <w:szCs w:val="18"/>
          <w:lang w:val="en-GB"/>
        </w:rPr>
        <w:t>2</w:t>
      </w:r>
      <w:r w:rsidRPr="003444E4">
        <w:rPr>
          <w:rFonts w:ascii="Calibri" w:hAnsi="Calibri" w:cs="Calibri"/>
          <w:i/>
          <w:iCs/>
          <w:color w:val="2F5496"/>
          <w:sz w:val="20"/>
          <w:szCs w:val="18"/>
        </w:rPr>
        <w:t>: Real GDP Growth Rate in Nigeria (Q1202</w:t>
      </w:r>
      <w:r w:rsidRPr="003444E4">
        <w:rPr>
          <w:rFonts w:ascii="Calibri" w:hAnsi="Calibri" w:cs="Calibri"/>
          <w:i/>
          <w:iCs/>
          <w:color w:val="2F5496"/>
          <w:sz w:val="20"/>
          <w:szCs w:val="18"/>
          <w:lang w:val="en-GB"/>
        </w:rPr>
        <w:t>4</w:t>
      </w:r>
      <w:r w:rsidRPr="003444E4">
        <w:rPr>
          <w:rFonts w:ascii="Calibri" w:hAnsi="Calibri" w:cs="Calibri"/>
          <w:i/>
          <w:iCs/>
          <w:color w:val="2F5496"/>
          <w:sz w:val="20"/>
          <w:szCs w:val="18"/>
        </w:rPr>
        <w:t xml:space="preserve"> – Q</w:t>
      </w:r>
      <w:r w:rsidRPr="003444E4">
        <w:rPr>
          <w:rFonts w:ascii="Calibri" w:hAnsi="Calibri" w:cs="Calibri"/>
          <w:i/>
          <w:iCs/>
          <w:color w:val="2F5496"/>
          <w:sz w:val="20"/>
          <w:szCs w:val="18"/>
          <w:lang w:val="en-GB"/>
        </w:rPr>
        <w:t>4</w:t>
      </w:r>
      <w:r w:rsidRPr="003444E4">
        <w:rPr>
          <w:rFonts w:ascii="Calibri" w:hAnsi="Calibri" w:cs="Calibri"/>
          <w:i/>
          <w:iCs/>
          <w:color w:val="2F5496"/>
          <w:sz w:val="20"/>
          <w:szCs w:val="18"/>
        </w:rPr>
        <w:t>202</w:t>
      </w:r>
      <w:r w:rsidRPr="003444E4">
        <w:rPr>
          <w:rFonts w:ascii="Calibri" w:hAnsi="Calibri" w:cs="Calibri"/>
          <w:i/>
          <w:iCs/>
          <w:color w:val="2F5496"/>
          <w:sz w:val="20"/>
          <w:szCs w:val="18"/>
          <w:lang w:val="en-GB"/>
        </w:rPr>
        <w:t>5</w:t>
      </w:r>
      <w:r w:rsidRPr="003444E4">
        <w:rPr>
          <w:rFonts w:ascii="Calibri" w:hAnsi="Calibri" w:cs="Calibri"/>
          <w:i/>
          <w:iCs/>
          <w:color w:val="2F5496"/>
          <w:sz w:val="20"/>
          <w:szCs w:val="18"/>
        </w:rPr>
        <w:t>) in percent</w:t>
      </w:r>
    </w:p>
    <w:p w14:paraId="69C11B2B" w14:textId="77777777" w:rsidR="003444E4" w:rsidRPr="003444E4" w:rsidRDefault="003444E4" w:rsidP="003444E4">
      <w:pPr>
        <w:jc w:val="both"/>
        <w:rPr>
          <w:rFonts w:ascii="Calibri" w:hAnsi="Calibri" w:cs="Calibri"/>
          <w:lang w:val="en-GB"/>
        </w:rPr>
      </w:pPr>
    </w:p>
    <w:p w14:paraId="303C2806" w14:textId="77777777" w:rsidR="003444E4" w:rsidRPr="003444E4" w:rsidRDefault="003444E4" w:rsidP="003444E4">
      <w:pPr>
        <w:jc w:val="both"/>
        <w:rPr>
          <w:rFonts w:ascii="Calibri" w:hAnsi="Calibri" w:cs="Calibri"/>
          <w:lang w:val="en-GB"/>
        </w:rPr>
      </w:pPr>
    </w:p>
    <w:p w14:paraId="0ED83B22" w14:textId="77777777" w:rsidR="003444E4" w:rsidRPr="003444E4" w:rsidRDefault="003444E4" w:rsidP="003444E4">
      <w:pPr>
        <w:jc w:val="both"/>
        <w:rPr>
          <w:rFonts w:ascii="Calibri" w:hAnsi="Calibri" w:cs="Calibri"/>
          <w:lang w:val="en-GB"/>
        </w:rPr>
      </w:pPr>
    </w:p>
    <w:p w14:paraId="18614FBC" w14:textId="77777777" w:rsidR="003444E4" w:rsidRPr="003444E4" w:rsidRDefault="003444E4" w:rsidP="003444E4">
      <w:pPr>
        <w:jc w:val="both"/>
        <w:rPr>
          <w:rFonts w:ascii="Calibri" w:hAnsi="Calibri" w:cs="Calibri"/>
          <w:lang w:val="en-GB"/>
        </w:rPr>
      </w:pPr>
    </w:p>
    <w:p w14:paraId="683CA49A" w14:textId="77777777" w:rsidR="003444E4" w:rsidRPr="003444E4" w:rsidRDefault="003444E4" w:rsidP="003444E4">
      <w:pPr>
        <w:jc w:val="both"/>
        <w:rPr>
          <w:rFonts w:ascii="Calibri" w:hAnsi="Calibri" w:cs="Calibri"/>
          <w:lang w:val="en-GB"/>
        </w:rPr>
      </w:pPr>
    </w:p>
    <w:p w14:paraId="7983A8D2" w14:textId="77777777" w:rsidR="003444E4" w:rsidRPr="003444E4" w:rsidRDefault="003444E4" w:rsidP="003444E4">
      <w:pPr>
        <w:jc w:val="both"/>
        <w:rPr>
          <w:rFonts w:ascii="Calibri" w:hAnsi="Calibri" w:cs="Calibri"/>
          <w:lang w:val="en-GB"/>
        </w:rPr>
      </w:pPr>
    </w:p>
    <w:p w14:paraId="4AF06A50" w14:textId="77777777" w:rsidR="003444E4" w:rsidRPr="003444E4" w:rsidRDefault="003444E4" w:rsidP="003444E4">
      <w:pPr>
        <w:jc w:val="both"/>
        <w:rPr>
          <w:rFonts w:ascii="Calibri" w:hAnsi="Calibri" w:cs="Calibri"/>
          <w:lang w:val="en-GB"/>
        </w:rPr>
      </w:pPr>
    </w:p>
    <w:p w14:paraId="042B59CE" w14:textId="77777777" w:rsidR="003444E4" w:rsidRPr="003444E4" w:rsidRDefault="003444E4" w:rsidP="003444E4">
      <w:pPr>
        <w:jc w:val="both"/>
        <w:rPr>
          <w:rFonts w:ascii="Calibri" w:hAnsi="Calibri" w:cs="Calibri"/>
          <w:lang w:val="en-GB"/>
        </w:rPr>
      </w:pPr>
    </w:p>
    <w:p w14:paraId="0E20E60B" w14:textId="77777777" w:rsidR="003444E4" w:rsidRPr="003444E4" w:rsidRDefault="003444E4" w:rsidP="003444E4">
      <w:pPr>
        <w:jc w:val="both"/>
        <w:rPr>
          <w:rFonts w:ascii="Calibri" w:hAnsi="Calibri" w:cs="Calibri"/>
          <w:sz w:val="22"/>
          <w:szCs w:val="22"/>
          <w:lang w:val="en-GB"/>
        </w:rPr>
      </w:pPr>
      <w:r w:rsidRPr="003444E4">
        <w:rPr>
          <w:rFonts w:ascii="Calibri" w:hAnsi="Calibri" w:cs="Calibri"/>
          <w:b/>
          <w:bCs/>
          <w:color w:val="2F5496"/>
          <w:sz w:val="18"/>
          <w:szCs w:val="16"/>
        </w:rPr>
        <w:t xml:space="preserve">Source: </w:t>
      </w:r>
      <w:r w:rsidRPr="003444E4">
        <w:rPr>
          <w:rFonts w:ascii="Calibri" w:hAnsi="Calibri" w:cs="Calibri"/>
          <w:color w:val="2F5496"/>
          <w:sz w:val="18"/>
          <w:szCs w:val="16"/>
        </w:rPr>
        <w:t>National Bureau of Statistics (NBS)</w:t>
      </w:r>
    </w:p>
    <w:p w14:paraId="1F25DBEF" w14:textId="77777777" w:rsidR="003444E4" w:rsidRPr="003444E4" w:rsidRDefault="003444E4" w:rsidP="003444E4">
      <w:pPr>
        <w:jc w:val="both"/>
        <w:rPr>
          <w:rFonts w:ascii="Calibri" w:hAnsi="Calibri" w:cs="Calibri"/>
          <w:sz w:val="22"/>
          <w:szCs w:val="22"/>
          <w:lang w:val="en-GB"/>
        </w:rPr>
      </w:pPr>
    </w:p>
    <w:p w14:paraId="0A73328C" w14:textId="77777777" w:rsidR="003444E4" w:rsidRPr="003444E4" w:rsidRDefault="003444E4" w:rsidP="003444E4">
      <w:pPr>
        <w:jc w:val="both"/>
        <w:rPr>
          <w:rFonts w:ascii="Calibri" w:hAnsi="Calibri" w:cs="Calibri"/>
          <w:sz w:val="22"/>
          <w:szCs w:val="22"/>
          <w:lang w:val="en-GB"/>
        </w:rPr>
      </w:pPr>
    </w:p>
    <w:p w14:paraId="0066ECB8" w14:textId="77777777" w:rsidR="003444E4" w:rsidRPr="003444E4" w:rsidRDefault="003444E4" w:rsidP="003444E4">
      <w:pPr>
        <w:spacing w:after="160" w:line="259" w:lineRule="auto"/>
        <w:jc w:val="both"/>
        <w:rPr>
          <w:rFonts w:ascii="Calibri" w:hAnsi="Calibri" w:cs="Calibri"/>
          <w:i/>
          <w:iCs/>
          <w:color w:val="2F5496"/>
          <w:sz w:val="20"/>
          <w:szCs w:val="18"/>
        </w:rPr>
      </w:pPr>
      <w:r w:rsidRPr="003444E4">
        <w:rPr>
          <w:rFonts w:ascii="Calibri" w:hAnsi="Calibri" w:cs="Calibri"/>
          <w:noProof/>
        </w:rPr>
        <w:drawing>
          <wp:anchor distT="0" distB="0" distL="114300" distR="114300" simplePos="0" relativeHeight="251660288" behindDoc="0" locked="0" layoutInCell="1" allowOverlap="1" wp14:anchorId="148D38A9" wp14:editId="08C359B4">
            <wp:simplePos x="0" y="0"/>
            <wp:positionH relativeFrom="column">
              <wp:posOffset>-74295</wp:posOffset>
            </wp:positionH>
            <wp:positionV relativeFrom="paragraph">
              <wp:posOffset>387350</wp:posOffset>
            </wp:positionV>
            <wp:extent cx="2799080" cy="1501775"/>
            <wp:effectExtent l="0" t="0" r="7620" b="9525"/>
            <wp:wrapNone/>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8"/>
                    <a:srcRect l="2240" t="8395" r="3203"/>
                    <a:stretch>
                      <a:fillRect/>
                    </a:stretch>
                  </pic:blipFill>
                  <pic:spPr>
                    <a:xfrm>
                      <a:off x="0" y="0"/>
                      <a:ext cx="2799080" cy="1501775"/>
                    </a:xfrm>
                    <a:prstGeom prst="rect">
                      <a:avLst/>
                    </a:prstGeom>
                    <a:noFill/>
                    <a:ln>
                      <a:noFill/>
                    </a:ln>
                  </pic:spPr>
                </pic:pic>
              </a:graphicData>
            </a:graphic>
          </wp:anchor>
        </w:drawing>
      </w:r>
      <w:r w:rsidRPr="003444E4">
        <w:rPr>
          <w:rFonts w:ascii="Calibri" w:hAnsi="Calibri" w:cs="Calibri"/>
          <w:i/>
          <w:iCs/>
          <w:color w:val="2F5496"/>
          <w:sz w:val="20"/>
          <w:szCs w:val="18"/>
        </w:rPr>
        <w:t xml:space="preserve">Figure </w:t>
      </w:r>
      <w:r w:rsidRPr="003444E4">
        <w:rPr>
          <w:rFonts w:ascii="Calibri" w:hAnsi="Calibri" w:cs="Calibri"/>
          <w:i/>
          <w:iCs/>
          <w:color w:val="2F5496"/>
          <w:sz w:val="20"/>
          <w:szCs w:val="18"/>
          <w:lang w:val="en-GB"/>
        </w:rPr>
        <w:t>3</w:t>
      </w:r>
      <w:r w:rsidRPr="003444E4">
        <w:rPr>
          <w:rFonts w:ascii="Calibri" w:hAnsi="Calibri" w:cs="Calibri"/>
          <w:i/>
          <w:iCs/>
          <w:color w:val="2F5496"/>
          <w:sz w:val="20"/>
          <w:szCs w:val="18"/>
        </w:rPr>
        <w:t xml:space="preserve">: </w:t>
      </w:r>
      <w:r w:rsidRPr="003444E4">
        <w:rPr>
          <w:rFonts w:ascii="Calibri" w:hAnsi="Calibri" w:cs="Calibri"/>
          <w:i/>
          <w:iCs/>
          <w:color w:val="2F5496"/>
          <w:sz w:val="20"/>
          <w:szCs w:val="18"/>
          <w:lang w:val="en-GB"/>
        </w:rPr>
        <w:t xml:space="preserve">Annual </w:t>
      </w:r>
      <w:r w:rsidRPr="003444E4">
        <w:rPr>
          <w:rFonts w:ascii="Calibri" w:hAnsi="Calibri" w:cs="Calibri"/>
          <w:i/>
          <w:iCs/>
          <w:color w:val="2F5496"/>
          <w:sz w:val="20"/>
          <w:szCs w:val="18"/>
        </w:rPr>
        <w:t>Real GDP Growth Rate in Nigeria (</w:t>
      </w:r>
      <w:r w:rsidRPr="003444E4">
        <w:rPr>
          <w:rFonts w:ascii="Calibri" w:hAnsi="Calibri" w:cs="Calibri"/>
          <w:i/>
          <w:iCs/>
          <w:color w:val="2F5496"/>
          <w:sz w:val="20"/>
          <w:szCs w:val="18"/>
          <w:lang w:val="en-GB"/>
        </w:rPr>
        <w:t>2018</w:t>
      </w:r>
      <w:r w:rsidRPr="003444E4">
        <w:rPr>
          <w:rFonts w:ascii="Calibri" w:hAnsi="Calibri" w:cs="Calibri"/>
          <w:i/>
          <w:iCs/>
          <w:color w:val="2F5496"/>
          <w:sz w:val="20"/>
          <w:szCs w:val="18"/>
        </w:rPr>
        <w:t xml:space="preserve"> – </w:t>
      </w:r>
      <w:r w:rsidRPr="003444E4">
        <w:rPr>
          <w:rFonts w:ascii="Calibri" w:hAnsi="Calibri" w:cs="Calibri"/>
          <w:i/>
          <w:iCs/>
          <w:color w:val="2F5496"/>
          <w:sz w:val="20"/>
          <w:szCs w:val="18"/>
          <w:lang w:val="en-GB"/>
        </w:rPr>
        <w:t>2025</w:t>
      </w:r>
      <w:r w:rsidRPr="003444E4">
        <w:rPr>
          <w:rFonts w:ascii="Calibri" w:hAnsi="Calibri" w:cs="Calibri"/>
          <w:i/>
          <w:iCs/>
          <w:color w:val="2F5496"/>
          <w:sz w:val="20"/>
          <w:szCs w:val="18"/>
        </w:rPr>
        <w:t>) in percent</w:t>
      </w:r>
    </w:p>
    <w:p w14:paraId="079409BE" w14:textId="77777777" w:rsidR="003444E4" w:rsidRPr="003444E4" w:rsidRDefault="003444E4" w:rsidP="003444E4">
      <w:pPr>
        <w:spacing w:after="160" w:line="259" w:lineRule="auto"/>
        <w:jc w:val="both"/>
        <w:rPr>
          <w:rFonts w:ascii="Calibri" w:hAnsi="Calibri" w:cs="Calibri"/>
          <w:i/>
          <w:iCs/>
          <w:color w:val="2F5496"/>
          <w:sz w:val="20"/>
          <w:szCs w:val="18"/>
        </w:rPr>
      </w:pPr>
    </w:p>
    <w:p w14:paraId="554668A8" w14:textId="77777777" w:rsidR="003444E4" w:rsidRPr="003444E4" w:rsidRDefault="003444E4" w:rsidP="003444E4">
      <w:pPr>
        <w:spacing w:after="160" w:line="259" w:lineRule="auto"/>
        <w:jc w:val="both"/>
        <w:rPr>
          <w:rFonts w:ascii="Calibri" w:hAnsi="Calibri" w:cs="Calibri"/>
          <w:i/>
          <w:iCs/>
          <w:color w:val="2F5496"/>
          <w:sz w:val="20"/>
          <w:szCs w:val="18"/>
        </w:rPr>
      </w:pPr>
    </w:p>
    <w:p w14:paraId="0929EAD0" w14:textId="77777777" w:rsidR="003444E4" w:rsidRPr="003444E4" w:rsidRDefault="003444E4" w:rsidP="003444E4">
      <w:pPr>
        <w:spacing w:after="160" w:line="259" w:lineRule="auto"/>
        <w:jc w:val="both"/>
        <w:rPr>
          <w:rFonts w:ascii="Calibri" w:hAnsi="Calibri" w:cs="Calibri"/>
          <w:i/>
          <w:iCs/>
          <w:color w:val="2F5496"/>
          <w:sz w:val="20"/>
          <w:szCs w:val="18"/>
        </w:rPr>
      </w:pPr>
    </w:p>
    <w:p w14:paraId="2821E66F" w14:textId="77777777" w:rsidR="003444E4" w:rsidRPr="003444E4" w:rsidRDefault="003444E4" w:rsidP="003444E4">
      <w:pPr>
        <w:spacing w:after="160" w:line="259" w:lineRule="auto"/>
        <w:jc w:val="both"/>
        <w:rPr>
          <w:rFonts w:ascii="Calibri" w:hAnsi="Calibri" w:cs="Calibri"/>
          <w:i/>
          <w:iCs/>
          <w:color w:val="2F5496"/>
          <w:sz w:val="20"/>
          <w:szCs w:val="18"/>
        </w:rPr>
      </w:pPr>
    </w:p>
    <w:p w14:paraId="379204FE" w14:textId="77777777" w:rsidR="003444E4" w:rsidRPr="003444E4" w:rsidRDefault="003444E4" w:rsidP="003444E4">
      <w:pPr>
        <w:spacing w:after="160" w:line="259" w:lineRule="auto"/>
        <w:jc w:val="both"/>
        <w:rPr>
          <w:rFonts w:ascii="Calibri" w:hAnsi="Calibri" w:cs="Calibri"/>
          <w:i/>
          <w:iCs/>
          <w:color w:val="2F5496"/>
          <w:sz w:val="20"/>
          <w:szCs w:val="18"/>
          <w:lang w:val="en-GB"/>
        </w:rPr>
      </w:pPr>
    </w:p>
    <w:p w14:paraId="77D667DA" w14:textId="77777777" w:rsidR="003444E4" w:rsidRPr="003444E4" w:rsidRDefault="003444E4" w:rsidP="003444E4">
      <w:pPr>
        <w:spacing w:after="160" w:line="259" w:lineRule="auto"/>
        <w:jc w:val="both"/>
        <w:rPr>
          <w:rFonts w:ascii="Calibri" w:hAnsi="Calibri" w:cs="Calibri"/>
          <w:i/>
          <w:iCs/>
          <w:color w:val="2F5496"/>
          <w:sz w:val="20"/>
          <w:szCs w:val="18"/>
          <w:lang w:val="en-GB"/>
        </w:rPr>
      </w:pPr>
    </w:p>
    <w:p w14:paraId="775AFF64" w14:textId="77777777" w:rsidR="003444E4" w:rsidRPr="003444E4" w:rsidRDefault="003444E4" w:rsidP="003444E4">
      <w:pPr>
        <w:jc w:val="both"/>
        <w:rPr>
          <w:rFonts w:ascii="Calibri" w:hAnsi="Calibri" w:cs="Calibri"/>
          <w:lang w:val="en-GB"/>
        </w:rPr>
      </w:pPr>
      <w:r w:rsidRPr="003444E4">
        <w:rPr>
          <w:rFonts w:ascii="Calibri" w:hAnsi="Calibri" w:cs="Calibri"/>
          <w:b/>
          <w:bCs/>
          <w:color w:val="2F5496"/>
          <w:sz w:val="18"/>
          <w:szCs w:val="16"/>
        </w:rPr>
        <w:t xml:space="preserve">Source: </w:t>
      </w:r>
      <w:r w:rsidRPr="003444E4">
        <w:rPr>
          <w:rFonts w:ascii="Calibri" w:hAnsi="Calibri" w:cs="Calibri"/>
          <w:color w:val="2F5496"/>
          <w:sz w:val="18"/>
          <w:szCs w:val="16"/>
        </w:rPr>
        <w:t>National Bureau of Statistics (NBS)</w:t>
      </w:r>
    </w:p>
    <w:p w14:paraId="2D1B512F" w14:textId="77777777" w:rsidR="003444E4" w:rsidRPr="003444E4" w:rsidRDefault="003444E4" w:rsidP="0016538D">
      <w:pPr>
        <w:spacing w:after="160" w:line="259" w:lineRule="auto"/>
        <w:jc w:val="both"/>
        <w:rPr>
          <w:rFonts w:asciiTheme="minorHAnsi" w:hAnsiTheme="minorHAnsi"/>
          <w:sz w:val="22"/>
          <w:szCs w:val="22"/>
          <w:lang w:val="en-GB" w:eastAsia="en-US"/>
        </w:rPr>
      </w:pPr>
    </w:p>
    <w:p w14:paraId="1A7BD384" w14:textId="4EDA48CF" w:rsidR="00D55E8A" w:rsidRPr="003444E4" w:rsidRDefault="00D55E8A" w:rsidP="0016538D">
      <w:pPr>
        <w:pStyle w:val="Heading1"/>
        <w:rPr>
          <w:color w:val="auto"/>
          <w:lang w:val="en-GB"/>
        </w:rPr>
      </w:pPr>
      <w:r w:rsidRPr="003444E4">
        <w:rPr>
          <w:color w:val="auto"/>
          <w:lang w:val="en-GB"/>
        </w:rPr>
        <w:t>Output Growth Outlook</w:t>
      </w:r>
    </w:p>
    <w:p w14:paraId="24BA1231" w14:textId="77777777" w:rsidR="002334BF" w:rsidRPr="003444E4" w:rsidRDefault="002334BF" w:rsidP="002334BF">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Nigeria enters the second quarter of 2026 with clear signs of macroeconomic stabilisation, following nearly two years of far reaching monetary, fiscal, and exchange rate reforms. Output performance in 2025 ranged between 3.1 and 4.2 per cent, supported by resilient services activity, a modest recovery in oil output, and improved foreign exchange liquidity conditions. By the end of March 2026, the economy continued to demonstrate underlying resilience despite sustained macroeconomic pressures, a pattern expected to persist through the year.</w:t>
      </w:r>
    </w:p>
    <w:p w14:paraId="1158B49A" w14:textId="77777777" w:rsidR="002334BF" w:rsidRPr="003444E4" w:rsidRDefault="002334BF" w:rsidP="002334BF">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Looking ahead, real output growth is projected to remain positive, averaging around 4.0–5.0 per cent, although the pace of expansion is likely to remain measured rather than rapid. Structural impediments, most notably infrastructure deficits, weak productivity growth, insecurity, and constrained access to finance, are expected to continue limiting the speed at which growth can return to its full potential.</w:t>
      </w:r>
    </w:p>
    <w:p w14:paraId="13152069" w14:textId="77777777" w:rsidR="002334BF" w:rsidRPr="003444E4" w:rsidRDefault="002334BF" w:rsidP="002334BF">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 xml:space="preserve">At the same time, the escalation of conflict in Iran has introduced new external risks for Nigeria, primarily through heightened oil price volatility, increased global risk aversion, and more cautious capital flows. As a small open, oil exporting economy with significant exposure to foreign portfolio investment, Nigeria remains sensitive to shifts in global financial conditions. A prolonged </w:t>
      </w:r>
      <w:r w:rsidRPr="003444E4">
        <w:rPr>
          <w:rFonts w:asciiTheme="minorHAnsi" w:hAnsiTheme="minorHAnsi"/>
          <w:sz w:val="22"/>
          <w:szCs w:val="22"/>
          <w:lang w:val="en-GB" w:eastAsia="en-US"/>
        </w:rPr>
        <w:t>conflict could elevate Nigeria’s risk premium, slow inflows and equity markets, increase external borrowing costs, and generate renewed pressure on the exchange rate, factors that may weigh on private investment and temper near term output gains.</w:t>
      </w:r>
    </w:p>
    <w:p w14:paraId="432EDED9" w14:textId="004DCD15" w:rsidR="00C27C57" w:rsidRPr="003444E4" w:rsidRDefault="002334BF" w:rsidP="002334BF">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 xml:space="preserve">Nonetheless, while external headwinds have intensified, improved policy credibility, stronger FX market functioning, and rebuilt external buffers have helped limit </w:t>
      </w:r>
      <w:proofErr w:type="spellStart"/>
      <w:r w:rsidRPr="003444E4">
        <w:rPr>
          <w:rFonts w:asciiTheme="minorHAnsi" w:hAnsiTheme="minorHAnsi"/>
          <w:sz w:val="22"/>
          <w:szCs w:val="22"/>
          <w:lang w:val="en-GB" w:eastAsia="en-US"/>
        </w:rPr>
        <w:t>spillovers</w:t>
      </w:r>
      <w:proofErr w:type="spellEnd"/>
      <w:r w:rsidRPr="003444E4">
        <w:rPr>
          <w:rFonts w:asciiTheme="minorHAnsi" w:hAnsiTheme="minorHAnsi"/>
          <w:sz w:val="22"/>
          <w:szCs w:val="22"/>
          <w:lang w:val="en-GB" w:eastAsia="en-US"/>
        </w:rPr>
        <w:t xml:space="preserve"> thus far. However, persistent structural rigidities—including high logistics costs, electricity constraints, limited public capital spending, and security related disruptions</w:t>
      </w:r>
      <w:r w:rsidR="00164946" w:rsidRPr="003444E4">
        <w:rPr>
          <w:rFonts w:asciiTheme="minorHAnsi" w:hAnsiTheme="minorHAnsi"/>
          <w:sz w:val="22"/>
          <w:szCs w:val="22"/>
          <w:lang w:val="en-GB" w:eastAsia="en-US"/>
        </w:rPr>
        <w:t xml:space="preserve">, </w:t>
      </w:r>
      <w:r w:rsidRPr="003444E4">
        <w:rPr>
          <w:rFonts w:asciiTheme="minorHAnsi" w:hAnsiTheme="minorHAnsi"/>
          <w:sz w:val="22"/>
          <w:szCs w:val="22"/>
          <w:lang w:val="en-GB" w:eastAsia="en-US"/>
        </w:rPr>
        <w:t>are likely to keep growth below potential in the near term.</w:t>
      </w:r>
    </w:p>
    <w:p w14:paraId="4CEDB0CB" w14:textId="6A533EEA" w:rsidR="00F06E4F" w:rsidRPr="003444E4" w:rsidRDefault="00F06E4F" w:rsidP="0016538D">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 xml:space="preserve">Figure 9: Economic Policy Uncertainty (EPU) index for Nigeria </w:t>
      </w:r>
      <w:r w:rsidR="008A48FC" w:rsidRPr="003444E4">
        <w:rPr>
          <w:rFonts w:asciiTheme="minorHAnsi" w:hAnsiTheme="minorHAnsi"/>
          <w:sz w:val="22"/>
          <w:szCs w:val="22"/>
          <w:lang w:val="en-GB" w:eastAsia="en-US"/>
        </w:rPr>
        <w:t>Ma</w:t>
      </w:r>
      <w:r w:rsidR="009C0435" w:rsidRPr="003444E4">
        <w:rPr>
          <w:rFonts w:asciiTheme="minorHAnsi" w:hAnsiTheme="minorHAnsi"/>
          <w:sz w:val="22"/>
          <w:szCs w:val="22"/>
          <w:lang w:val="en-GB" w:eastAsia="en-US"/>
        </w:rPr>
        <w:t>rch</w:t>
      </w:r>
      <w:r w:rsidR="00074BED" w:rsidRPr="003444E4">
        <w:rPr>
          <w:rFonts w:asciiTheme="minorHAnsi" w:hAnsiTheme="minorHAnsi"/>
          <w:sz w:val="22"/>
          <w:szCs w:val="22"/>
          <w:lang w:val="en-GB" w:eastAsia="en-US"/>
        </w:rPr>
        <w:t xml:space="preserve"> 2025</w:t>
      </w:r>
      <w:r w:rsidR="00111566" w:rsidRPr="003444E4">
        <w:rPr>
          <w:rFonts w:asciiTheme="minorHAnsi" w:hAnsiTheme="minorHAnsi"/>
          <w:sz w:val="22"/>
          <w:szCs w:val="22"/>
          <w:lang w:val="en-GB" w:eastAsia="en-US"/>
        </w:rPr>
        <w:t xml:space="preserve"> – </w:t>
      </w:r>
      <w:r w:rsidR="009C0435" w:rsidRPr="003444E4">
        <w:rPr>
          <w:rFonts w:asciiTheme="minorHAnsi" w:hAnsiTheme="minorHAnsi"/>
          <w:sz w:val="22"/>
          <w:szCs w:val="22"/>
          <w:lang w:val="en-GB" w:eastAsia="en-US"/>
        </w:rPr>
        <w:t>March</w:t>
      </w:r>
      <w:r w:rsidR="00111566" w:rsidRPr="003444E4">
        <w:rPr>
          <w:rFonts w:asciiTheme="minorHAnsi" w:hAnsiTheme="minorHAnsi"/>
          <w:sz w:val="22"/>
          <w:szCs w:val="22"/>
          <w:lang w:val="en-GB" w:eastAsia="en-US"/>
        </w:rPr>
        <w:t xml:space="preserve"> </w:t>
      </w:r>
      <w:r w:rsidRPr="003444E4">
        <w:rPr>
          <w:rFonts w:asciiTheme="minorHAnsi" w:hAnsiTheme="minorHAnsi"/>
          <w:sz w:val="22"/>
          <w:szCs w:val="22"/>
          <w:lang w:val="en-GB" w:eastAsia="en-US"/>
        </w:rPr>
        <w:t>202</w:t>
      </w:r>
      <w:r w:rsidR="00194B7D" w:rsidRPr="003444E4">
        <w:rPr>
          <w:rFonts w:asciiTheme="minorHAnsi" w:hAnsiTheme="minorHAnsi"/>
          <w:sz w:val="22"/>
          <w:szCs w:val="22"/>
          <w:lang w:val="en-GB" w:eastAsia="en-US"/>
        </w:rPr>
        <w:t>6</w:t>
      </w:r>
    </w:p>
    <w:p w14:paraId="14BCB401" w14:textId="08228B4E" w:rsidR="006F671B" w:rsidRPr="003444E4" w:rsidRDefault="002E7A8D" w:rsidP="0016538D">
      <w:pPr>
        <w:spacing w:after="160" w:line="259" w:lineRule="auto"/>
        <w:jc w:val="both"/>
        <w:rPr>
          <w:noProof/>
        </w:rPr>
      </w:pPr>
      <w:r w:rsidRPr="003444E4">
        <w:rPr>
          <w:noProof/>
        </w:rPr>
        <w:drawing>
          <wp:inline distT="0" distB="0" distL="0" distR="0" wp14:anchorId="2577BE06" wp14:editId="058644D0">
            <wp:extent cx="2828290" cy="1049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8290" cy="1049655"/>
                    </a:xfrm>
                    <a:prstGeom prst="rect">
                      <a:avLst/>
                    </a:prstGeom>
                    <a:noFill/>
                    <a:ln>
                      <a:noFill/>
                    </a:ln>
                  </pic:spPr>
                </pic:pic>
              </a:graphicData>
            </a:graphic>
          </wp:inline>
        </w:drawing>
      </w:r>
    </w:p>
    <w:p w14:paraId="19CD9477" w14:textId="0CE2173E" w:rsidR="00F06E4F" w:rsidRPr="003444E4" w:rsidRDefault="00F06E4F" w:rsidP="0016538D">
      <w:pPr>
        <w:spacing w:after="160" w:line="259" w:lineRule="auto"/>
        <w:jc w:val="both"/>
        <w:rPr>
          <w:rFonts w:ascii="Calibri" w:hAnsi="Calibri"/>
          <w:b/>
          <w:bCs/>
          <w:sz w:val="18"/>
          <w:szCs w:val="16"/>
          <w:lang w:val="en-GB"/>
        </w:rPr>
      </w:pPr>
      <w:r w:rsidRPr="003444E4">
        <w:rPr>
          <w:rFonts w:ascii="Calibri" w:hAnsi="Calibri"/>
          <w:b/>
          <w:bCs/>
          <w:sz w:val="18"/>
          <w:szCs w:val="16"/>
        </w:rPr>
        <w:t>Source: CAPE Economic Research and Consulting, 202</w:t>
      </w:r>
      <w:r w:rsidR="00731D5B" w:rsidRPr="003444E4">
        <w:rPr>
          <w:rFonts w:ascii="Calibri" w:hAnsi="Calibri"/>
          <w:b/>
          <w:bCs/>
          <w:sz w:val="18"/>
          <w:szCs w:val="16"/>
          <w:lang w:val="en-GB"/>
        </w:rPr>
        <w:t>6</w:t>
      </w:r>
    </w:p>
    <w:p w14:paraId="54923CC9" w14:textId="77777777" w:rsidR="0078171E" w:rsidRPr="003444E4" w:rsidRDefault="0078171E" w:rsidP="0078171E">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Nigeria’s Economic Policy Uncertainty (EPU) Index recorded a notable increase in February and remained elevated through March 2026, following the outbreak and escalation of the war involving Iran. The rise reflects intensified global risk aversion and Nigeria’s exposure as an open oil exporting economy with substantial reliance on foreign portfolio inflows. Heightened flight to safety flows toward advanced economy assets widened emerging market risk premia and renewed investor sensitivity around fiscal sustainability, FX management, and oil revenue stability.</w:t>
      </w:r>
    </w:p>
    <w:p w14:paraId="02447695" w14:textId="0932D80B" w:rsidR="0094340C" w:rsidRPr="003444E4" w:rsidRDefault="0078171E" w:rsidP="0078171E">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 xml:space="preserve">As the conflict persisted into March, elevated EPU readings pointed to growing macroeconomic ambiguity, driven by concerns over potential disruptions to global oil supply, volatility in FX inflows, and the durability of domestic reforms under external stress. This environment suggests a more cautious investor stance, with delays in long term commitments, shorter portfolio </w:t>
      </w:r>
      <w:r w:rsidRPr="003444E4">
        <w:rPr>
          <w:rFonts w:asciiTheme="minorHAnsi" w:hAnsiTheme="minorHAnsi"/>
          <w:sz w:val="22"/>
          <w:szCs w:val="22"/>
          <w:lang w:val="en-GB" w:eastAsia="en-US"/>
        </w:rPr>
        <w:lastRenderedPageBreak/>
        <w:t>durations, and higher required risk compensation for Nigeria specific exposures. It also implies potentially tighter external financing conditions should global liquidity continue to shift toward safe haven assets</w:t>
      </w:r>
      <w:r w:rsidR="0094340C" w:rsidRPr="003444E4">
        <w:rPr>
          <w:rFonts w:asciiTheme="minorHAnsi" w:hAnsiTheme="minorHAnsi"/>
          <w:sz w:val="22"/>
          <w:szCs w:val="22"/>
          <w:lang w:val="en-GB" w:eastAsia="en-US"/>
        </w:rPr>
        <w:t>.</w:t>
      </w:r>
    </w:p>
    <w:p w14:paraId="7B4F7567" w14:textId="2D8284F2" w:rsidR="001D3B26" w:rsidRPr="003444E4" w:rsidRDefault="001D3B26" w:rsidP="001D3B26">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Inflation, which had eased significantly to about 15.06 per cent by February 2026 following earlier monetary tightening and FX stabilisation, now faces renewed upside risks as the Middle East conflict persists. Through March, the primary channels of concern include higher imported energy and logistics costs, possible exchange rate pass through should FX volatility re-emerge, and upward pressure on global food prices if shipping disruptions or insurance costs intensify in the Gulf region.</w:t>
      </w:r>
    </w:p>
    <w:p w14:paraId="3257DBB7" w14:textId="77777777" w:rsidR="001D3B26" w:rsidRPr="003444E4" w:rsidRDefault="001D3B26" w:rsidP="001D3B26">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The foreign exchange outlook for the remainder of 2026 is similarly shaped by heightened external uncertainty. Prolonged geopolitical tensions could exert pressure on FX reserves if capital outflows accelerate and begin to outweigh any temporary fiscal benefits from higher oil prices. Foreign portfolio investor appetite may weaken further as global investors tilt toward safer assets, reducing inflows into domestic markets. At the same time, tighter global financial conditions could raise the cost of external borrowing, increasing balance of payments pressures.</w:t>
      </w:r>
    </w:p>
    <w:p w14:paraId="6F94D983" w14:textId="77777777" w:rsidR="001D3B26" w:rsidRPr="003444E4" w:rsidRDefault="001D3B26" w:rsidP="001D3B26">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Should outflows exceed inflows, even in the presence of stronger oil receipts—the naira could face intermittent depreciation pressure. In such a scenario, the Central Bank of Nigeria would need to continue balancing reserve preservation with adequate market liquidity provision to maintain orderly conditions.</w:t>
      </w:r>
    </w:p>
    <w:p w14:paraId="76D49AD0" w14:textId="49A95B1E" w:rsidR="00834A7D" w:rsidRPr="003444E4" w:rsidRDefault="001D3B26" w:rsidP="0016538D">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 xml:space="preserve">Monetary policy is therefore expected to remain cautious and moderately tight through 2026. While earlier signals pointed toward gradual easing as inflation and FX pressures subsided, the external shock arising from the Middle East conflict has complicated this path. The most likely outcome is a slower than expected easing cycle, with the Monetary Policy Rate held higher for longer to anchor expectations and contain FX volatility. Liquidity management operations are </w:t>
      </w:r>
      <w:r w:rsidRPr="003444E4">
        <w:rPr>
          <w:rFonts w:asciiTheme="minorHAnsi" w:hAnsiTheme="minorHAnsi"/>
          <w:sz w:val="22"/>
          <w:szCs w:val="22"/>
          <w:lang w:val="en-GB" w:eastAsia="en-US"/>
        </w:rPr>
        <w:t>expected to remain central to policy implementation, particularly if reserve buffers face renewed stress. Preserving policy credibility remains paramount, as it underpins market confidence and consolidation of the stabilisation gains achieved since 2025. Should inflation re accelerate due to imported cost shocks, the CBN may adopt a tighter for longer stance, prioritising price and FX stability over short term growth considerations.</w:t>
      </w:r>
      <w:r w:rsidR="00EC6438" w:rsidRPr="003444E4">
        <w:rPr>
          <w:rFonts w:asciiTheme="minorHAnsi" w:hAnsiTheme="minorHAnsi"/>
          <w:sz w:val="22"/>
          <w:szCs w:val="22"/>
          <w:lang w:val="en-GB" w:eastAsia="en-US"/>
        </w:rPr>
        <w:t xml:space="preserve"> </w:t>
      </w:r>
      <w:bookmarkStart w:id="1" w:name="_GoBack"/>
      <w:bookmarkEnd w:id="1"/>
    </w:p>
    <w:p w14:paraId="1A714696" w14:textId="603B85E9" w:rsidR="00D55E8A" w:rsidRPr="003444E4" w:rsidRDefault="00D55E8A" w:rsidP="0016538D">
      <w:pPr>
        <w:pStyle w:val="Heading1"/>
        <w:rPr>
          <w:color w:val="auto"/>
          <w:lang w:val="en-GB"/>
        </w:rPr>
      </w:pPr>
      <w:r w:rsidRPr="003444E4">
        <w:rPr>
          <w:color w:val="auto"/>
          <w:lang w:val="en-GB"/>
        </w:rPr>
        <w:t xml:space="preserve">Price </w:t>
      </w:r>
      <w:r w:rsidR="00723EF9" w:rsidRPr="003444E4">
        <w:rPr>
          <w:color w:val="auto"/>
          <w:lang w:val="en-GB"/>
        </w:rPr>
        <w:t>Update</w:t>
      </w:r>
    </w:p>
    <w:p w14:paraId="01EA1F49" w14:textId="77777777" w:rsidR="003444E4" w:rsidRPr="003444E4" w:rsidRDefault="003444E4" w:rsidP="003444E4">
      <w:pPr>
        <w:spacing w:after="160" w:line="259" w:lineRule="auto"/>
        <w:jc w:val="both"/>
        <w:rPr>
          <w:rFonts w:ascii="Calibri" w:hAnsi="Calibri" w:cs="Calibri"/>
          <w:sz w:val="22"/>
          <w:szCs w:val="22"/>
          <w:lang w:val="en-GB"/>
        </w:rPr>
      </w:pPr>
      <w:r w:rsidRPr="003444E4">
        <w:rPr>
          <w:rFonts w:ascii="Calibri" w:hAnsi="Calibri" w:cs="Calibri"/>
          <w:sz w:val="22"/>
          <w:szCs w:val="22"/>
          <w:lang w:val="en-GB"/>
        </w:rPr>
        <w:t>Nigeria’s disinflation trend persisted into 2026, as headline inflation moderated slightly to 15.06 per cent in February 2026, compared with 15.10 per cent recorded in January 2026. The marginal decline of 0.04 percentage points reflects a continued, albeit gradual, easing of price pressures, reinforcing the downward trajectory observed in recent months. This development suggests that underlying inflationary conditions remained relatively contained during the period, supported by improving macroeconomic stability and relatively stable supply conditions.</w:t>
      </w:r>
    </w:p>
    <w:p w14:paraId="0DBEE487" w14:textId="77777777" w:rsidR="003444E4" w:rsidRPr="003444E4" w:rsidRDefault="003444E4" w:rsidP="003444E4">
      <w:pPr>
        <w:spacing w:after="160" w:line="259" w:lineRule="auto"/>
        <w:jc w:val="both"/>
        <w:rPr>
          <w:rFonts w:ascii="Calibri" w:hAnsi="Calibri" w:cs="Calibri"/>
          <w:sz w:val="22"/>
          <w:szCs w:val="22"/>
          <w:lang w:val="en-GB"/>
        </w:rPr>
      </w:pPr>
      <w:r w:rsidRPr="003444E4">
        <w:rPr>
          <w:rFonts w:ascii="Calibri" w:hAnsi="Calibri" w:cs="Calibri"/>
          <w:sz w:val="22"/>
          <w:szCs w:val="22"/>
          <w:lang w:val="en-GB"/>
        </w:rPr>
        <w:t>However, developments in short-term price indicators suggest a reversal of the easing observed in January. The Consumer Price Index (CPI) increased to 130.0 in February 2026, from 127.4 in January, indicating a rise in the general price level. Correspondingly, month-on-month headline inflation rose sharply to 2.01 per cent in February, compared with a contraction of –2.88 per cent in January, suggesting a renewed increase in the average price of goods and services within the period.</w:t>
      </w:r>
    </w:p>
    <w:p w14:paraId="6F51BA93" w14:textId="77777777" w:rsidR="003444E4" w:rsidRPr="003444E4" w:rsidRDefault="003444E4" w:rsidP="003444E4">
      <w:pPr>
        <w:spacing w:after="160" w:line="259" w:lineRule="auto"/>
        <w:jc w:val="both"/>
        <w:rPr>
          <w:rFonts w:asciiTheme="minorHAnsi" w:hAnsiTheme="minorHAnsi"/>
          <w:sz w:val="22"/>
          <w:szCs w:val="22"/>
          <w:lang w:val="en-GB" w:eastAsia="en-US"/>
        </w:rPr>
      </w:pPr>
      <w:proofErr w:type="spellStart"/>
      <w:r w:rsidRPr="003444E4">
        <w:rPr>
          <w:rFonts w:ascii="Calibri" w:hAnsi="Calibri"/>
          <w:i/>
          <w:iCs/>
          <w:color w:val="2F5496"/>
          <w:sz w:val="20"/>
          <w:szCs w:val="18"/>
        </w:rPr>
        <w:t>igure</w:t>
      </w:r>
      <w:proofErr w:type="spellEnd"/>
      <w:r w:rsidRPr="003444E4">
        <w:rPr>
          <w:rFonts w:ascii="Calibri" w:hAnsi="Calibri"/>
          <w:i/>
          <w:iCs/>
          <w:color w:val="2F5496"/>
          <w:sz w:val="20"/>
          <w:szCs w:val="18"/>
        </w:rPr>
        <w:t xml:space="preserve"> </w:t>
      </w:r>
      <w:r w:rsidRPr="003444E4">
        <w:rPr>
          <w:rFonts w:ascii="Calibri" w:hAnsi="Calibri"/>
          <w:i/>
          <w:iCs/>
          <w:color w:val="2F5496"/>
          <w:sz w:val="20"/>
          <w:szCs w:val="18"/>
          <w:lang w:val="en-GB"/>
        </w:rPr>
        <w:t>6</w:t>
      </w:r>
      <w:r w:rsidRPr="003444E4">
        <w:rPr>
          <w:rFonts w:ascii="Calibri" w:hAnsi="Calibri"/>
          <w:i/>
          <w:iCs/>
          <w:color w:val="2F5496"/>
          <w:sz w:val="20"/>
          <w:szCs w:val="18"/>
        </w:rPr>
        <w:t xml:space="preserve">: </w:t>
      </w:r>
      <w:r w:rsidRPr="003444E4">
        <w:rPr>
          <w:rFonts w:ascii="Calibri" w:hAnsi="Calibri"/>
          <w:i/>
          <w:iCs/>
          <w:color w:val="2F5496"/>
          <w:sz w:val="20"/>
          <w:szCs w:val="18"/>
          <w:lang w:val="en-GB"/>
        </w:rPr>
        <w:t>Year-on-Year Headline, Food and Core Inflation in Nigeria (Feb. 2025 – Feb. 2026)</w:t>
      </w:r>
    </w:p>
    <w:p w14:paraId="2D6F9EB4" w14:textId="77777777" w:rsidR="003444E4" w:rsidRPr="003444E4" w:rsidRDefault="003444E4" w:rsidP="003444E4">
      <w:pPr>
        <w:spacing w:after="160" w:line="259" w:lineRule="auto"/>
        <w:jc w:val="both"/>
        <w:rPr>
          <w:rFonts w:ascii="Calibri" w:hAnsi="Calibri" w:cs="Calibri"/>
          <w:sz w:val="22"/>
          <w:szCs w:val="22"/>
          <w:lang w:val="en-GB"/>
        </w:rPr>
      </w:pPr>
      <w:r w:rsidRPr="003444E4">
        <w:rPr>
          <w:rFonts w:ascii="Calibri" w:hAnsi="Calibri" w:cs="Calibri"/>
          <w:noProof/>
          <w:sz w:val="22"/>
          <w:szCs w:val="22"/>
          <w:lang w:val="en-GB"/>
        </w:rPr>
        <w:drawing>
          <wp:anchor distT="0" distB="0" distL="114300" distR="114300" simplePos="0" relativeHeight="251663360" behindDoc="0" locked="0" layoutInCell="1" allowOverlap="1" wp14:anchorId="465CDF6B" wp14:editId="73F3DE4A">
            <wp:simplePos x="0" y="0"/>
            <wp:positionH relativeFrom="margin">
              <wp:posOffset>-57150</wp:posOffset>
            </wp:positionH>
            <wp:positionV relativeFrom="paragraph">
              <wp:posOffset>5715</wp:posOffset>
            </wp:positionV>
            <wp:extent cx="3117487" cy="1966595"/>
            <wp:effectExtent l="0" t="0" r="698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1691"/>
                    <a:stretch/>
                  </pic:blipFill>
                  <pic:spPr bwMode="auto">
                    <a:xfrm>
                      <a:off x="0" y="0"/>
                      <a:ext cx="3117487" cy="1966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281843" w14:textId="77777777" w:rsidR="003444E4" w:rsidRPr="003444E4" w:rsidRDefault="003444E4" w:rsidP="003444E4">
      <w:pPr>
        <w:spacing w:after="160" w:line="259" w:lineRule="auto"/>
        <w:jc w:val="both"/>
        <w:rPr>
          <w:rFonts w:ascii="Calibri" w:hAnsi="Calibri" w:cs="Calibri"/>
          <w:sz w:val="22"/>
          <w:szCs w:val="22"/>
          <w:lang w:val="en-GB"/>
        </w:rPr>
      </w:pPr>
    </w:p>
    <w:p w14:paraId="53379702" w14:textId="77777777" w:rsidR="003444E4" w:rsidRPr="003444E4" w:rsidRDefault="003444E4" w:rsidP="003444E4">
      <w:pPr>
        <w:spacing w:after="160" w:line="259" w:lineRule="auto"/>
        <w:jc w:val="both"/>
        <w:rPr>
          <w:rFonts w:ascii="Calibri" w:hAnsi="Calibri" w:cs="Calibri"/>
          <w:sz w:val="22"/>
          <w:szCs w:val="22"/>
          <w:lang w:val="en-GB"/>
        </w:rPr>
      </w:pPr>
    </w:p>
    <w:p w14:paraId="16A90B4F" w14:textId="77777777" w:rsidR="003444E4" w:rsidRPr="003444E4" w:rsidRDefault="003444E4" w:rsidP="003444E4">
      <w:pPr>
        <w:spacing w:after="160" w:line="259" w:lineRule="auto"/>
        <w:jc w:val="both"/>
        <w:rPr>
          <w:rFonts w:ascii="Calibri" w:hAnsi="Calibri" w:cs="Calibri"/>
          <w:sz w:val="22"/>
          <w:szCs w:val="22"/>
          <w:lang w:val="en-GB"/>
        </w:rPr>
      </w:pPr>
    </w:p>
    <w:p w14:paraId="6E239888" w14:textId="77777777" w:rsidR="003444E4" w:rsidRPr="003444E4" w:rsidRDefault="003444E4" w:rsidP="003444E4">
      <w:pPr>
        <w:spacing w:after="160" w:line="259" w:lineRule="auto"/>
        <w:jc w:val="both"/>
        <w:rPr>
          <w:rFonts w:ascii="Calibri" w:hAnsi="Calibri" w:cs="Calibri"/>
          <w:sz w:val="22"/>
          <w:szCs w:val="22"/>
          <w:lang w:val="en-GB"/>
        </w:rPr>
      </w:pPr>
    </w:p>
    <w:p w14:paraId="669F9A81" w14:textId="77777777" w:rsidR="003444E4" w:rsidRPr="003444E4" w:rsidRDefault="003444E4" w:rsidP="003444E4">
      <w:pPr>
        <w:spacing w:after="160" w:line="259" w:lineRule="auto"/>
        <w:jc w:val="both"/>
        <w:rPr>
          <w:rFonts w:ascii="Calibri" w:hAnsi="Calibri" w:cs="Calibri"/>
          <w:sz w:val="22"/>
          <w:szCs w:val="22"/>
          <w:lang w:val="en-GB"/>
        </w:rPr>
      </w:pPr>
    </w:p>
    <w:p w14:paraId="13F745DF" w14:textId="77777777" w:rsidR="003444E4" w:rsidRPr="003444E4" w:rsidRDefault="003444E4" w:rsidP="003444E4">
      <w:pPr>
        <w:spacing w:after="160" w:line="259" w:lineRule="auto"/>
        <w:jc w:val="both"/>
        <w:rPr>
          <w:rFonts w:ascii="Calibri" w:hAnsi="Calibri" w:cs="Calibri"/>
          <w:sz w:val="22"/>
          <w:szCs w:val="22"/>
          <w:lang w:val="en-GB"/>
        </w:rPr>
      </w:pPr>
    </w:p>
    <w:p w14:paraId="10402AEC" w14:textId="77777777" w:rsidR="003444E4" w:rsidRPr="003444E4" w:rsidRDefault="003444E4" w:rsidP="003444E4">
      <w:pPr>
        <w:spacing w:after="160" w:line="259" w:lineRule="auto"/>
        <w:jc w:val="both"/>
        <w:rPr>
          <w:rFonts w:ascii="Calibri" w:hAnsi="Calibri" w:cs="Calibri"/>
          <w:sz w:val="22"/>
          <w:szCs w:val="22"/>
          <w:lang w:val="en-GB"/>
        </w:rPr>
      </w:pPr>
      <w:r w:rsidRPr="003444E4">
        <w:rPr>
          <w:rFonts w:ascii="Calibri" w:hAnsi="Calibri"/>
          <w:b/>
          <w:bCs/>
          <w:color w:val="2F5496"/>
          <w:sz w:val="18"/>
          <w:szCs w:val="16"/>
        </w:rPr>
        <w:t xml:space="preserve">Source: </w:t>
      </w:r>
      <w:r w:rsidRPr="003444E4">
        <w:rPr>
          <w:rFonts w:ascii="Calibri" w:hAnsi="Calibri"/>
          <w:color w:val="2F5496"/>
          <w:sz w:val="18"/>
          <w:szCs w:val="16"/>
        </w:rPr>
        <w:t>National Bureau of Statistics (NBS</w:t>
      </w:r>
    </w:p>
    <w:p w14:paraId="08BB47F9" w14:textId="77777777" w:rsidR="003444E4" w:rsidRPr="003444E4" w:rsidRDefault="003444E4" w:rsidP="003444E4">
      <w:pPr>
        <w:spacing w:after="160" w:line="259" w:lineRule="auto"/>
        <w:jc w:val="both"/>
        <w:rPr>
          <w:rFonts w:ascii="Calibri" w:hAnsi="Calibri" w:cs="Calibri"/>
          <w:sz w:val="22"/>
          <w:szCs w:val="22"/>
          <w:lang w:val="en-GB"/>
        </w:rPr>
      </w:pPr>
    </w:p>
    <w:p w14:paraId="13C4E3B1" w14:textId="77777777" w:rsidR="003444E4" w:rsidRPr="003444E4" w:rsidRDefault="003444E4" w:rsidP="003444E4">
      <w:pPr>
        <w:spacing w:after="160" w:line="259" w:lineRule="auto"/>
        <w:jc w:val="both"/>
        <w:rPr>
          <w:rFonts w:ascii="Calibri" w:hAnsi="Calibri" w:cs="Calibri"/>
          <w:sz w:val="22"/>
          <w:szCs w:val="22"/>
          <w:lang w:val="en-GB"/>
        </w:rPr>
      </w:pPr>
      <w:r w:rsidRPr="003444E4">
        <w:rPr>
          <w:rFonts w:ascii="Calibri" w:hAnsi="Calibri" w:cs="Calibri"/>
          <w:sz w:val="22"/>
          <w:szCs w:val="22"/>
          <w:lang w:val="en-GB"/>
        </w:rPr>
        <w:t>Food inflation continued to show significant moderation on a year-on-year basis but exhibited upward pressure on a month-on-month basis. Food inflation declined to 12.12 per cent year-on-year in February 2026, compared with 26.98 per cent in February 2025, indicating improved price conditions relative to the previous year. However, on a month-on-month basis, food inflation increased markedly to 4.69 per cent in February, from a decline of –6.02 per cent in January. This increase was driven by rising prices of key food items such as beans, cassava tubers, yam flour, millet flour, crayfish, and other staples, reflecting renewed pressures in food supply and distribution.</w:t>
      </w:r>
    </w:p>
    <w:p w14:paraId="035FB4AD" w14:textId="77777777" w:rsidR="003444E4" w:rsidRPr="003444E4" w:rsidRDefault="003444E4" w:rsidP="003444E4">
      <w:pPr>
        <w:spacing w:after="160" w:line="259" w:lineRule="auto"/>
        <w:jc w:val="both"/>
        <w:rPr>
          <w:rFonts w:ascii="Calibri" w:hAnsi="Calibri" w:cs="Calibri"/>
          <w:sz w:val="22"/>
          <w:szCs w:val="22"/>
          <w:lang w:val="en-GB"/>
        </w:rPr>
      </w:pPr>
      <w:r w:rsidRPr="003444E4">
        <w:rPr>
          <w:rFonts w:ascii="Calibri" w:hAnsi="Calibri" w:cs="Calibri"/>
          <w:sz w:val="22"/>
          <w:szCs w:val="22"/>
          <w:lang w:val="en-GB"/>
        </w:rPr>
        <w:t>Core inflation also followed a similar pattern. On a year-on-year basis, core inflation declined to 15.88 per cent in February 2026, compared with 25.66 per cent in February 2025, indicating moderation in underlying inflationary pressures. However, on a month-on-month basis, core inflation increased to 0.89 per cent in February, compared with a decline of –1.69 per cent in January, suggesting a pickup in price pressures across non-food items.</w:t>
      </w:r>
    </w:p>
    <w:p w14:paraId="09A30D3E" w14:textId="77777777" w:rsidR="003444E4" w:rsidRPr="003444E4" w:rsidRDefault="003444E4" w:rsidP="003444E4">
      <w:pPr>
        <w:spacing w:after="160" w:line="259" w:lineRule="auto"/>
        <w:jc w:val="both"/>
        <w:rPr>
          <w:rFonts w:ascii="Calibri" w:hAnsi="Calibri" w:cs="Calibri"/>
          <w:sz w:val="22"/>
          <w:szCs w:val="22"/>
          <w:lang w:val="en-GB" w:eastAsia="en-US"/>
        </w:rPr>
      </w:pPr>
      <w:r w:rsidRPr="003444E4">
        <w:rPr>
          <w:rFonts w:ascii="Calibri" w:hAnsi="Calibri" w:cs="Calibri"/>
          <w:sz w:val="22"/>
          <w:szCs w:val="22"/>
          <w:lang w:val="en-GB"/>
        </w:rPr>
        <w:t>Overall, a comparative assessment of inflation developments between January and February 2026 indicates that while headline inflation continued its gradual moderation on a year-on-year basis, short-term price dynamics strengthened during the period, reflecting a shift from the temporary easing observed in January to a renewed uptick in price pressures in February.</w:t>
      </w:r>
    </w:p>
    <w:p w14:paraId="4F3FC66F" w14:textId="77777777" w:rsidR="003444E4" w:rsidRPr="003444E4" w:rsidRDefault="003444E4" w:rsidP="003444E4">
      <w:pPr>
        <w:pStyle w:val="Heading1"/>
        <w:rPr>
          <w:rFonts w:ascii="Calibri" w:hAnsi="Calibri" w:cs="Calibri"/>
          <w:color w:val="auto"/>
          <w:sz w:val="22"/>
          <w:szCs w:val="22"/>
          <w:lang w:val="en-GB"/>
        </w:rPr>
      </w:pPr>
    </w:p>
    <w:p w14:paraId="5CAC7207" w14:textId="77777777" w:rsidR="003444E4" w:rsidRPr="003444E4" w:rsidRDefault="003444E4" w:rsidP="003444E4">
      <w:pPr>
        <w:pStyle w:val="NoSpacing"/>
        <w:rPr>
          <w:color w:val="2F5496" w:themeColor="accent1" w:themeShade="BF"/>
          <w:sz w:val="28"/>
          <w:szCs w:val="28"/>
        </w:rPr>
      </w:pPr>
      <w:r w:rsidRPr="003444E4">
        <w:rPr>
          <w:color w:val="2F5496" w:themeColor="accent1" w:themeShade="BF"/>
          <w:sz w:val="28"/>
          <w:szCs w:val="28"/>
        </w:rPr>
        <w:t>Fiscal Operations Update</w:t>
      </w:r>
    </w:p>
    <w:p w14:paraId="5E9F7159" w14:textId="77777777" w:rsidR="003444E4" w:rsidRPr="003444E4" w:rsidRDefault="003444E4" w:rsidP="003444E4">
      <w:pPr>
        <w:pStyle w:val="NoSpacing"/>
        <w:jc w:val="both"/>
      </w:pPr>
      <w:r w:rsidRPr="003444E4">
        <w:t xml:space="preserve">The fiscal operations of the Nigerian government in early 2026 reflected a moderation in Federation Account inflows, following the relatively stronger outturn recorded in the preceding period. The Federation Account Allocation Committee (FAAC) disbursed a total of ₦1.894 trillion to the three </w:t>
      </w:r>
      <w:r w:rsidRPr="003444E4">
        <w:t>tiers of government for February 2026, representing a decline compared with the ₦1.969 trillion distributed in December 2025. The reduction in allocations underscores the continued volatility in revenue inflows, driven largely by mixed performance across both oil and non-oil revenue sources.</w:t>
      </w:r>
    </w:p>
    <w:p w14:paraId="25CC585F" w14:textId="77777777" w:rsidR="003444E4" w:rsidRPr="003444E4" w:rsidRDefault="003444E4" w:rsidP="003444E4">
      <w:pPr>
        <w:pStyle w:val="NoSpacing"/>
        <w:jc w:val="both"/>
      </w:pPr>
      <w:r w:rsidRPr="003444E4">
        <w:t>The total distributable revenue of ₦1.894 trillion was derived from a gross Federation revenue of ₦2.230 trillion, comprising ₦1.274 trillion in statutory revenue and ₦619.119 billion from Value Added Tax (VAT). This composition highlights the continued importance of both oil-related revenues and domestic tax mobilisation in sustaining Federation inflows, albeit with varying performance across components.</w:t>
      </w:r>
    </w:p>
    <w:p w14:paraId="2B6703B6" w14:textId="77777777" w:rsidR="003444E4" w:rsidRPr="003444E4" w:rsidRDefault="003444E4" w:rsidP="003444E4">
      <w:pPr>
        <w:pStyle w:val="NoSpacing"/>
        <w:jc w:val="both"/>
      </w:pPr>
      <w:r w:rsidRPr="003444E4">
        <w:t>From the distributable pool, the Federal Government received ₦675.09 billion, State Governments received ₦651.53 billion, while Local Government Councils were allocated ₦456.47 billion. In addition, oil-producing states received ₦110.95 billion as 13 per cent derivation revenue. The distribution pattern indicates a relatively balanced allocation across the three tiers of government, with subnational governments continuing to account for a significant share of total disbursements.</w:t>
      </w:r>
    </w:p>
    <w:tbl>
      <w:tblPr>
        <w:tblpPr w:leftFromText="180" w:rightFromText="180" w:vertAnchor="text" w:tblpY="119"/>
        <w:tblW w:w="4604" w:type="dxa"/>
        <w:tblBorders>
          <w:bottom w:val="single" w:sz="4" w:space="0" w:color="000000"/>
        </w:tblBorders>
        <w:tblLayout w:type="fixed"/>
        <w:tblLook w:val="04A0" w:firstRow="1" w:lastRow="0" w:firstColumn="1" w:lastColumn="0" w:noHBand="0" w:noVBand="1"/>
      </w:tblPr>
      <w:tblGrid>
        <w:gridCol w:w="709"/>
        <w:gridCol w:w="1413"/>
        <w:gridCol w:w="1275"/>
        <w:gridCol w:w="1207"/>
      </w:tblGrid>
      <w:tr w:rsidR="003444E4" w:rsidRPr="003444E4" w14:paraId="4B6E8710" w14:textId="77777777" w:rsidTr="00CA4198">
        <w:trPr>
          <w:trHeight w:val="200"/>
        </w:trPr>
        <w:tc>
          <w:tcPr>
            <w:tcW w:w="4604" w:type="dxa"/>
            <w:gridSpan w:val="4"/>
            <w:tcBorders>
              <w:bottom w:val="single" w:sz="4" w:space="0" w:color="000000"/>
            </w:tcBorders>
          </w:tcPr>
          <w:p w14:paraId="2A0636BC" w14:textId="77777777" w:rsidR="003444E4" w:rsidRPr="003444E4" w:rsidRDefault="003444E4" w:rsidP="00CA4198">
            <w:pPr>
              <w:spacing w:line="259" w:lineRule="auto"/>
              <w:ind w:left="993" w:hanging="993"/>
              <w:jc w:val="both"/>
              <w:rPr>
                <w:rFonts w:ascii="Calibri" w:hAnsi="Calibri"/>
                <w:b/>
                <w:bCs/>
                <w:color w:val="000000"/>
                <w:sz w:val="20"/>
                <w:szCs w:val="20"/>
              </w:rPr>
            </w:pPr>
            <w:r w:rsidRPr="003444E4">
              <w:rPr>
                <w:rFonts w:ascii="Calibri" w:hAnsi="Calibri"/>
                <w:b/>
                <w:bCs/>
                <w:i/>
                <w:color w:val="2F5496"/>
                <w:sz w:val="18"/>
                <w:szCs w:val="18"/>
              </w:rPr>
              <w:t xml:space="preserve">Table </w:t>
            </w:r>
            <w:r w:rsidRPr="003444E4">
              <w:rPr>
                <w:rFonts w:ascii="Calibri" w:hAnsi="Calibri"/>
                <w:b/>
                <w:bCs/>
                <w:i/>
                <w:color w:val="2F5496"/>
                <w:sz w:val="18"/>
                <w:szCs w:val="18"/>
                <w:lang w:val="en-GB"/>
              </w:rPr>
              <w:t>1</w:t>
            </w:r>
            <w:r w:rsidRPr="003444E4">
              <w:rPr>
                <w:rFonts w:ascii="Calibri" w:hAnsi="Calibri"/>
                <w:b/>
                <w:bCs/>
                <w:i/>
                <w:color w:val="2F5496"/>
                <w:sz w:val="18"/>
                <w:szCs w:val="18"/>
              </w:rPr>
              <w:t xml:space="preserve">: Highlight of </w:t>
            </w:r>
            <w:r w:rsidRPr="003444E4">
              <w:rPr>
                <w:rFonts w:ascii="Calibri" w:hAnsi="Calibri"/>
                <w:b/>
                <w:bCs/>
                <w:i/>
                <w:color w:val="2F5496"/>
                <w:sz w:val="18"/>
                <w:szCs w:val="18"/>
                <w:lang w:val="en-GB"/>
              </w:rPr>
              <w:t xml:space="preserve">March </w:t>
            </w:r>
            <w:r w:rsidRPr="003444E4">
              <w:rPr>
                <w:rFonts w:ascii="Calibri" w:hAnsi="Calibri"/>
                <w:b/>
                <w:bCs/>
                <w:i/>
                <w:color w:val="2F5496"/>
                <w:sz w:val="18"/>
                <w:szCs w:val="18"/>
              </w:rPr>
              <w:t>202</w:t>
            </w:r>
            <w:r w:rsidRPr="003444E4">
              <w:rPr>
                <w:rFonts w:ascii="Calibri" w:hAnsi="Calibri"/>
                <w:b/>
                <w:bCs/>
                <w:i/>
                <w:color w:val="2F5496"/>
                <w:sz w:val="18"/>
                <w:szCs w:val="18"/>
                <w:lang w:val="en-GB"/>
              </w:rPr>
              <w:t xml:space="preserve">6 </w:t>
            </w:r>
            <w:r w:rsidRPr="003444E4">
              <w:rPr>
                <w:rFonts w:ascii="Calibri" w:hAnsi="Calibri"/>
                <w:b/>
                <w:bCs/>
                <w:i/>
                <w:color w:val="2F5496"/>
                <w:sz w:val="18"/>
                <w:szCs w:val="18"/>
              </w:rPr>
              <w:t xml:space="preserve">FAAC </w:t>
            </w:r>
            <w:proofErr w:type="spellStart"/>
            <w:r w:rsidRPr="003444E4">
              <w:rPr>
                <w:rFonts w:ascii="Calibri" w:hAnsi="Calibri"/>
                <w:b/>
                <w:bCs/>
                <w:i/>
                <w:color w:val="2F5496"/>
                <w:sz w:val="18"/>
                <w:szCs w:val="18"/>
              </w:rPr>
              <w:t>Distr</w:t>
            </w:r>
            <w:proofErr w:type="spellEnd"/>
            <w:r w:rsidRPr="003444E4">
              <w:rPr>
                <w:rFonts w:ascii="Calibri" w:hAnsi="Calibri"/>
                <w:b/>
                <w:bCs/>
                <w:i/>
                <w:color w:val="2F5496"/>
                <w:sz w:val="18"/>
                <w:szCs w:val="18"/>
              </w:rPr>
              <w:t xml:space="preserve"> (</w:t>
            </w:r>
            <w:proofErr w:type="spellStart"/>
            <w:r w:rsidRPr="003444E4">
              <w:rPr>
                <w:rFonts w:ascii="Calibri" w:hAnsi="Calibri"/>
                <w:b/>
                <w:bCs/>
                <w:i/>
                <w:color w:val="2F5496"/>
                <w:sz w:val="18"/>
                <w:szCs w:val="18"/>
              </w:rPr>
              <w:t>N’billion</w:t>
            </w:r>
            <w:proofErr w:type="spellEnd"/>
            <w:r w:rsidRPr="003444E4">
              <w:rPr>
                <w:rFonts w:ascii="Calibri" w:hAnsi="Calibri"/>
                <w:b/>
                <w:bCs/>
                <w:i/>
                <w:color w:val="2F5496"/>
                <w:sz w:val="18"/>
                <w:szCs w:val="18"/>
              </w:rPr>
              <w:t>)</w:t>
            </w:r>
          </w:p>
        </w:tc>
      </w:tr>
      <w:tr w:rsidR="003444E4" w:rsidRPr="003444E4" w14:paraId="2B2035B6" w14:textId="77777777" w:rsidTr="00CA4198">
        <w:trPr>
          <w:trHeight w:val="200"/>
        </w:trPr>
        <w:tc>
          <w:tcPr>
            <w:tcW w:w="709" w:type="dxa"/>
            <w:tcBorders>
              <w:top w:val="single" w:sz="4" w:space="0" w:color="000000"/>
              <w:bottom w:val="single" w:sz="4" w:space="0" w:color="000000"/>
            </w:tcBorders>
          </w:tcPr>
          <w:p w14:paraId="6A405690" w14:textId="77777777" w:rsidR="003444E4" w:rsidRPr="003444E4" w:rsidRDefault="003444E4" w:rsidP="00CA4198">
            <w:pPr>
              <w:rPr>
                <w:rFonts w:ascii="Calibri" w:hAnsi="Calibri"/>
                <w:b/>
                <w:color w:val="C55911"/>
              </w:rPr>
            </w:pPr>
          </w:p>
        </w:tc>
        <w:tc>
          <w:tcPr>
            <w:tcW w:w="1413" w:type="dxa"/>
            <w:tcBorders>
              <w:top w:val="nil"/>
              <w:left w:val="nil"/>
              <w:bottom w:val="single" w:sz="8" w:space="0" w:color="000000"/>
              <w:right w:val="nil"/>
            </w:tcBorders>
            <w:vAlign w:val="center"/>
          </w:tcPr>
          <w:p w14:paraId="4145C5C7" w14:textId="77777777" w:rsidR="003444E4" w:rsidRPr="003444E4" w:rsidRDefault="003444E4" w:rsidP="00CA4198">
            <w:pPr>
              <w:jc w:val="center"/>
              <w:rPr>
                <w:rFonts w:ascii="Calibri" w:hAnsi="Calibri"/>
                <w:b/>
                <w:color w:val="C55911"/>
                <w:lang w:val="en-GB"/>
              </w:rPr>
            </w:pPr>
            <w:r w:rsidRPr="003444E4">
              <w:rPr>
                <w:rFonts w:ascii="Calibri" w:hAnsi="Calibri" w:cs="Calibri"/>
                <w:b/>
                <w:bCs/>
                <w:color w:val="C55911"/>
                <w:sz w:val="22"/>
                <w:szCs w:val="22"/>
                <w:lang w:val="en-GB"/>
              </w:rPr>
              <w:t>March 2026</w:t>
            </w:r>
          </w:p>
        </w:tc>
        <w:tc>
          <w:tcPr>
            <w:tcW w:w="1275" w:type="dxa"/>
            <w:tcBorders>
              <w:top w:val="nil"/>
              <w:left w:val="nil"/>
              <w:bottom w:val="single" w:sz="8" w:space="0" w:color="000000"/>
              <w:right w:val="nil"/>
            </w:tcBorders>
            <w:vAlign w:val="center"/>
          </w:tcPr>
          <w:p w14:paraId="2CC1399D" w14:textId="77777777" w:rsidR="003444E4" w:rsidRPr="003444E4" w:rsidRDefault="003444E4" w:rsidP="00CA4198">
            <w:pPr>
              <w:jc w:val="center"/>
              <w:rPr>
                <w:rFonts w:ascii="Calibri" w:hAnsi="Calibri"/>
                <w:b/>
                <w:color w:val="C55911"/>
              </w:rPr>
            </w:pPr>
            <w:r w:rsidRPr="003444E4">
              <w:rPr>
                <w:rFonts w:ascii="Calibri" w:hAnsi="Calibri" w:cs="Calibri"/>
                <w:b/>
                <w:bCs/>
                <w:color w:val="C55911"/>
                <w:sz w:val="22"/>
                <w:szCs w:val="22"/>
                <w:lang w:val="en-GB"/>
              </w:rPr>
              <w:t>Dec</w:t>
            </w:r>
            <w:r w:rsidRPr="003444E4">
              <w:rPr>
                <w:rFonts w:ascii="Calibri" w:hAnsi="Calibri" w:cs="Calibri"/>
                <w:b/>
                <w:bCs/>
                <w:color w:val="C55911"/>
                <w:sz w:val="22"/>
                <w:szCs w:val="22"/>
              </w:rPr>
              <w:t>. 2025</w:t>
            </w:r>
          </w:p>
        </w:tc>
        <w:tc>
          <w:tcPr>
            <w:tcW w:w="1207" w:type="dxa"/>
            <w:tcBorders>
              <w:top w:val="single" w:sz="4" w:space="0" w:color="000000"/>
              <w:bottom w:val="single" w:sz="4" w:space="0" w:color="000000"/>
            </w:tcBorders>
            <w:vAlign w:val="bottom"/>
          </w:tcPr>
          <w:p w14:paraId="0BCBF91B" w14:textId="77777777" w:rsidR="003444E4" w:rsidRPr="003444E4" w:rsidRDefault="003444E4" w:rsidP="00CA4198">
            <w:pPr>
              <w:jc w:val="center"/>
              <w:rPr>
                <w:rFonts w:ascii="Calibri" w:hAnsi="Calibri"/>
                <w:b/>
                <w:color w:val="C55911"/>
              </w:rPr>
            </w:pPr>
            <w:r w:rsidRPr="003444E4">
              <w:rPr>
                <w:rFonts w:ascii="Calibri" w:hAnsi="Calibri"/>
                <w:b/>
                <w:color w:val="C55911"/>
                <w:sz w:val="22"/>
                <w:szCs w:val="22"/>
              </w:rPr>
              <w:t>% Change</w:t>
            </w:r>
          </w:p>
        </w:tc>
      </w:tr>
      <w:tr w:rsidR="003444E4" w:rsidRPr="003444E4" w14:paraId="62C6EFCF" w14:textId="77777777" w:rsidTr="00CA4198">
        <w:trPr>
          <w:trHeight w:val="139"/>
        </w:trPr>
        <w:tc>
          <w:tcPr>
            <w:tcW w:w="709" w:type="dxa"/>
            <w:tcBorders>
              <w:top w:val="nil"/>
              <w:left w:val="nil"/>
              <w:bottom w:val="nil"/>
              <w:right w:val="nil"/>
            </w:tcBorders>
            <w:vAlign w:val="center"/>
          </w:tcPr>
          <w:p w14:paraId="0DB943BD" w14:textId="77777777" w:rsidR="003444E4" w:rsidRPr="003444E4" w:rsidRDefault="003444E4" w:rsidP="00CA4198">
            <w:pPr>
              <w:rPr>
                <w:rFonts w:ascii="Calibri" w:hAnsi="Calibri"/>
                <w:i/>
                <w:color w:val="000000"/>
              </w:rPr>
            </w:pPr>
            <w:r w:rsidRPr="003444E4">
              <w:rPr>
                <w:rFonts w:ascii="Calibri" w:hAnsi="Calibri" w:cs="Calibri" w:hint="eastAsia"/>
                <w:i/>
                <w:iCs/>
                <w:color w:val="000000"/>
                <w:sz w:val="22"/>
                <w:szCs w:val="22"/>
                <w:lang w:eastAsia="zh-CN"/>
              </w:rPr>
              <w:t>Fed.</w:t>
            </w:r>
          </w:p>
        </w:tc>
        <w:tc>
          <w:tcPr>
            <w:tcW w:w="1413" w:type="dxa"/>
            <w:tcBorders>
              <w:top w:val="nil"/>
              <w:left w:val="nil"/>
              <w:bottom w:val="nil"/>
              <w:right w:val="nil"/>
            </w:tcBorders>
            <w:vAlign w:val="center"/>
          </w:tcPr>
          <w:p w14:paraId="17685B1E" w14:textId="77777777" w:rsidR="003444E4" w:rsidRPr="003444E4" w:rsidRDefault="003444E4" w:rsidP="00CA4198">
            <w:pPr>
              <w:jc w:val="center"/>
              <w:rPr>
                <w:rFonts w:ascii="Calibri" w:hAnsi="Calibri"/>
                <w:i/>
                <w:iCs/>
                <w:color w:val="000000"/>
                <w:lang w:val="en-GB"/>
              </w:rPr>
            </w:pPr>
            <w:r w:rsidRPr="003444E4">
              <w:rPr>
                <w:rFonts w:ascii="Calibri" w:hAnsi="Calibri" w:cs="Calibri"/>
                <w:i/>
                <w:iCs/>
                <w:color w:val="000000"/>
                <w:sz w:val="22"/>
                <w:szCs w:val="22"/>
                <w:lang w:val="en-GB"/>
              </w:rPr>
              <w:t>675.09</w:t>
            </w:r>
          </w:p>
        </w:tc>
        <w:tc>
          <w:tcPr>
            <w:tcW w:w="1275" w:type="dxa"/>
            <w:tcBorders>
              <w:top w:val="nil"/>
              <w:left w:val="nil"/>
              <w:bottom w:val="nil"/>
              <w:right w:val="nil"/>
            </w:tcBorders>
            <w:vAlign w:val="center"/>
          </w:tcPr>
          <w:p w14:paraId="197C3CE2" w14:textId="77777777" w:rsidR="003444E4" w:rsidRPr="003444E4" w:rsidRDefault="003444E4" w:rsidP="00CA4198">
            <w:pPr>
              <w:jc w:val="center"/>
              <w:rPr>
                <w:rFonts w:ascii="Calibri" w:hAnsi="Calibri"/>
                <w:i/>
                <w:color w:val="000000"/>
              </w:rPr>
            </w:pPr>
            <w:r w:rsidRPr="003444E4">
              <w:rPr>
                <w:rFonts w:ascii="Calibri" w:hAnsi="Calibri" w:cs="Calibri"/>
                <w:i/>
                <w:iCs/>
                <w:color w:val="000000"/>
                <w:sz w:val="22"/>
                <w:szCs w:val="22"/>
                <w:lang w:val="en-GB"/>
              </w:rPr>
              <w:t>653.5</w:t>
            </w:r>
          </w:p>
        </w:tc>
        <w:tc>
          <w:tcPr>
            <w:tcW w:w="1207" w:type="dxa"/>
            <w:tcBorders>
              <w:top w:val="nil"/>
              <w:left w:val="nil"/>
              <w:bottom w:val="nil"/>
              <w:right w:val="nil"/>
            </w:tcBorders>
            <w:vAlign w:val="center"/>
          </w:tcPr>
          <w:p w14:paraId="4E38594E" w14:textId="77777777" w:rsidR="003444E4" w:rsidRPr="003444E4" w:rsidRDefault="003444E4" w:rsidP="00CA4198">
            <w:pPr>
              <w:jc w:val="center"/>
              <w:rPr>
                <w:rFonts w:asciiTheme="minorHAnsi" w:hAnsiTheme="minorHAnsi" w:cstheme="minorHAnsi"/>
                <w:b/>
                <w:bCs/>
                <w:i/>
                <w:iCs/>
                <w:color w:val="000000"/>
                <w:sz w:val="22"/>
                <w:szCs w:val="22"/>
              </w:rPr>
            </w:pPr>
            <w:r w:rsidRPr="003444E4">
              <w:rPr>
                <w:rFonts w:ascii="Calibri" w:hAnsi="Calibri" w:cs="Calibri" w:hint="eastAsia"/>
                <w:b/>
                <w:bCs/>
                <w:i/>
                <w:iCs/>
                <w:color w:val="000000"/>
                <w:sz w:val="22"/>
                <w:szCs w:val="22"/>
                <w:lang w:eastAsia="zh-CN"/>
              </w:rPr>
              <w:t>3.3</w:t>
            </w:r>
          </w:p>
        </w:tc>
      </w:tr>
      <w:tr w:rsidR="003444E4" w:rsidRPr="003444E4" w14:paraId="41A1A2E5" w14:textId="77777777" w:rsidTr="00CA4198">
        <w:trPr>
          <w:trHeight w:val="139"/>
        </w:trPr>
        <w:tc>
          <w:tcPr>
            <w:tcW w:w="709" w:type="dxa"/>
            <w:tcBorders>
              <w:top w:val="nil"/>
              <w:left w:val="nil"/>
              <w:bottom w:val="nil"/>
              <w:right w:val="nil"/>
            </w:tcBorders>
            <w:vAlign w:val="center"/>
          </w:tcPr>
          <w:p w14:paraId="04EAB650" w14:textId="77777777" w:rsidR="003444E4" w:rsidRPr="003444E4" w:rsidRDefault="003444E4" w:rsidP="00CA4198">
            <w:pPr>
              <w:rPr>
                <w:rFonts w:ascii="Calibri" w:hAnsi="Calibri"/>
                <w:i/>
                <w:color w:val="000000"/>
              </w:rPr>
            </w:pPr>
            <w:r w:rsidRPr="003444E4">
              <w:rPr>
                <w:rFonts w:ascii="Calibri" w:hAnsi="Calibri" w:cs="Calibri" w:hint="eastAsia"/>
                <w:i/>
                <w:iCs/>
                <w:color w:val="000000"/>
                <w:sz w:val="22"/>
                <w:szCs w:val="22"/>
                <w:lang w:eastAsia="zh-CN"/>
              </w:rPr>
              <w:t>State</w:t>
            </w:r>
          </w:p>
        </w:tc>
        <w:tc>
          <w:tcPr>
            <w:tcW w:w="1413" w:type="dxa"/>
            <w:tcBorders>
              <w:top w:val="nil"/>
              <w:left w:val="nil"/>
              <w:bottom w:val="nil"/>
              <w:right w:val="nil"/>
            </w:tcBorders>
            <w:vAlign w:val="center"/>
          </w:tcPr>
          <w:p w14:paraId="3B60D3EF" w14:textId="77777777" w:rsidR="003444E4" w:rsidRPr="003444E4" w:rsidRDefault="003444E4" w:rsidP="00CA4198">
            <w:pPr>
              <w:jc w:val="center"/>
              <w:rPr>
                <w:rFonts w:ascii="Calibri" w:hAnsi="Calibri"/>
                <w:i/>
                <w:iCs/>
                <w:color w:val="000000"/>
                <w:lang w:val="en-GB"/>
              </w:rPr>
            </w:pPr>
            <w:r w:rsidRPr="003444E4">
              <w:rPr>
                <w:rFonts w:ascii="Calibri" w:hAnsi="Calibri" w:cs="Calibri"/>
                <w:i/>
                <w:iCs/>
                <w:color w:val="000000"/>
                <w:sz w:val="22"/>
                <w:szCs w:val="22"/>
                <w:lang w:val="en-GB"/>
              </w:rPr>
              <w:t>651.53</w:t>
            </w:r>
          </w:p>
        </w:tc>
        <w:tc>
          <w:tcPr>
            <w:tcW w:w="1275" w:type="dxa"/>
            <w:tcBorders>
              <w:top w:val="nil"/>
              <w:left w:val="nil"/>
              <w:bottom w:val="nil"/>
              <w:right w:val="nil"/>
            </w:tcBorders>
            <w:vAlign w:val="center"/>
          </w:tcPr>
          <w:p w14:paraId="0CAF4C7F" w14:textId="77777777" w:rsidR="003444E4" w:rsidRPr="003444E4" w:rsidRDefault="003444E4" w:rsidP="00CA4198">
            <w:pPr>
              <w:jc w:val="center"/>
              <w:rPr>
                <w:rFonts w:ascii="Calibri" w:hAnsi="Calibri"/>
                <w:i/>
                <w:color w:val="000000"/>
              </w:rPr>
            </w:pPr>
            <w:r w:rsidRPr="003444E4">
              <w:rPr>
                <w:rFonts w:ascii="Calibri" w:hAnsi="Calibri" w:cs="Calibri"/>
                <w:i/>
                <w:iCs/>
                <w:color w:val="000000"/>
                <w:sz w:val="22"/>
                <w:szCs w:val="22"/>
                <w:lang w:val="en-GB"/>
              </w:rPr>
              <w:t>706.47</w:t>
            </w:r>
          </w:p>
        </w:tc>
        <w:tc>
          <w:tcPr>
            <w:tcW w:w="1207" w:type="dxa"/>
            <w:tcBorders>
              <w:top w:val="nil"/>
              <w:left w:val="nil"/>
              <w:bottom w:val="nil"/>
              <w:right w:val="nil"/>
            </w:tcBorders>
            <w:vAlign w:val="center"/>
          </w:tcPr>
          <w:p w14:paraId="3C16615B" w14:textId="77777777" w:rsidR="003444E4" w:rsidRPr="003444E4" w:rsidRDefault="003444E4" w:rsidP="00CA4198">
            <w:pPr>
              <w:jc w:val="center"/>
              <w:rPr>
                <w:rFonts w:asciiTheme="minorHAnsi" w:hAnsiTheme="minorHAnsi" w:cstheme="minorHAnsi"/>
                <w:b/>
                <w:bCs/>
                <w:i/>
                <w:iCs/>
                <w:color w:val="000000"/>
                <w:sz w:val="22"/>
                <w:szCs w:val="22"/>
              </w:rPr>
            </w:pPr>
            <w:r w:rsidRPr="003444E4">
              <w:rPr>
                <w:rFonts w:ascii="Calibri" w:hAnsi="Calibri" w:cs="Calibri" w:hint="eastAsia"/>
                <w:b/>
                <w:bCs/>
                <w:i/>
                <w:iCs/>
                <w:color w:val="000000"/>
                <w:sz w:val="22"/>
                <w:szCs w:val="22"/>
                <w:lang w:eastAsia="zh-CN"/>
              </w:rPr>
              <w:t>-7.8</w:t>
            </w:r>
          </w:p>
        </w:tc>
      </w:tr>
      <w:tr w:rsidR="003444E4" w:rsidRPr="003444E4" w14:paraId="2ED88E71" w14:textId="77777777" w:rsidTr="00CA4198">
        <w:trPr>
          <w:trHeight w:val="139"/>
        </w:trPr>
        <w:tc>
          <w:tcPr>
            <w:tcW w:w="709" w:type="dxa"/>
            <w:tcBorders>
              <w:top w:val="nil"/>
              <w:left w:val="nil"/>
              <w:bottom w:val="nil"/>
              <w:right w:val="nil"/>
            </w:tcBorders>
            <w:vAlign w:val="center"/>
          </w:tcPr>
          <w:p w14:paraId="70F305ED" w14:textId="77777777" w:rsidR="003444E4" w:rsidRPr="003444E4" w:rsidRDefault="003444E4" w:rsidP="00CA4198">
            <w:pPr>
              <w:rPr>
                <w:rFonts w:ascii="Calibri" w:hAnsi="Calibri"/>
                <w:i/>
                <w:color w:val="000000"/>
              </w:rPr>
            </w:pPr>
            <w:r w:rsidRPr="003444E4">
              <w:rPr>
                <w:rFonts w:ascii="Calibri" w:hAnsi="Calibri" w:cs="Calibri" w:hint="eastAsia"/>
                <w:i/>
                <w:iCs/>
                <w:color w:val="000000"/>
                <w:sz w:val="22"/>
                <w:szCs w:val="22"/>
                <w:lang w:eastAsia="zh-CN"/>
              </w:rPr>
              <w:t>LG</w:t>
            </w:r>
          </w:p>
        </w:tc>
        <w:tc>
          <w:tcPr>
            <w:tcW w:w="1413" w:type="dxa"/>
            <w:tcBorders>
              <w:top w:val="nil"/>
              <w:left w:val="nil"/>
              <w:bottom w:val="nil"/>
              <w:right w:val="nil"/>
            </w:tcBorders>
            <w:vAlign w:val="center"/>
          </w:tcPr>
          <w:p w14:paraId="36375407" w14:textId="77777777" w:rsidR="003444E4" w:rsidRPr="003444E4" w:rsidRDefault="003444E4" w:rsidP="00CA4198">
            <w:pPr>
              <w:jc w:val="center"/>
              <w:rPr>
                <w:rFonts w:ascii="Calibri" w:hAnsi="Calibri"/>
                <w:i/>
                <w:iCs/>
                <w:color w:val="000000"/>
                <w:lang w:val="en-GB"/>
              </w:rPr>
            </w:pPr>
            <w:r w:rsidRPr="003444E4">
              <w:rPr>
                <w:rFonts w:ascii="Calibri" w:hAnsi="Calibri" w:cs="Calibri"/>
                <w:i/>
                <w:iCs/>
                <w:color w:val="000000"/>
                <w:sz w:val="22"/>
                <w:szCs w:val="22"/>
                <w:lang w:val="en-GB"/>
              </w:rPr>
              <w:t>456.47</w:t>
            </w:r>
          </w:p>
        </w:tc>
        <w:tc>
          <w:tcPr>
            <w:tcW w:w="1275" w:type="dxa"/>
            <w:tcBorders>
              <w:top w:val="nil"/>
              <w:left w:val="nil"/>
              <w:bottom w:val="nil"/>
              <w:right w:val="nil"/>
            </w:tcBorders>
            <w:vAlign w:val="center"/>
          </w:tcPr>
          <w:p w14:paraId="039F5EFF" w14:textId="77777777" w:rsidR="003444E4" w:rsidRPr="003444E4" w:rsidRDefault="003444E4" w:rsidP="00CA4198">
            <w:pPr>
              <w:jc w:val="center"/>
              <w:rPr>
                <w:rFonts w:ascii="Calibri" w:hAnsi="Calibri"/>
                <w:i/>
                <w:color w:val="000000"/>
              </w:rPr>
            </w:pPr>
            <w:r w:rsidRPr="003444E4">
              <w:rPr>
                <w:rFonts w:ascii="Calibri" w:hAnsi="Calibri" w:cs="Calibri"/>
                <w:i/>
                <w:iCs/>
                <w:color w:val="000000"/>
                <w:sz w:val="22"/>
                <w:szCs w:val="22"/>
                <w:lang w:val="en-GB"/>
              </w:rPr>
              <w:t>513.27</w:t>
            </w:r>
          </w:p>
        </w:tc>
        <w:tc>
          <w:tcPr>
            <w:tcW w:w="1207" w:type="dxa"/>
            <w:tcBorders>
              <w:top w:val="nil"/>
              <w:left w:val="nil"/>
              <w:bottom w:val="nil"/>
              <w:right w:val="nil"/>
            </w:tcBorders>
            <w:vAlign w:val="center"/>
          </w:tcPr>
          <w:p w14:paraId="140C16EF" w14:textId="77777777" w:rsidR="003444E4" w:rsidRPr="003444E4" w:rsidRDefault="003444E4" w:rsidP="00CA4198">
            <w:pPr>
              <w:jc w:val="center"/>
              <w:rPr>
                <w:rFonts w:asciiTheme="minorHAnsi" w:hAnsiTheme="minorHAnsi" w:cstheme="minorHAnsi"/>
                <w:b/>
                <w:bCs/>
                <w:i/>
                <w:iCs/>
                <w:color w:val="000000"/>
                <w:sz w:val="22"/>
                <w:szCs w:val="22"/>
              </w:rPr>
            </w:pPr>
            <w:r w:rsidRPr="003444E4">
              <w:rPr>
                <w:rFonts w:ascii="Calibri" w:hAnsi="Calibri" w:cs="Calibri" w:hint="eastAsia"/>
                <w:b/>
                <w:bCs/>
                <w:i/>
                <w:iCs/>
                <w:color w:val="000000"/>
                <w:sz w:val="22"/>
                <w:szCs w:val="22"/>
                <w:lang w:eastAsia="zh-CN"/>
              </w:rPr>
              <w:t>-11.1</w:t>
            </w:r>
          </w:p>
        </w:tc>
      </w:tr>
      <w:tr w:rsidR="003444E4" w:rsidRPr="003444E4" w14:paraId="298F38F3" w14:textId="77777777" w:rsidTr="00CA4198">
        <w:trPr>
          <w:trHeight w:val="76"/>
        </w:trPr>
        <w:tc>
          <w:tcPr>
            <w:tcW w:w="709" w:type="dxa"/>
            <w:tcBorders>
              <w:top w:val="nil"/>
              <w:left w:val="nil"/>
              <w:bottom w:val="single" w:sz="8" w:space="0" w:color="auto"/>
              <w:right w:val="nil"/>
            </w:tcBorders>
            <w:vAlign w:val="center"/>
          </w:tcPr>
          <w:p w14:paraId="44DD40B2" w14:textId="77777777" w:rsidR="003444E4" w:rsidRPr="003444E4" w:rsidRDefault="003444E4" w:rsidP="00CA4198">
            <w:pPr>
              <w:rPr>
                <w:rFonts w:ascii="Calibri" w:hAnsi="Calibri"/>
                <w:i/>
                <w:color w:val="000000"/>
              </w:rPr>
            </w:pPr>
            <w:r w:rsidRPr="003444E4">
              <w:rPr>
                <w:rFonts w:ascii="Calibri" w:hAnsi="Calibri" w:cs="Calibri" w:hint="eastAsia"/>
                <w:i/>
                <w:iCs/>
                <w:color w:val="000000"/>
                <w:sz w:val="22"/>
                <w:szCs w:val="22"/>
                <w:lang w:eastAsia="zh-CN"/>
              </w:rPr>
              <w:t>13%</w:t>
            </w:r>
          </w:p>
        </w:tc>
        <w:tc>
          <w:tcPr>
            <w:tcW w:w="1413" w:type="dxa"/>
            <w:tcBorders>
              <w:top w:val="nil"/>
              <w:left w:val="nil"/>
              <w:bottom w:val="single" w:sz="8" w:space="0" w:color="auto"/>
              <w:right w:val="nil"/>
            </w:tcBorders>
            <w:vAlign w:val="center"/>
          </w:tcPr>
          <w:p w14:paraId="7707B69E" w14:textId="77777777" w:rsidR="003444E4" w:rsidRPr="003444E4" w:rsidRDefault="003444E4" w:rsidP="00CA4198">
            <w:pPr>
              <w:jc w:val="center"/>
              <w:rPr>
                <w:rFonts w:ascii="Calibri" w:hAnsi="Calibri"/>
                <w:i/>
                <w:iCs/>
                <w:color w:val="000000"/>
                <w:lang w:val="en-GB"/>
              </w:rPr>
            </w:pPr>
            <w:r w:rsidRPr="003444E4">
              <w:rPr>
                <w:rFonts w:ascii="Calibri" w:hAnsi="Calibri" w:cs="Calibri"/>
                <w:i/>
                <w:iCs/>
                <w:color w:val="000000"/>
                <w:sz w:val="22"/>
                <w:szCs w:val="22"/>
                <w:lang w:val="en-GB"/>
              </w:rPr>
              <w:t>110.95</w:t>
            </w:r>
          </w:p>
        </w:tc>
        <w:tc>
          <w:tcPr>
            <w:tcW w:w="1275" w:type="dxa"/>
            <w:tcBorders>
              <w:top w:val="nil"/>
              <w:left w:val="nil"/>
              <w:bottom w:val="single" w:sz="8" w:space="0" w:color="auto"/>
              <w:right w:val="nil"/>
            </w:tcBorders>
            <w:vAlign w:val="center"/>
          </w:tcPr>
          <w:p w14:paraId="7DF5AFF3" w14:textId="77777777" w:rsidR="003444E4" w:rsidRPr="003444E4" w:rsidRDefault="003444E4" w:rsidP="00CA4198">
            <w:pPr>
              <w:jc w:val="center"/>
              <w:rPr>
                <w:rFonts w:ascii="Calibri" w:hAnsi="Calibri"/>
                <w:i/>
                <w:color w:val="000000"/>
              </w:rPr>
            </w:pPr>
            <w:r w:rsidRPr="003444E4">
              <w:rPr>
                <w:rFonts w:ascii="Calibri" w:hAnsi="Calibri" w:cs="Calibri"/>
                <w:i/>
                <w:iCs/>
                <w:color w:val="000000"/>
                <w:sz w:val="22"/>
                <w:szCs w:val="22"/>
                <w:lang w:val="en-GB"/>
              </w:rPr>
              <w:t>96.08</w:t>
            </w:r>
          </w:p>
        </w:tc>
        <w:tc>
          <w:tcPr>
            <w:tcW w:w="1207" w:type="dxa"/>
            <w:tcBorders>
              <w:top w:val="nil"/>
              <w:left w:val="nil"/>
              <w:bottom w:val="single" w:sz="4" w:space="0" w:color="auto"/>
              <w:right w:val="nil"/>
            </w:tcBorders>
            <w:vAlign w:val="center"/>
          </w:tcPr>
          <w:p w14:paraId="556BF47D" w14:textId="77777777" w:rsidR="003444E4" w:rsidRPr="003444E4" w:rsidRDefault="003444E4" w:rsidP="00CA4198">
            <w:pPr>
              <w:jc w:val="center"/>
              <w:rPr>
                <w:rFonts w:asciiTheme="minorHAnsi" w:hAnsiTheme="minorHAnsi" w:cstheme="minorHAnsi"/>
                <w:b/>
                <w:bCs/>
                <w:i/>
                <w:iCs/>
                <w:color w:val="000000"/>
                <w:sz w:val="22"/>
                <w:szCs w:val="22"/>
              </w:rPr>
            </w:pPr>
            <w:r w:rsidRPr="003444E4">
              <w:rPr>
                <w:rFonts w:ascii="Calibri" w:hAnsi="Calibri" w:cs="Calibri" w:hint="eastAsia"/>
                <w:b/>
                <w:bCs/>
                <w:i/>
                <w:iCs/>
                <w:color w:val="000000"/>
                <w:sz w:val="22"/>
                <w:szCs w:val="22"/>
                <w:lang w:eastAsia="zh-CN"/>
              </w:rPr>
              <w:t>15.5</w:t>
            </w:r>
          </w:p>
        </w:tc>
      </w:tr>
      <w:tr w:rsidR="003444E4" w:rsidRPr="003444E4" w14:paraId="7B2F3363" w14:textId="77777777" w:rsidTr="00CA4198">
        <w:trPr>
          <w:trHeight w:val="66"/>
        </w:trPr>
        <w:tc>
          <w:tcPr>
            <w:tcW w:w="709" w:type="dxa"/>
            <w:tcBorders>
              <w:top w:val="nil"/>
              <w:left w:val="nil"/>
              <w:bottom w:val="single" w:sz="8" w:space="0" w:color="000000"/>
              <w:right w:val="nil"/>
            </w:tcBorders>
            <w:vAlign w:val="center"/>
          </w:tcPr>
          <w:p w14:paraId="76889E70" w14:textId="77777777" w:rsidR="003444E4" w:rsidRPr="003444E4" w:rsidRDefault="003444E4" w:rsidP="00CA4198">
            <w:pPr>
              <w:rPr>
                <w:rFonts w:ascii="Calibri" w:hAnsi="Calibri"/>
                <w:b/>
                <w:color w:val="C55911"/>
              </w:rPr>
            </w:pPr>
            <w:r w:rsidRPr="003444E4">
              <w:rPr>
                <w:rFonts w:ascii="Calibri" w:hAnsi="Calibri" w:cs="Calibri" w:hint="eastAsia"/>
                <w:b/>
                <w:bCs/>
                <w:color w:val="C55911"/>
                <w:sz w:val="22"/>
                <w:szCs w:val="22"/>
                <w:lang w:eastAsia="zh-CN"/>
              </w:rPr>
              <w:t>Total</w:t>
            </w:r>
          </w:p>
        </w:tc>
        <w:tc>
          <w:tcPr>
            <w:tcW w:w="1413" w:type="dxa"/>
            <w:tcBorders>
              <w:top w:val="nil"/>
              <w:left w:val="nil"/>
              <w:bottom w:val="single" w:sz="8" w:space="0" w:color="000000"/>
              <w:right w:val="nil"/>
            </w:tcBorders>
            <w:vAlign w:val="center"/>
          </w:tcPr>
          <w:p w14:paraId="7233188F" w14:textId="77777777" w:rsidR="003444E4" w:rsidRPr="003444E4" w:rsidRDefault="003444E4" w:rsidP="00CA4198">
            <w:pPr>
              <w:jc w:val="center"/>
              <w:rPr>
                <w:rFonts w:ascii="Calibri" w:hAnsi="Calibri" w:cs="Calibri"/>
                <w:b/>
                <w:bCs/>
                <w:i/>
                <w:iCs/>
                <w:color w:val="C45911"/>
                <w:lang w:val="en-GB"/>
              </w:rPr>
            </w:pPr>
            <w:r w:rsidRPr="003444E4">
              <w:rPr>
                <w:rFonts w:ascii="Calibri" w:hAnsi="Calibri" w:cs="Calibri"/>
                <w:b/>
                <w:bCs/>
                <w:i/>
                <w:iCs/>
                <w:color w:val="C45911"/>
                <w:sz w:val="22"/>
                <w:szCs w:val="22"/>
                <w:lang w:val="en-GB"/>
              </w:rPr>
              <w:t>1,894.04</w:t>
            </w:r>
          </w:p>
        </w:tc>
        <w:tc>
          <w:tcPr>
            <w:tcW w:w="1275" w:type="dxa"/>
            <w:tcBorders>
              <w:top w:val="nil"/>
              <w:left w:val="nil"/>
              <w:bottom w:val="single" w:sz="8" w:space="0" w:color="000000"/>
              <w:right w:val="nil"/>
            </w:tcBorders>
            <w:vAlign w:val="center"/>
          </w:tcPr>
          <w:p w14:paraId="2D42191E" w14:textId="77777777" w:rsidR="003444E4" w:rsidRPr="003444E4" w:rsidRDefault="003444E4" w:rsidP="00CA4198">
            <w:pPr>
              <w:jc w:val="center"/>
              <w:rPr>
                <w:rFonts w:ascii="Calibri" w:hAnsi="Calibri"/>
                <w:b/>
                <w:color w:val="C55911"/>
              </w:rPr>
            </w:pPr>
            <w:r w:rsidRPr="003444E4">
              <w:rPr>
                <w:rFonts w:ascii="Calibri" w:hAnsi="Calibri" w:cs="Calibri"/>
                <w:b/>
                <w:bCs/>
                <w:i/>
                <w:iCs/>
                <w:color w:val="C45911"/>
                <w:sz w:val="22"/>
                <w:szCs w:val="22"/>
                <w:lang w:val="en-GB"/>
              </w:rPr>
              <w:t>1,969.32</w:t>
            </w:r>
          </w:p>
        </w:tc>
        <w:tc>
          <w:tcPr>
            <w:tcW w:w="1207" w:type="dxa"/>
            <w:tcBorders>
              <w:top w:val="single" w:sz="4" w:space="0" w:color="auto"/>
              <w:left w:val="nil"/>
              <w:bottom w:val="single" w:sz="4" w:space="0" w:color="auto"/>
              <w:right w:val="nil"/>
            </w:tcBorders>
            <w:vAlign w:val="center"/>
          </w:tcPr>
          <w:p w14:paraId="5BCA4E6B" w14:textId="77777777" w:rsidR="003444E4" w:rsidRPr="003444E4" w:rsidRDefault="003444E4" w:rsidP="00CA4198">
            <w:pPr>
              <w:jc w:val="center"/>
              <w:rPr>
                <w:rFonts w:asciiTheme="minorHAnsi" w:hAnsiTheme="minorHAnsi" w:cstheme="minorHAnsi"/>
                <w:b/>
                <w:bCs/>
                <w:i/>
                <w:iCs/>
                <w:color w:val="C45911" w:themeColor="accent2" w:themeShade="BF"/>
                <w:sz w:val="22"/>
                <w:szCs w:val="22"/>
              </w:rPr>
            </w:pPr>
            <w:r w:rsidRPr="003444E4">
              <w:rPr>
                <w:rFonts w:ascii="Calibri" w:hAnsi="Calibri" w:cs="Calibri" w:hint="eastAsia"/>
                <w:b/>
                <w:bCs/>
                <w:i/>
                <w:iCs/>
                <w:color w:val="C45911" w:themeColor="accent2" w:themeShade="BF"/>
                <w:sz w:val="22"/>
                <w:szCs w:val="22"/>
                <w:lang w:eastAsia="zh-CN"/>
              </w:rPr>
              <w:t>-3.8</w:t>
            </w:r>
          </w:p>
        </w:tc>
      </w:tr>
    </w:tbl>
    <w:p w14:paraId="5CD358F8" w14:textId="77777777" w:rsidR="003444E4" w:rsidRPr="003444E4" w:rsidRDefault="003444E4" w:rsidP="003444E4">
      <w:pPr>
        <w:rPr>
          <w:lang w:val="en-GB"/>
        </w:rPr>
      </w:pPr>
      <w:r w:rsidRPr="003444E4">
        <w:rPr>
          <w:rFonts w:ascii="Calibri" w:hAnsi="Calibri"/>
          <w:b/>
          <w:color w:val="2F5496"/>
          <w:sz w:val="18"/>
          <w:szCs w:val="18"/>
        </w:rPr>
        <w:t>Source: FAAC</w:t>
      </w:r>
    </w:p>
    <w:p w14:paraId="3309139C" w14:textId="77777777" w:rsidR="003444E4" w:rsidRPr="003444E4" w:rsidRDefault="003444E4" w:rsidP="003444E4">
      <w:pPr>
        <w:pStyle w:val="NoSpacing"/>
        <w:jc w:val="both"/>
      </w:pPr>
      <w:r w:rsidRPr="003444E4">
        <w:t>Revenue composition data indicated mixed developments across major revenue heads. Oil and Gas Royalty, as well as Excise Duty, recorded significant increases during the period, suggesting some improvement in upstream revenue performance and domestic production activity. However, Petroleum Profit Tax (PPT), Hydrocarbon Tax (HT), Companies Income Tax/Capital Gains Tax (CIT/CGT), Stamp Duties, and Value Added Tax (VAT) declined substantially, pointing to weaknesses in both oil-linked tax streams and non-oil revenue mobilisation. Meanwhile, Import Duty and CET Levies recorded only marginal increases, reflecting moderate trade activity.</w:t>
      </w:r>
    </w:p>
    <w:p w14:paraId="7E4228A0" w14:textId="77777777" w:rsidR="003444E4" w:rsidRPr="003444E4" w:rsidRDefault="003444E4" w:rsidP="003444E4">
      <w:pPr>
        <w:pStyle w:val="NoSpacing"/>
        <w:jc w:val="both"/>
      </w:pPr>
      <w:r w:rsidRPr="003444E4">
        <w:lastRenderedPageBreak/>
        <w:t>Overall, the decline in FAAC disbursements in February suggests a softening in fiscal inflows at the subnational level, which may have implications for liquidity conditions across States and Local Governments. The mixed performance across revenue sources further underscores the persistent vulnerability of Federation revenues to both oil market dynamics and domestic economic conditions.</w:t>
      </w:r>
    </w:p>
    <w:p w14:paraId="4B1D83FA" w14:textId="77777777" w:rsidR="003444E4" w:rsidRPr="003444E4" w:rsidRDefault="003444E4" w:rsidP="003444E4">
      <w:pPr>
        <w:pStyle w:val="NoSpacing"/>
        <w:jc w:val="both"/>
      </w:pPr>
      <w:r w:rsidRPr="003444E4">
        <w:t>Looking ahead, fiscal outcomes will continue to be shaped by developments in global oil prices, domestic crude oil production levels, and the effectiveness of ongoing revenue mobilisation efforts. In the near term, the moderation in FAAC inflows may constrain fiscal space, particularly at the subnational level, with potential implications for expenditure execution and debt servicing. Over the medium term, sustained improvements in non-oil revenue mobilisation, enhanced tax administration, and continued fiscal discipline will be critical to strengthening fiscal buffers and ensuring stable budget implementation.</w:t>
      </w:r>
    </w:p>
    <w:p w14:paraId="1FC6FE72" w14:textId="77777777" w:rsidR="003D1357" w:rsidRPr="003444E4" w:rsidRDefault="003D1357" w:rsidP="0016538D">
      <w:pPr>
        <w:spacing w:after="160" w:line="259" w:lineRule="auto"/>
        <w:jc w:val="both"/>
        <w:rPr>
          <w:rFonts w:asciiTheme="minorHAnsi" w:hAnsiTheme="minorHAnsi"/>
          <w:sz w:val="22"/>
          <w:szCs w:val="22"/>
          <w:lang w:val="en-US" w:eastAsia="en-US"/>
        </w:rPr>
      </w:pPr>
    </w:p>
    <w:p w14:paraId="5B2F7A19" w14:textId="77777777" w:rsidR="00103DF0" w:rsidRPr="003444E4" w:rsidRDefault="00103DF0" w:rsidP="0016538D">
      <w:pPr>
        <w:pStyle w:val="Heading1"/>
        <w:rPr>
          <w:rFonts w:asciiTheme="minorHAnsi" w:hAnsiTheme="minorHAnsi"/>
          <w:color w:val="auto"/>
          <w:sz w:val="22"/>
          <w:szCs w:val="22"/>
          <w:lang w:val="en-GB"/>
        </w:rPr>
      </w:pPr>
      <w:r w:rsidRPr="003444E4">
        <w:rPr>
          <w:color w:val="auto"/>
          <w:lang w:val="en-GB"/>
        </w:rPr>
        <w:t>Conclusion</w:t>
      </w:r>
    </w:p>
    <w:p w14:paraId="68035E0E" w14:textId="77777777" w:rsidR="00B84E65" w:rsidRPr="003444E4" w:rsidRDefault="00B84E65" w:rsidP="00B84E65">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The global economic environment in 2026 remains characterised by cautious optimism tempered by significant risks. Trade fragmentation, renewed geopolitical tensions, and volatile investor sentiment continue to weigh on confidence, while elevated debt levels constrain fiscal flexibility worldwide. Central banks remain challenged by the need to sustain inflation credibility without unduly restraining growth.</w:t>
      </w:r>
    </w:p>
    <w:p w14:paraId="643C3D90" w14:textId="77777777" w:rsidR="00B84E65" w:rsidRPr="003444E4" w:rsidRDefault="00B84E65" w:rsidP="00B84E65">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Within this context, Nigeria has demonstrated improving macroeconomic resilience. The combination of earlier monetary tightening enhanced fiscal discipline, FX market reforms, and selective structural measures has contributed to greater stability, stronger investor confidence, and a more robust external reserve position. However, these gains remain vulnerable to external shocks—particularly developments in global oil markets—and persistent domestic constraints such as infrastructure gaps, security challenges, and supply side rigidities.</w:t>
      </w:r>
    </w:p>
    <w:p w14:paraId="0972ACC2" w14:textId="7612AE87" w:rsidR="00C2116D" w:rsidRPr="003444E4" w:rsidRDefault="00B84E65" w:rsidP="00B84E65">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Sustaining progress will require coherent and coordinated policy execution, focused on safeguarding macroeconomic stability while accelerating structural transformation. Priorities remain deepening fiscal reforms, maintaining monetary discipline, unlocking investment in critical infrastructure, and addressing long standing bottlenecks that limit productivity and private sector expansion. By doing so, Nigeria will be better positioned to navigate an increasingly volatile global environment and consolidate its recovery path</w:t>
      </w:r>
      <w:r w:rsidR="00C2116D" w:rsidRPr="003444E4">
        <w:rPr>
          <w:rFonts w:asciiTheme="minorHAnsi" w:hAnsiTheme="minorHAnsi"/>
          <w:sz w:val="22"/>
          <w:szCs w:val="22"/>
          <w:lang w:val="en-GB" w:eastAsia="en-US"/>
        </w:rPr>
        <w:t>.</w:t>
      </w:r>
    </w:p>
    <w:p w14:paraId="11541190" w14:textId="7D5336BC" w:rsidR="00403DA0" w:rsidRPr="003444E4" w:rsidRDefault="00403DA0" w:rsidP="00D9252A">
      <w:pPr>
        <w:pStyle w:val="Heading1"/>
        <w:spacing w:before="0"/>
        <w:rPr>
          <w:color w:val="002060"/>
          <w:sz w:val="28"/>
          <w:szCs w:val="28"/>
          <w:lang w:val="en-GB"/>
        </w:rPr>
      </w:pPr>
      <w:r w:rsidRPr="003444E4">
        <w:rPr>
          <w:color w:val="002060"/>
          <w:sz w:val="28"/>
          <w:szCs w:val="28"/>
          <w:lang w:val="en-GB"/>
        </w:rPr>
        <w:t>Country in Focus –</w:t>
      </w:r>
      <w:r w:rsidR="0054205D" w:rsidRPr="003444E4">
        <w:rPr>
          <w:color w:val="002060"/>
          <w:sz w:val="28"/>
          <w:szCs w:val="28"/>
          <w:lang w:val="en-GB"/>
        </w:rPr>
        <w:t xml:space="preserve">Republic of </w:t>
      </w:r>
      <w:r w:rsidR="006F2F23" w:rsidRPr="003444E4">
        <w:rPr>
          <w:color w:val="002060"/>
          <w:sz w:val="28"/>
          <w:szCs w:val="28"/>
          <w:lang w:val="en-GB"/>
        </w:rPr>
        <w:t>B</w:t>
      </w:r>
      <w:r w:rsidR="0063103C" w:rsidRPr="003444E4">
        <w:rPr>
          <w:color w:val="002060"/>
          <w:sz w:val="28"/>
          <w:szCs w:val="28"/>
          <w:lang w:val="en-GB"/>
        </w:rPr>
        <w:t>urkina Faso</w:t>
      </w:r>
    </w:p>
    <w:p w14:paraId="61326C3F" w14:textId="16108D77" w:rsidR="00403DA0" w:rsidRPr="003444E4" w:rsidRDefault="00403DA0" w:rsidP="00FB3ED1">
      <w:pPr>
        <w:spacing w:after="160" w:line="259" w:lineRule="auto"/>
        <w:jc w:val="both"/>
        <w:rPr>
          <w:rFonts w:asciiTheme="minorHAnsi" w:hAnsiTheme="minorHAnsi"/>
          <w:sz w:val="22"/>
          <w:szCs w:val="22"/>
          <w:lang w:val="en-GB" w:eastAsia="en-US"/>
        </w:rPr>
      </w:pPr>
      <w:r w:rsidRPr="003444E4">
        <w:rPr>
          <w:rFonts w:asciiTheme="minorHAnsi" w:hAnsiTheme="minorHAnsi"/>
          <w:sz w:val="22"/>
          <w:szCs w:val="22"/>
          <w:lang w:val="en-GB" w:eastAsia="en-US"/>
        </w:rPr>
        <w:t>Figure</w:t>
      </w:r>
      <w:r w:rsidR="00BD2B5D" w:rsidRPr="003444E4">
        <w:rPr>
          <w:rFonts w:asciiTheme="minorHAnsi" w:hAnsiTheme="minorHAnsi"/>
          <w:sz w:val="22"/>
          <w:szCs w:val="22"/>
          <w:lang w:val="en-GB" w:eastAsia="en-US"/>
        </w:rPr>
        <w:t xml:space="preserve"> 9</w:t>
      </w:r>
      <w:r w:rsidRPr="003444E4">
        <w:rPr>
          <w:rFonts w:asciiTheme="minorHAnsi" w:hAnsiTheme="minorHAnsi"/>
          <w:sz w:val="22"/>
          <w:szCs w:val="22"/>
          <w:lang w:val="en-GB" w:eastAsia="en-US"/>
        </w:rPr>
        <w:t>: Economic Parameters for</w:t>
      </w:r>
      <w:r w:rsidR="009C419F" w:rsidRPr="003444E4">
        <w:rPr>
          <w:rFonts w:asciiTheme="minorHAnsi" w:hAnsiTheme="minorHAnsi"/>
          <w:sz w:val="22"/>
          <w:szCs w:val="22"/>
          <w:lang w:val="en-GB" w:eastAsia="en-US"/>
        </w:rPr>
        <w:t xml:space="preserve"> </w:t>
      </w:r>
      <w:r w:rsidR="00E806CF" w:rsidRPr="003444E4">
        <w:rPr>
          <w:rFonts w:asciiTheme="minorHAnsi" w:hAnsiTheme="minorHAnsi"/>
          <w:sz w:val="22"/>
          <w:szCs w:val="22"/>
          <w:lang w:val="en-GB" w:eastAsia="en-US"/>
        </w:rPr>
        <w:t>Republic of</w:t>
      </w:r>
      <w:r w:rsidR="005C1B76" w:rsidRPr="003444E4">
        <w:rPr>
          <w:rFonts w:asciiTheme="minorHAnsi" w:hAnsiTheme="minorHAnsi"/>
          <w:sz w:val="22"/>
          <w:szCs w:val="22"/>
          <w:lang w:val="en-GB" w:eastAsia="en-US"/>
        </w:rPr>
        <w:t xml:space="preserve"> </w:t>
      </w:r>
      <w:r w:rsidR="00FD33FF" w:rsidRPr="003444E4">
        <w:rPr>
          <w:rFonts w:asciiTheme="minorHAnsi" w:hAnsiTheme="minorHAnsi"/>
          <w:sz w:val="22"/>
          <w:szCs w:val="22"/>
          <w:lang w:val="en-GB" w:eastAsia="en-US"/>
        </w:rPr>
        <w:t>B</w:t>
      </w:r>
      <w:r w:rsidR="0063103C" w:rsidRPr="003444E4">
        <w:rPr>
          <w:rFonts w:asciiTheme="minorHAnsi" w:hAnsiTheme="minorHAnsi"/>
          <w:sz w:val="22"/>
          <w:szCs w:val="22"/>
          <w:lang w:val="en-GB" w:eastAsia="en-US"/>
        </w:rPr>
        <w:t>urkina Faso</w:t>
      </w:r>
    </w:p>
    <w:p w14:paraId="7F59B87F" w14:textId="4FC03163" w:rsidR="00711912" w:rsidRPr="003444E4" w:rsidRDefault="0063103C" w:rsidP="00FB3ED1">
      <w:pPr>
        <w:spacing w:after="160" w:line="259" w:lineRule="auto"/>
        <w:jc w:val="both"/>
        <w:rPr>
          <w:rFonts w:asciiTheme="minorHAnsi" w:hAnsiTheme="minorHAnsi"/>
          <w:sz w:val="22"/>
          <w:szCs w:val="22"/>
          <w:lang w:val="en-GB" w:eastAsia="en-US"/>
        </w:rPr>
      </w:pPr>
      <w:r w:rsidRPr="003444E4">
        <w:rPr>
          <w:noProof/>
        </w:rPr>
        <w:drawing>
          <wp:inline distT="0" distB="0" distL="0" distR="0" wp14:anchorId="0A84FABC" wp14:editId="3427FFF9">
            <wp:extent cx="2828290" cy="1543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28290" cy="1543685"/>
                    </a:xfrm>
                    <a:prstGeom prst="rect">
                      <a:avLst/>
                    </a:prstGeom>
                    <a:noFill/>
                    <a:ln>
                      <a:noFill/>
                    </a:ln>
                  </pic:spPr>
                </pic:pic>
              </a:graphicData>
            </a:graphic>
          </wp:inline>
        </w:drawing>
      </w:r>
    </w:p>
    <w:p w14:paraId="600639F0" w14:textId="63E83DC0" w:rsidR="00403DA0" w:rsidRPr="00FB7BB3" w:rsidRDefault="00403DA0" w:rsidP="002C1EBF">
      <w:pPr>
        <w:jc w:val="both"/>
        <w:rPr>
          <w:rFonts w:ascii="Calibri" w:hAnsi="Calibri"/>
          <w:b/>
          <w:bCs/>
          <w:sz w:val="18"/>
          <w:szCs w:val="16"/>
          <w:lang w:val="en-GB"/>
        </w:rPr>
      </w:pPr>
      <w:r w:rsidRPr="003444E4">
        <w:rPr>
          <w:rFonts w:ascii="Calibri" w:hAnsi="Calibri"/>
          <w:b/>
          <w:bCs/>
          <w:sz w:val="18"/>
          <w:szCs w:val="16"/>
        </w:rPr>
        <w:t>Source: CAPE Economic Research and Consulting, 202</w:t>
      </w:r>
      <w:bookmarkEnd w:id="0"/>
      <w:r w:rsidR="00FB7BB3" w:rsidRPr="003444E4">
        <w:rPr>
          <w:rFonts w:ascii="Calibri" w:hAnsi="Calibri"/>
          <w:b/>
          <w:bCs/>
          <w:sz w:val="18"/>
          <w:szCs w:val="16"/>
          <w:lang w:val="en-GB"/>
        </w:rPr>
        <w:t>6</w:t>
      </w:r>
    </w:p>
    <w:sectPr w:rsidR="00403DA0" w:rsidRPr="00FB7BB3" w:rsidSect="0064744E">
      <w:type w:val="continuous"/>
      <w:pgSz w:w="11906" w:h="16838"/>
      <w:pgMar w:top="1440" w:right="849"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96E2C5" w14:textId="77777777" w:rsidR="0015430C" w:rsidRDefault="0015430C" w:rsidP="00B76D04">
      <w:r>
        <w:separator/>
      </w:r>
    </w:p>
  </w:endnote>
  <w:endnote w:type="continuationSeparator" w:id="0">
    <w:p w14:paraId="5A1E13CE" w14:textId="77777777" w:rsidR="0015430C" w:rsidRDefault="0015430C" w:rsidP="00B76D04">
      <w:r>
        <w:continuationSeparator/>
      </w:r>
    </w:p>
  </w:endnote>
  <w:endnote w:type="continuationNotice" w:id="1">
    <w:p w14:paraId="19C8C3DA" w14:textId="77777777" w:rsidR="0015430C" w:rsidRDefault="001543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AEE53E" w14:textId="77777777" w:rsidR="00B51AEE" w:rsidRDefault="00B51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B8B70" w14:textId="210D54CF" w:rsidR="00B44657" w:rsidRDefault="00DC4AC0">
    <w:pPr>
      <w:pStyle w:val="Footer"/>
      <w:jc w:val="right"/>
    </w:pPr>
    <w:r>
      <w:rPr>
        <w:noProof/>
      </w:rPr>
      <mc:AlternateContent>
        <mc:Choice Requires="wps">
          <w:drawing>
            <wp:anchor distT="0" distB="0" distL="114300" distR="114300" simplePos="0" relativeHeight="251659264" behindDoc="0" locked="0" layoutInCell="0" allowOverlap="1" wp14:anchorId="177B5A93" wp14:editId="474DA181">
              <wp:simplePos x="0" y="0"/>
              <wp:positionH relativeFrom="page">
                <wp:posOffset>0</wp:posOffset>
              </wp:positionH>
              <wp:positionV relativeFrom="page">
                <wp:posOffset>10234930</wp:posOffset>
              </wp:positionV>
              <wp:extent cx="7560310" cy="266700"/>
              <wp:effectExtent l="0" t="0" r="0" b="0"/>
              <wp:wrapNone/>
              <wp:docPr id="9" name="MSIPCMd16a41ba803e545d2be77ef0" descr="{&quot;HashCode&quot;:-1046210256,&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A2A1F2A" w14:textId="66834362" w:rsidR="00DC4AC0" w:rsidRPr="00DC4AC0" w:rsidRDefault="00DC4AC0" w:rsidP="00DC4AC0">
                          <w:pPr>
                            <w:rPr>
                              <w:rFonts w:ascii="Calibri" w:hAnsi="Calibri" w:cs="Calibri"/>
                              <w:color w:val="000000"/>
                              <w:sz w:val="16"/>
                            </w:rPr>
                          </w:pPr>
                          <w:r w:rsidRPr="00DC4AC0">
                            <w:rPr>
                              <w:rFonts w:ascii="Calibri" w:hAnsi="Calibri" w:cs="Calibri"/>
                              <w:color w:val="000000"/>
                              <w:sz w:val="16"/>
                            </w:rPr>
                            <w:t>Classified as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177B5A93" id="_x0000_t202" coordsize="21600,21600" o:spt="202" path="m,l,21600r21600,l21600,xe">
              <v:stroke joinstyle="miter"/>
              <v:path gradientshapeok="t" o:connecttype="rect"/>
            </v:shapetype>
            <v:shape id="MSIPCMd16a41ba803e545d2be77ef0" o:spid="_x0000_s1026" type="#_x0000_t202" alt="{&quot;HashCode&quot;:-1046210256,&quot;Height&quot;:841.0,&quot;Width&quot;:595.0,&quot;Placement&quot;:&quot;Footer&quot;,&quot;Index&quot;:&quot;Primary&quot;,&quot;Section&quot;:1,&quot;Top&quot;:0.0,&quot;Left&quot;:0.0}" style="position:absolute;left:0;text-align:left;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5A2A1F2A" w14:textId="66834362" w:rsidR="00DC4AC0" w:rsidRPr="00DC4AC0" w:rsidRDefault="00DC4AC0" w:rsidP="00DC4AC0">
                    <w:pPr>
                      <w:rPr>
                        <w:rFonts w:ascii="Calibri" w:hAnsi="Calibri" w:cs="Calibri"/>
                        <w:color w:val="000000"/>
                        <w:sz w:val="16"/>
                      </w:rPr>
                    </w:pPr>
                    <w:r w:rsidRPr="00DC4AC0">
                      <w:rPr>
                        <w:rFonts w:ascii="Calibri" w:hAnsi="Calibri" w:cs="Calibri"/>
                        <w:color w:val="000000"/>
                        <w:sz w:val="16"/>
                      </w:rPr>
                      <w:t>Classified as Confidential</w:t>
                    </w:r>
                  </w:p>
                </w:txbxContent>
              </v:textbox>
              <w10:wrap anchorx="page" anchory="page"/>
            </v:shape>
          </w:pict>
        </mc:Fallback>
      </mc:AlternateContent>
    </w:r>
    <w:sdt>
      <w:sdtPr>
        <w:id w:val="597304613"/>
        <w:docPartObj>
          <w:docPartGallery w:val="Page Numbers (Bottom of Page)"/>
          <w:docPartUnique/>
        </w:docPartObj>
      </w:sdtPr>
      <w:sdtEndPr>
        <w:rPr>
          <w:noProof/>
        </w:rPr>
      </w:sdtEndPr>
      <w:sdtContent>
        <w:r w:rsidR="00B44657">
          <w:fldChar w:fldCharType="begin"/>
        </w:r>
        <w:r w:rsidR="00B44657">
          <w:instrText xml:space="preserve"> PAGE   \* MERGEFORMAT </w:instrText>
        </w:r>
        <w:r w:rsidR="00B44657">
          <w:fldChar w:fldCharType="separate"/>
        </w:r>
        <w:r w:rsidR="00B44657">
          <w:rPr>
            <w:noProof/>
          </w:rPr>
          <w:t>2</w:t>
        </w:r>
        <w:r w:rsidR="00B44657">
          <w:rPr>
            <w:noProof/>
          </w:rPr>
          <w:fldChar w:fldCharType="end"/>
        </w:r>
      </w:sdtContent>
    </w:sdt>
  </w:p>
  <w:p w14:paraId="5707F29E" w14:textId="4F591B5D" w:rsidR="00B44657" w:rsidRDefault="00B446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642BB" w14:textId="77777777" w:rsidR="00B51AEE" w:rsidRDefault="00B51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69D497" w14:textId="77777777" w:rsidR="0015430C" w:rsidRDefault="0015430C" w:rsidP="00B76D04">
      <w:r>
        <w:separator/>
      </w:r>
    </w:p>
  </w:footnote>
  <w:footnote w:type="continuationSeparator" w:id="0">
    <w:p w14:paraId="4E6E65A1" w14:textId="77777777" w:rsidR="0015430C" w:rsidRDefault="0015430C" w:rsidP="00B76D04">
      <w:r>
        <w:continuationSeparator/>
      </w:r>
    </w:p>
  </w:footnote>
  <w:footnote w:type="continuationNotice" w:id="1">
    <w:p w14:paraId="685ABF39" w14:textId="77777777" w:rsidR="0015430C" w:rsidRDefault="001543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50C25A" w14:textId="77777777" w:rsidR="00B51AEE" w:rsidRDefault="00B51A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4A245C" w14:textId="3122BCCE" w:rsidR="00B44657" w:rsidRDefault="00B44657">
    <w:pPr>
      <w:pStyle w:val="Header"/>
    </w:pPr>
    <w:r>
      <w:rPr>
        <w:noProof/>
      </w:rPr>
      <mc:AlternateContent>
        <mc:Choice Requires="wps">
          <w:drawing>
            <wp:inline distT="0" distB="0" distL="0" distR="0" wp14:anchorId="52BB180F" wp14:editId="10F0C550">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DD610E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r>
      <w:rPr>
        <w:noProof/>
      </w:rPr>
      <w:drawing>
        <wp:inline distT="0" distB="0" distL="0" distR="0" wp14:anchorId="1B5DE4B7" wp14:editId="4FC01B2B">
          <wp:extent cx="2133600" cy="488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48895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1BFAD5" w14:textId="77777777" w:rsidR="00B51AEE" w:rsidRDefault="00B51A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83FF4"/>
    <w:multiLevelType w:val="multilevel"/>
    <w:tmpl w:val="596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2F4E06"/>
    <w:multiLevelType w:val="multilevel"/>
    <w:tmpl w:val="158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066C0"/>
    <w:multiLevelType w:val="multilevel"/>
    <w:tmpl w:val="1DE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966AA5"/>
    <w:multiLevelType w:val="multilevel"/>
    <w:tmpl w:val="F0A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77B08"/>
    <w:multiLevelType w:val="hybridMultilevel"/>
    <w:tmpl w:val="81E0EA7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49964855"/>
    <w:multiLevelType w:val="multilevel"/>
    <w:tmpl w:val="648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E027FA"/>
    <w:multiLevelType w:val="multilevel"/>
    <w:tmpl w:val="CC82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CE6121"/>
    <w:multiLevelType w:val="multilevel"/>
    <w:tmpl w:val="D17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EB6FD8"/>
    <w:multiLevelType w:val="multilevel"/>
    <w:tmpl w:val="198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9A2827"/>
    <w:multiLevelType w:val="hybridMultilevel"/>
    <w:tmpl w:val="2BC22944"/>
    <w:lvl w:ilvl="0" w:tplc="0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790344AA"/>
    <w:multiLevelType w:val="multilevel"/>
    <w:tmpl w:val="D8DAB2AE"/>
    <w:lvl w:ilvl="0">
      <w:start w:val="1"/>
      <w:numFmt w:val="bullet"/>
      <w:lvlText w:val="●"/>
      <w:lvlJc w:val="left"/>
      <w:pPr>
        <w:ind w:left="360"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num w:numId="1">
    <w:abstractNumId w:val="4"/>
  </w:num>
  <w:num w:numId="2">
    <w:abstractNumId w:val="1"/>
  </w:num>
  <w:num w:numId="3">
    <w:abstractNumId w:val="3"/>
  </w:num>
  <w:num w:numId="4">
    <w:abstractNumId w:val="5"/>
  </w:num>
  <w:num w:numId="5">
    <w:abstractNumId w:val="9"/>
  </w:num>
  <w:num w:numId="6">
    <w:abstractNumId w:val="10"/>
  </w:num>
  <w:num w:numId="7">
    <w:abstractNumId w:val="8"/>
  </w:num>
  <w:num w:numId="8">
    <w:abstractNumId w:val="2"/>
  </w:num>
  <w:num w:numId="9">
    <w:abstractNumId w:val="7"/>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C5"/>
    <w:rsid w:val="000021BA"/>
    <w:rsid w:val="00002520"/>
    <w:rsid w:val="000032D9"/>
    <w:rsid w:val="00005974"/>
    <w:rsid w:val="0000639C"/>
    <w:rsid w:val="000071CB"/>
    <w:rsid w:val="00011C6F"/>
    <w:rsid w:val="00012247"/>
    <w:rsid w:val="000127D5"/>
    <w:rsid w:val="00012F18"/>
    <w:rsid w:val="00015715"/>
    <w:rsid w:val="00017943"/>
    <w:rsid w:val="000179F3"/>
    <w:rsid w:val="00017B9A"/>
    <w:rsid w:val="000206BA"/>
    <w:rsid w:val="00022239"/>
    <w:rsid w:val="00022A70"/>
    <w:rsid w:val="0002335A"/>
    <w:rsid w:val="00024CDB"/>
    <w:rsid w:val="00024D40"/>
    <w:rsid w:val="00025181"/>
    <w:rsid w:val="000253BB"/>
    <w:rsid w:val="0002777A"/>
    <w:rsid w:val="0003028F"/>
    <w:rsid w:val="00030F93"/>
    <w:rsid w:val="00033AE8"/>
    <w:rsid w:val="000340A4"/>
    <w:rsid w:val="000365F0"/>
    <w:rsid w:val="000373A3"/>
    <w:rsid w:val="0003766F"/>
    <w:rsid w:val="00037B7D"/>
    <w:rsid w:val="00040202"/>
    <w:rsid w:val="000421F7"/>
    <w:rsid w:val="0004388A"/>
    <w:rsid w:val="00044499"/>
    <w:rsid w:val="000447F6"/>
    <w:rsid w:val="0004686A"/>
    <w:rsid w:val="00047221"/>
    <w:rsid w:val="00047737"/>
    <w:rsid w:val="00050F3B"/>
    <w:rsid w:val="000519E0"/>
    <w:rsid w:val="000565F6"/>
    <w:rsid w:val="00056D4D"/>
    <w:rsid w:val="0005701C"/>
    <w:rsid w:val="0006286D"/>
    <w:rsid w:val="00063C1E"/>
    <w:rsid w:val="0006455A"/>
    <w:rsid w:val="0006479F"/>
    <w:rsid w:val="00065153"/>
    <w:rsid w:val="00065B6F"/>
    <w:rsid w:val="00065B93"/>
    <w:rsid w:val="00066913"/>
    <w:rsid w:val="00066DEE"/>
    <w:rsid w:val="00071DC1"/>
    <w:rsid w:val="000722B0"/>
    <w:rsid w:val="00074BED"/>
    <w:rsid w:val="000755EB"/>
    <w:rsid w:val="000763C6"/>
    <w:rsid w:val="0008031E"/>
    <w:rsid w:val="00080B8E"/>
    <w:rsid w:val="00080D82"/>
    <w:rsid w:val="0008110A"/>
    <w:rsid w:val="00082B43"/>
    <w:rsid w:val="00082B52"/>
    <w:rsid w:val="00082DB9"/>
    <w:rsid w:val="0008366C"/>
    <w:rsid w:val="000837F0"/>
    <w:rsid w:val="00085B6A"/>
    <w:rsid w:val="00087AC3"/>
    <w:rsid w:val="00087C08"/>
    <w:rsid w:val="000928D2"/>
    <w:rsid w:val="00093F54"/>
    <w:rsid w:val="00094ADB"/>
    <w:rsid w:val="00094EF3"/>
    <w:rsid w:val="00095C6B"/>
    <w:rsid w:val="00095F9F"/>
    <w:rsid w:val="0009732E"/>
    <w:rsid w:val="000A01F0"/>
    <w:rsid w:val="000A1234"/>
    <w:rsid w:val="000A1776"/>
    <w:rsid w:val="000A1FBF"/>
    <w:rsid w:val="000A2D21"/>
    <w:rsid w:val="000A36B5"/>
    <w:rsid w:val="000A4429"/>
    <w:rsid w:val="000A7DBF"/>
    <w:rsid w:val="000B0167"/>
    <w:rsid w:val="000B09C7"/>
    <w:rsid w:val="000B12B3"/>
    <w:rsid w:val="000B19CC"/>
    <w:rsid w:val="000B1C15"/>
    <w:rsid w:val="000B1C4C"/>
    <w:rsid w:val="000B2248"/>
    <w:rsid w:val="000B3F96"/>
    <w:rsid w:val="000B42BE"/>
    <w:rsid w:val="000B4833"/>
    <w:rsid w:val="000B55FE"/>
    <w:rsid w:val="000B5F93"/>
    <w:rsid w:val="000B6784"/>
    <w:rsid w:val="000B6D8E"/>
    <w:rsid w:val="000C005C"/>
    <w:rsid w:val="000C0B5F"/>
    <w:rsid w:val="000C1347"/>
    <w:rsid w:val="000C178E"/>
    <w:rsid w:val="000C2283"/>
    <w:rsid w:val="000C2C76"/>
    <w:rsid w:val="000C3625"/>
    <w:rsid w:val="000C4EDD"/>
    <w:rsid w:val="000C53A4"/>
    <w:rsid w:val="000C5EA0"/>
    <w:rsid w:val="000C6CE3"/>
    <w:rsid w:val="000C6F92"/>
    <w:rsid w:val="000C714A"/>
    <w:rsid w:val="000C7F96"/>
    <w:rsid w:val="000D4425"/>
    <w:rsid w:val="000D44F7"/>
    <w:rsid w:val="000D464B"/>
    <w:rsid w:val="000D4967"/>
    <w:rsid w:val="000D5676"/>
    <w:rsid w:val="000D5EE3"/>
    <w:rsid w:val="000D5FD6"/>
    <w:rsid w:val="000D72E6"/>
    <w:rsid w:val="000D7517"/>
    <w:rsid w:val="000D758E"/>
    <w:rsid w:val="000E005B"/>
    <w:rsid w:val="000E18FF"/>
    <w:rsid w:val="000E1D69"/>
    <w:rsid w:val="000E2D2D"/>
    <w:rsid w:val="000E3558"/>
    <w:rsid w:val="000E5A2A"/>
    <w:rsid w:val="000E6431"/>
    <w:rsid w:val="000E6540"/>
    <w:rsid w:val="000E65E5"/>
    <w:rsid w:val="000E790A"/>
    <w:rsid w:val="000F03AC"/>
    <w:rsid w:val="000F0418"/>
    <w:rsid w:val="000F05F4"/>
    <w:rsid w:val="000F0A9A"/>
    <w:rsid w:val="000F0B43"/>
    <w:rsid w:val="000F33EA"/>
    <w:rsid w:val="000F4807"/>
    <w:rsid w:val="000F4995"/>
    <w:rsid w:val="000F6128"/>
    <w:rsid w:val="000F6F5C"/>
    <w:rsid w:val="000F7D8D"/>
    <w:rsid w:val="00102700"/>
    <w:rsid w:val="00102AB9"/>
    <w:rsid w:val="00103000"/>
    <w:rsid w:val="00103739"/>
    <w:rsid w:val="00103ACB"/>
    <w:rsid w:val="00103DF0"/>
    <w:rsid w:val="00104BD0"/>
    <w:rsid w:val="00105D4B"/>
    <w:rsid w:val="00107158"/>
    <w:rsid w:val="00107D8C"/>
    <w:rsid w:val="00110207"/>
    <w:rsid w:val="0011147B"/>
    <w:rsid w:val="00111566"/>
    <w:rsid w:val="00112960"/>
    <w:rsid w:val="00112FCA"/>
    <w:rsid w:val="0011333C"/>
    <w:rsid w:val="00114F8F"/>
    <w:rsid w:val="001156A2"/>
    <w:rsid w:val="00117A34"/>
    <w:rsid w:val="00117D2E"/>
    <w:rsid w:val="001206B9"/>
    <w:rsid w:val="00121B50"/>
    <w:rsid w:val="001226A8"/>
    <w:rsid w:val="001228AD"/>
    <w:rsid w:val="001231C5"/>
    <w:rsid w:val="00123CC5"/>
    <w:rsid w:val="001253BF"/>
    <w:rsid w:val="00126B94"/>
    <w:rsid w:val="0012753D"/>
    <w:rsid w:val="001277AA"/>
    <w:rsid w:val="00130CED"/>
    <w:rsid w:val="00131391"/>
    <w:rsid w:val="00132356"/>
    <w:rsid w:val="00134741"/>
    <w:rsid w:val="00137D83"/>
    <w:rsid w:val="00140043"/>
    <w:rsid w:val="0014022E"/>
    <w:rsid w:val="001404EA"/>
    <w:rsid w:val="00141443"/>
    <w:rsid w:val="00141D70"/>
    <w:rsid w:val="001425E5"/>
    <w:rsid w:val="0014362E"/>
    <w:rsid w:val="00144632"/>
    <w:rsid w:val="00144F57"/>
    <w:rsid w:val="0014700C"/>
    <w:rsid w:val="001476A7"/>
    <w:rsid w:val="00153EDF"/>
    <w:rsid w:val="0015430C"/>
    <w:rsid w:val="0015489B"/>
    <w:rsid w:val="00154FE9"/>
    <w:rsid w:val="00155EDC"/>
    <w:rsid w:val="001566BE"/>
    <w:rsid w:val="001600C4"/>
    <w:rsid w:val="0016227C"/>
    <w:rsid w:val="0016272D"/>
    <w:rsid w:val="00162EBA"/>
    <w:rsid w:val="001630F1"/>
    <w:rsid w:val="0016492C"/>
    <w:rsid w:val="00164946"/>
    <w:rsid w:val="00164B53"/>
    <w:rsid w:val="00164ECA"/>
    <w:rsid w:val="0016538D"/>
    <w:rsid w:val="00166407"/>
    <w:rsid w:val="00166E3F"/>
    <w:rsid w:val="00170BF9"/>
    <w:rsid w:val="00171E11"/>
    <w:rsid w:val="00172BDB"/>
    <w:rsid w:val="00174006"/>
    <w:rsid w:val="001744DC"/>
    <w:rsid w:val="00174525"/>
    <w:rsid w:val="0017522D"/>
    <w:rsid w:val="00175D49"/>
    <w:rsid w:val="00180731"/>
    <w:rsid w:val="0018182B"/>
    <w:rsid w:val="00181926"/>
    <w:rsid w:val="001824B9"/>
    <w:rsid w:val="0018289B"/>
    <w:rsid w:val="0018373D"/>
    <w:rsid w:val="001837B2"/>
    <w:rsid w:val="00185205"/>
    <w:rsid w:val="00185549"/>
    <w:rsid w:val="001857E2"/>
    <w:rsid w:val="001858EE"/>
    <w:rsid w:val="00187147"/>
    <w:rsid w:val="00190DFE"/>
    <w:rsid w:val="001911C3"/>
    <w:rsid w:val="001912F5"/>
    <w:rsid w:val="00191EEF"/>
    <w:rsid w:val="0019353E"/>
    <w:rsid w:val="001945BD"/>
    <w:rsid w:val="00194B7D"/>
    <w:rsid w:val="00197655"/>
    <w:rsid w:val="001978FA"/>
    <w:rsid w:val="00197DC4"/>
    <w:rsid w:val="001A02C0"/>
    <w:rsid w:val="001A1E20"/>
    <w:rsid w:val="001A2433"/>
    <w:rsid w:val="001A355C"/>
    <w:rsid w:val="001A4337"/>
    <w:rsid w:val="001A6659"/>
    <w:rsid w:val="001A7088"/>
    <w:rsid w:val="001A7C13"/>
    <w:rsid w:val="001B1EEE"/>
    <w:rsid w:val="001B21AE"/>
    <w:rsid w:val="001B227F"/>
    <w:rsid w:val="001B2B0C"/>
    <w:rsid w:val="001B3625"/>
    <w:rsid w:val="001B59ED"/>
    <w:rsid w:val="001B5C0D"/>
    <w:rsid w:val="001B5DBE"/>
    <w:rsid w:val="001B607F"/>
    <w:rsid w:val="001B664F"/>
    <w:rsid w:val="001B6E1A"/>
    <w:rsid w:val="001B7228"/>
    <w:rsid w:val="001B72CA"/>
    <w:rsid w:val="001C0BAB"/>
    <w:rsid w:val="001C0F7B"/>
    <w:rsid w:val="001C17C6"/>
    <w:rsid w:val="001C1D18"/>
    <w:rsid w:val="001C3D34"/>
    <w:rsid w:val="001C409A"/>
    <w:rsid w:val="001C5151"/>
    <w:rsid w:val="001C5ED0"/>
    <w:rsid w:val="001C7954"/>
    <w:rsid w:val="001D0B2F"/>
    <w:rsid w:val="001D1018"/>
    <w:rsid w:val="001D1DCC"/>
    <w:rsid w:val="001D3B26"/>
    <w:rsid w:val="001D4073"/>
    <w:rsid w:val="001D4DCD"/>
    <w:rsid w:val="001D5A1C"/>
    <w:rsid w:val="001D5B0B"/>
    <w:rsid w:val="001D7985"/>
    <w:rsid w:val="001E1801"/>
    <w:rsid w:val="001E36A3"/>
    <w:rsid w:val="001E4E95"/>
    <w:rsid w:val="001E4F7D"/>
    <w:rsid w:val="001E591B"/>
    <w:rsid w:val="001E6A11"/>
    <w:rsid w:val="001E7529"/>
    <w:rsid w:val="001E769D"/>
    <w:rsid w:val="001E7F22"/>
    <w:rsid w:val="001F0712"/>
    <w:rsid w:val="001F2947"/>
    <w:rsid w:val="001F2EB7"/>
    <w:rsid w:val="001F38F2"/>
    <w:rsid w:val="001F3AD7"/>
    <w:rsid w:val="001F3C76"/>
    <w:rsid w:val="001F3F8C"/>
    <w:rsid w:val="001F4AD0"/>
    <w:rsid w:val="001F5BBE"/>
    <w:rsid w:val="001F699A"/>
    <w:rsid w:val="001F6D97"/>
    <w:rsid w:val="001F6FF4"/>
    <w:rsid w:val="001F79CB"/>
    <w:rsid w:val="00203B3B"/>
    <w:rsid w:val="0020447B"/>
    <w:rsid w:val="002053C2"/>
    <w:rsid w:val="002059C4"/>
    <w:rsid w:val="00206B53"/>
    <w:rsid w:val="002110B5"/>
    <w:rsid w:val="002114A3"/>
    <w:rsid w:val="00212E42"/>
    <w:rsid w:val="00212E9B"/>
    <w:rsid w:val="00213789"/>
    <w:rsid w:val="00214780"/>
    <w:rsid w:val="002154C1"/>
    <w:rsid w:val="00217C05"/>
    <w:rsid w:val="002207FE"/>
    <w:rsid w:val="00220F01"/>
    <w:rsid w:val="0022129A"/>
    <w:rsid w:val="002248EA"/>
    <w:rsid w:val="00227542"/>
    <w:rsid w:val="00227A69"/>
    <w:rsid w:val="00227E26"/>
    <w:rsid w:val="002307E4"/>
    <w:rsid w:val="00230AC9"/>
    <w:rsid w:val="00232F8C"/>
    <w:rsid w:val="002334BF"/>
    <w:rsid w:val="002346CB"/>
    <w:rsid w:val="002347C8"/>
    <w:rsid w:val="002355CC"/>
    <w:rsid w:val="00235793"/>
    <w:rsid w:val="00235B53"/>
    <w:rsid w:val="0023684E"/>
    <w:rsid w:val="00237246"/>
    <w:rsid w:val="00237856"/>
    <w:rsid w:val="002379F4"/>
    <w:rsid w:val="00237DFC"/>
    <w:rsid w:val="0024320A"/>
    <w:rsid w:val="00243D24"/>
    <w:rsid w:val="00243F64"/>
    <w:rsid w:val="00245A2A"/>
    <w:rsid w:val="00245D3A"/>
    <w:rsid w:val="00245EB3"/>
    <w:rsid w:val="00245FEF"/>
    <w:rsid w:val="0024614C"/>
    <w:rsid w:val="00247DA1"/>
    <w:rsid w:val="00250658"/>
    <w:rsid w:val="0025173C"/>
    <w:rsid w:val="002550F7"/>
    <w:rsid w:val="0025657A"/>
    <w:rsid w:val="00256D25"/>
    <w:rsid w:val="00256FFA"/>
    <w:rsid w:val="00257E16"/>
    <w:rsid w:val="00260300"/>
    <w:rsid w:val="002617F0"/>
    <w:rsid w:val="002618E5"/>
    <w:rsid w:val="00261E8D"/>
    <w:rsid w:val="002626C0"/>
    <w:rsid w:val="0026353B"/>
    <w:rsid w:val="00264054"/>
    <w:rsid w:val="0026438B"/>
    <w:rsid w:val="0026580C"/>
    <w:rsid w:val="002678D6"/>
    <w:rsid w:val="00267C88"/>
    <w:rsid w:val="00267EAC"/>
    <w:rsid w:val="00267FB0"/>
    <w:rsid w:val="002708C5"/>
    <w:rsid w:val="00270D61"/>
    <w:rsid w:val="00271056"/>
    <w:rsid w:val="002721A8"/>
    <w:rsid w:val="00275F83"/>
    <w:rsid w:val="002764E3"/>
    <w:rsid w:val="00276AE4"/>
    <w:rsid w:val="002776C2"/>
    <w:rsid w:val="002801B9"/>
    <w:rsid w:val="00281B1B"/>
    <w:rsid w:val="00282EB1"/>
    <w:rsid w:val="00283882"/>
    <w:rsid w:val="00283C0A"/>
    <w:rsid w:val="00284037"/>
    <w:rsid w:val="00284941"/>
    <w:rsid w:val="00285978"/>
    <w:rsid w:val="00286AA0"/>
    <w:rsid w:val="00286F5A"/>
    <w:rsid w:val="00287023"/>
    <w:rsid w:val="00290B76"/>
    <w:rsid w:val="00290B88"/>
    <w:rsid w:val="00291251"/>
    <w:rsid w:val="002920FD"/>
    <w:rsid w:val="0029212C"/>
    <w:rsid w:val="0029261E"/>
    <w:rsid w:val="002932DF"/>
    <w:rsid w:val="00293369"/>
    <w:rsid w:val="00293590"/>
    <w:rsid w:val="002937C6"/>
    <w:rsid w:val="00294A11"/>
    <w:rsid w:val="00297924"/>
    <w:rsid w:val="002A019B"/>
    <w:rsid w:val="002A12E6"/>
    <w:rsid w:val="002A213C"/>
    <w:rsid w:val="002A27D4"/>
    <w:rsid w:val="002A4212"/>
    <w:rsid w:val="002A482E"/>
    <w:rsid w:val="002A56DB"/>
    <w:rsid w:val="002A59F7"/>
    <w:rsid w:val="002A66AF"/>
    <w:rsid w:val="002A721C"/>
    <w:rsid w:val="002A7755"/>
    <w:rsid w:val="002A77D9"/>
    <w:rsid w:val="002A7CEC"/>
    <w:rsid w:val="002B119C"/>
    <w:rsid w:val="002B16BD"/>
    <w:rsid w:val="002B1D34"/>
    <w:rsid w:val="002B22D3"/>
    <w:rsid w:val="002B298F"/>
    <w:rsid w:val="002B3CA0"/>
    <w:rsid w:val="002B632F"/>
    <w:rsid w:val="002B7C7E"/>
    <w:rsid w:val="002C0906"/>
    <w:rsid w:val="002C1EBF"/>
    <w:rsid w:val="002C2800"/>
    <w:rsid w:val="002C2E7C"/>
    <w:rsid w:val="002C2F70"/>
    <w:rsid w:val="002C413F"/>
    <w:rsid w:val="002C4670"/>
    <w:rsid w:val="002C49F7"/>
    <w:rsid w:val="002C50A0"/>
    <w:rsid w:val="002C52D2"/>
    <w:rsid w:val="002C5478"/>
    <w:rsid w:val="002C5543"/>
    <w:rsid w:val="002C55B9"/>
    <w:rsid w:val="002C5877"/>
    <w:rsid w:val="002C7036"/>
    <w:rsid w:val="002C7D3A"/>
    <w:rsid w:val="002D0727"/>
    <w:rsid w:val="002D1E7F"/>
    <w:rsid w:val="002D215F"/>
    <w:rsid w:val="002D2265"/>
    <w:rsid w:val="002D3B56"/>
    <w:rsid w:val="002D4401"/>
    <w:rsid w:val="002D51CB"/>
    <w:rsid w:val="002D533C"/>
    <w:rsid w:val="002D5E14"/>
    <w:rsid w:val="002D741E"/>
    <w:rsid w:val="002E08BB"/>
    <w:rsid w:val="002E0F92"/>
    <w:rsid w:val="002E2189"/>
    <w:rsid w:val="002E46AC"/>
    <w:rsid w:val="002E5F36"/>
    <w:rsid w:val="002E6784"/>
    <w:rsid w:val="002E775F"/>
    <w:rsid w:val="002E7A8D"/>
    <w:rsid w:val="002F1B9E"/>
    <w:rsid w:val="002F1DCE"/>
    <w:rsid w:val="002F3132"/>
    <w:rsid w:val="002F338B"/>
    <w:rsid w:val="002F5637"/>
    <w:rsid w:val="002F618B"/>
    <w:rsid w:val="002F6BCC"/>
    <w:rsid w:val="002F71FE"/>
    <w:rsid w:val="002F764D"/>
    <w:rsid w:val="0030010B"/>
    <w:rsid w:val="0030127A"/>
    <w:rsid w:val="0030262D"/>
    <w:rsid w:val="0030359A"/>
    <w:rsid w:val="003037B2"/>
    <w:rsid w:val="003038AE"/>
    <w:rsid w:val="003039DE"/>
    <w:rsid w:val="00303C81"/>
    <w:rsid w:val="003051E0"/>
    <w:rsid w:val="00306C3A"/>
    <w:rsid w:val="003118D1"/>
    <w:rsid w:val="00311950"/>
    <w:rsid w:val="00312616"/>
    <w:rsid w:val="0031324F"/>
    <w:rsid w:val="003139A0"/>
    <w:rsid w:val="00314D80"/>
    <w:rsid w:val="00316632"/>
    <w:rsid w:val="00316C40"/>
    <w:rsid w:val="0031763F"/>
    <w:rsid w:val="00317CAB"/>
    <w:rsid w:val="00317E99"/>
    <w:rsid w:val="00317F73"/>
    <w:rsid w:val="003209DB"/>
    <w:rsid w:val="00320A80"/>
    <w:rsid w:val="00320AD2"/>
    <w:rsid w:val="00320AEB"/>
    <w:rsid w:val="00320E5A"/>
    <w:rsid w:val="00321C32"/>
    <w:rsid w:val="00322CF4"/>
    <w:rsid w:val="00323DEC"/>
    <w:rsid w:val="00323F57"/>
    <w:rsid w:val="00325B6C"/>
    <w:rsid w:val="00326541"/>
    <w:rsid w:val="00326BD5"/>
    <w:rsid w:val="00327098"/>
    <w:rsid w:val="00327658"/>
    <w:rsid w:val="003279AB"/>
    <w:rsid w:val="00330FB7"/>
    <w:rsid w:val="0033137E"/>
    <w:rsid w:val="003327BB"/>
    <w:rsid w:val="00332F9B"/>
    <w:rsid w:val="003330CD"/>
    <w:rsid w:val="00334433"/>
    <w:rsid w:val="003350F1"/>
    <w:rsid w:val="003352A5"/>
    <w:rsid w:val="00335C0D"/>
    <w:rsid w:val="003369BF"/>
    <w:rsid w:val="00336FFF"/>
    <w:rsid w:val="0033778E"/>
    <w:rsid w:val="00337AF3"/>
    <w:rsid w:val="003400D8"/>
    <w:rsid w:val="00340B1C"/>
    <w:rsid w:val="00342A79"/>
    <w:rsid w:val="00343491"/>
    <w:rsid w:val="0034350E"/>
    <w:rsid w:val="0034353F"/>
    <w:rsid w:val="00344145"/>
    <w:rsid w:val="003444E4"/>
    <w:rsid w:val="003449DB"/>
    <w:rsid w:val="00344EF4"/>
    <w:rsid w:val="0034509A"/>
    <w:rsid w:val="00345A73"/>
    <w:rsid w:val="00345AF5"/>
    <w:rsid w:val="003466C6"/>
    <w:rsid w:val="00347CB7"/>
    <w:rsid w:val="00350B77"/>
    <w:rsid w:val="00351BB4"/>
    <w:rsid w:val="00353DAF"/>
    <w:rsid w:val="00353EA6"/>
    <w:rsid w:val="0035446C"/>
    <w:rsid w:val="00354A8C"/>
    <w:rsid w:val="00354BD4"/>
    <w:rsid w:val="003571E0"/>
    <w:rsid w:val="00360E10"/>
    <w:rsid w:val="00361042"/>
    <w:rsid w:val="0036169B"/>
    <w:rsid w:val="003618DF"/>
    <w:rsid w:val="00363CFD"/>
    <w:rsid w:val="003649F2"/>
    <w:rsid w:val="00364A89"/>
    <w:rsid w:val="00364AD1"/>
    <w:rsid w:val="00365C75"/>
    <w:rsid w:val="0036689A"/>
    <w:rsid w:val="003671B4"/>
    <w:rsid w:val="00372123"/>
    <w:rsid w:val="00372234"/>
    <w:rsid w:val="00372E50"/>
    <w:rsid w:val="00375887"/>
    <w:rsid w:val="00375A16"/>
    <w:rsid w:val="00375B46"/>
    <w:rsid w:val="00375B5D"/>
    <w:rsid w:val="00375D51"/>
    <w:rsid w:val="00376602"/>
    <w:rsid w:val="00380917"/>
    <w:rsid w:val="00380B88"/>
    <w:rsid w:val="00381B53"/>
    <w:rsid w:val="003823B3"/>
    <w:rsid w:val="003869AC"/>
    <w:rsid w:val="00386E1E"/>
    <w:rsid w:val="00386F48"/>
    <w:rsid w:val="00387F91"/>
    <w:rsid w:val="003900F2"/>
    <w:rsid w:val="0039107C"/>
    <w:rsid w:val="00392274"/>
    <w:rsid w:val="0039273A"/>
    <w:rsid w:val="00392B13"/>
    <w:rsid w:val="003930D3"/>
    <w:rsid w:val="00394722"/>
    <w:rsid w:val="003958D5"/>
    <w:rsid w:val="00395CC8"/>
    <w:rsid w:val="00396791"/>
    <w:rsid w:val="00397660"/>
    <w:rsid w:val="003A00DF"/>
    <w:rsid w:val="003A2F10"/>
    <w:rsid w:val="003A2F3E"/>
    <w:rsid w:val="003A33B3"/>
    <w:rsid w:val="003A3B61"/>
    <w:rsid w:val="003A4F60"/>
    <w:rsid w:val="003A6B97"/>
    <w:rsid w:val="003B02BF"/>
    <w:rsid w:val="003B15DE"/>
    <w:rsid w:val="003B2554"/>
    <w:rsid w:val="003B271D"/>
    <w:rsid w:val="003B29E0"/>
    <w:rsid w:val="003B2DA2"/>
    <w:rsid w:val="003B516E"/>
    <w:rsid w:val="003B51D6"/>
    <w:rsid w:val="003B52D5"/>
    <w:rsid w:val="003B557E"/>
    <w:rsid w:val="003B73C3"/>
    <w:rsid w:val="003B7558"/>
    <w:rsid w:val="003C0CF7"/>
    <w:rsid w:val="003C0D81"/>
    <w:rsid w:val="003C0E9F"/>
    <w:rsid w:val="003C1622"/>
    <w:rsid w:val="003C1CE9"/>
    <w:rsid w:val="003C2C1D"/>
    <w:rsid w:val="003C2C39"/>
    <w:rsid w:val="003C4A53"/>
    <w:rsid w:val="003C5796"/>
    <w:rsid w:val="003C6C30"/>
    <w:rsid w:val="003C7842"/>
    <w:rsid w:val="003C7850"/>
    <w:rsid w:val="003D0719"/>
    <w:rsid w:val="003D1357"/>
    <w:rsid w:val="003D209C"/>
    <w:rsid w:val="003D28B3"/>
    <w:rsid w:val="003D2AC8"/>
    <w:rsid w:val="003D3208"/>
    <w:rsid w:val="003D366C"/>
    <w:rsid w:val="003D38D3"/>
    <w:rsid w:val="003D3A57"/>
    <w:rsid w:val="003D3DBF"/>
    <w:rsid w:val="003D4B8E"/>
    <w:rsid w:val="003D50F3"/>
    <w:rsid w:val="003D5A2A"/>
    <w:rsid w:val="003E0FCF"/>
    <w:rsid w:val="003E139A"/>
    <w:rsid w:val="003E3931"/>
    <w:rsid w:val="003E47BA"/>
    <w:rsid w:val="003E4A85"/>
    <w:rsid w:val="003E5B70"/>
    <w:rsid w:val="003F0367"/>
    <w:rsid w:val="003F10DA"/>
    <w:rsid w:val="003F11FE"/>
    <w:rsid w:val="003F1396"/>
    <w:rsid w:val="003F27F5"/>
    <w:rsid w:val="003F2843"/>
    <w:rsid w:val="003F364E"/>
    <w:rsid w:val="003F3E4B"/>
    <w:rsid w:val="003F4974"/>
    <w:rsid w:val="003F4A72"/>
    <w:rsid w:val="003F4D75"/>
    <w:rsid w:val="003F7226"/>
    <w:rsid w:val="003F7FD4"/>
    <w:rsid w:val="004000C2"/>
    <w:rsid w:val="004008DD"/>
    <w:rsid w:val="0040091F"/>
    <w:rsid w:val="0040099A"/>
    <w:rsid w:val="00401D0F"/>
    <w:rsid w:val="0040201F"/>
    <w:rsid w:val="004021A4"/>
    <w:rsid w:val="004033AC"/>
    <w:rsid w:val="00403DA0"/>
    <w:rsid w:val="00404AA8"/>
    <w:rsid w:val="00407CDD"/>
    <w:rsid w:val="004107F4"/>
    <w:rsid w:val="00411067"/>
    <w:rsid w:val="0041198A"/>
    <w:rsid w:val="00411AC0"/>
    <w:rsid w:val="00411E79"/>
    <w:rsid w:val="004144B1"/>
    <w:rsid w:val="00414EAE"/>
    <w:rsid w:val="00415141"/>
    <w:rsid w:val="004172B6"/>
    <w:rsid w:val="004178A2"/>
    <w:rsid w:val="00417927"/>
    <w:rsid w:val="00417C3B"/>
    <w:rsid w:val="00417E81"/>
    <w:rsid w:val="004202F8"/>
    <w:rsid w:val="0042090A"/>
    <w:rsid w:val="00421ABF"/>
    <w:rsid w:val="004234A0"/>
    <w:rsid w:val="00423B1A"/>
    <w:rsid w:val="0042486C"/>
    <w:rsid w:val="00424A2A"/>
    <w:rsid w:val="00424DE8"/>
    <w:rsid w:val="00425CE4"/>
    <w:rsid w:val="00425E84"/>
    <w:rsid w:val="00425FCD"/>
    <w:rsid w:val="0043048D"/>
    <w:rsid w:val="00430D7B"/>
    <w:rsid w:val="0043222E"/>
    <w:rsid w:val="004334C9"/>
    <w:rsid w:val="00433519"/>
    <w:rsid w:val="004338D9"/>
    <w:rsid w:val="00433DEC"/>
    <w:rsid w:val="00434ACC"/>
    <w:rsid w:val="00435CE1"/>
    <w:rsid w:val="004366DD"/>
    <w:rsid w:val="0043676F"/>
    <w:rsid w:val="0044094F"/>
    <w:rsid w:val="00440CA4"/>
    <w:rsid w:val="00441F4F"/>
    <w:rsid w:val="00441F5D"/>
    <w:rsid w:val="00443047"/>
    <w:rsid w:val="00443440"/>
    <w:rsid w:val="00443953"/>
    <w:rsid w:val="004440B0"/>
    <w:rsid w:val="00444115"/>
    <w:rsid w:val="00444B5F"/>
    <w:rsid w:val="00445147"/>
    <w:rsid w:val="00445D9F"/>
    <w:rsid w:val="00446AC6"/>
    <w:rsid w:val="004475FB"/>
    <w:rsid w:val="00447C24"/>
    <w:rsid w:val="00453D3B"/>
    <w:rsid w:val="00453F0D"/>
    <w:rsid w:val="0045426B"/>
    <w:rsid w:val="00455B90"/>
    <w:rsid w:val="00456526"/>
    <w:rsid w:val="00457DA2"/>
    <w:rsid w:val="00462DEA"/>
    <w:rsid w:val="00463425"/>
    <w:rsid w:val="00465072"/>
    <w:rsid w:val="00465A09"/>
    <w:rsid w:val="00466DDC"/>
    <w:rsid w:val="004675CA"/>
    <w:rsid w:val="004719CE"/>
    <w:rsid w:val="00472165"/>
    <w:rsid w:val="0047259F"/>
    <w:rsid w:val="00473003"/>
    <w:rsid w:val="00473B09"/>
    <w:rsid w:val="00475B03"/>
    <w:rsid w:val="00477098"/>
    <w:rsid w:val="00477C1E"/>
    <w:rsid w:val="00482F46"/>
    <w:rsid w:val="004830AE"/>
    <w:rsid w:val="00483D1E"/>
    <w:rsid w:val="004841BC"/>
    <w:rsid w:val="00487E1F"/>
    <w:rsid w:val="004903F8"/>
    <w:rsid w:val="004912B7"/>
    <w:rsid w:val="004916D2"/>
    <w:rsid w:val="00491B85"/>
    <w:rsid w:val="00491D1B"/>
    <w:rsid w:val="00492BAC"/>
    <w:rsid w:val="00492E69"/>
    <w:rsid w:val="0049492A"/>
    <w:rsid w:val="004A36B7"/>
    <w:rsid w:val="004A573F"/>
    <w:rsid w:val="004B0C10"/>
    <w:rsid w:val="004B0CB0"/>
    <w:rsid w:val="004B0CFE"/>
    <w:rsid w:val="004B21A4"/>
    <w:rsid w:val="004B35B7"/>
    <w:rsid w:val="004B3AA5"/>
    <w:rsid w:val="004B412A"/>
    <w:rsid w:val="004B45FA"/>
    <w:rsid w:val="004B574E"/>
    <w:rsid w:val="004B58E1"/>
    <w:rsid w:val="004B7AF1"/>
    <w:rsid w:val="004C0579"/>
    <w:rsid w:val="004C1F57"/>
    <w:rsid w:val="004C406D"/>
    <w:rsid w:val="004C5A86"/>
    <w:rsid w:val="004C5D28"/>
    <w:rsid w:val="004C5E1C"/>
    <w:rsid w:val="004C5E34"/>
    <w:rsid w:val="004C5F29"/>
    <w:rsid w:val="004C7634"/>
    <w:rsid w:val="004C767D"/>
    <w:rsid w:val="004D1EFD"/>
    <w:rsid w:val="004D21C9"/>
    <w:rsid w:val="004D32E3"/>
    <w:rsid w:val="004D3D57"/>
    <w:rsid w:val="004D4DD1"/>
    <w:rsid w:val="004E021F"/>
    <w:rsid w:val="004E1593"/>
    <w:rsid w:val="004E17E0"/>
    <w:rsid w:val="004E2053"/>
    <w:rsid w:val="004E2A70"/>
    <w:rsid w:val="004E349D"/>
    <w:rsid w:val="004E35FA"/>
    <w:rsid w:val="004E4369"/>
    <w:rsid w:val="004E4D7E"/>
    <w:rsid w:val="004E55AE"/>
    <w:rsid w:val="004E5E64"/>
    <w:rsid w:val="004E60E8"/>
    <w:rsid w:val="004E62A9"/>
    <w:rsid w:val="004E6E35"/>
    <w:rsid w:val="004E709A"/>
    <w:rsid w:val="004E77FB"/>
    <w:rsid w:val="004E79CF"/>
    <w:rsid w:val="004F047D"/>
    <w:rsid w:val="004F1A51"/>
    <w:rsid w:val="004F23D4"/>
    <w:rsid w:val="004F3ABE"/>
    <w:rsid w:val="004F4364"/>
    <w:rsid w:val="004F678A"/>
    <w:rsid w:val="00500393"/>
    <w:rsid w:val="005010D6"/>
    <w:rsid w:val="005034EA"/>
    <w:rsid w:val="005059FC"/>
    <w:rsid w:val="005069E0"/>
    <w:rsid w:val="005077E4"/>
    <w:rsid w:val="0050783A"/>
    <w:rsid w:val="00507851"/>
    <w:rsid w:val="00507BB0"/>
    <w:rsid w:val="00510CAA"/>
    <w:rsid w:val="00510CE9"/>
    <w:rsid w:val="005111FB"/>
    <w:rsid w:val="005114F7"/>
    <w:rsid w:val="00512F09"/>
    <w:rsid w:val="005150ED"/>
    <w:rsid w:val="005153CA"/>
    <w:rsid w:val="00515BEB"/>
    <w:rsid w:val="005177CC"/>
    <w:rsid w:val="00520192"/>
    <w:rsid w:val="00521219"/>
    <w:rsid w:val="00521B4D"/>
    <w:rsid w:val="0052271E"/>
    <w:rsid w:val="00522B0C"/>
    <w:rsid w:val="00523D10"/>
    <w:rsid w:val="00524B62"/>
    <w:rsid w:val="00525C2D"/>
    <w:rsid w:val="00525F38"/>
    <w:rsid w:val="0053055D"/>
    <w:rsid w:val="00530E75"/>
    <w:rsid w:val="00530EA4"/>
    <w:rsid w:val="00532D32"/>
    <w:rsid w:val="00533073"/>
    <w:rsid w:val="00534145"/>
    <w:rsid w:val="005342CE"/>
    <w:rsid w:val="0053431B"/>
    <w:rsid w:val="005347B4"/>
    <w:rsid w:val="00534B3C"/>
    <w:rsid w:val="00534F79"/>
    <w:rsid w:val="005357D4"/>
    <w:rsid w:val="0053653B"/>
    <w:rsid w:val="00537727"/>
    <w:rsid w:val="00537A2F"/>
    <w:rsid w:val="005400B4"/>
    <w:rsid w:val="00540A85"/>
    <w:rsid w:val="00541566"/>
    <w:rsid w:val="0054205D"/>
    <w:rsid w:val="00543250"/>
    <w:rsid w:val="005444A0"/>
    <w:rsid w:val="00544764"/>
    <w:rsid w:val="005453DC"/>
    <w:rsid w:val="00545D91"/>
    <w:rsid w:val="00545DBB"/>
    <w:rsid w:val="005461C9"/>
    <w:rsid w:val="00546886"/>
    <w:rsid w:val="005472A4"/>
    <w:rsid w:val="00547C57"/>
    <w:rsid w:val="00547D5B"/>
    <w:rsid w:val="00551DC9"/>
    <w:rsid w:val="00552D8D"/>
    <w:rsid w:val="00553AF0"/>
    <w:rsid w:val="00555B43"/>
    <w:rsid w:val="00556406"/>
    <w:rsid w:val="0055656C"/>
    <w:rsid w:val="00556895"/>
    <w:rsid w:val="00556E2E"/>
    <w:rsid w:val="00557B17"/>
    <w:rsid w:val="005606C8"/>
    <w:rsid w:val="00561A14"/>
    <w:rsid w:val="0056270E"/>
    <w:rsid w:val="00563527"/>
    <w:rsid w:val="005635E3"/>
    <w:rsid w:val="00563E00"/>
    <w:rsid w:val="00564396"/>
    <w:rsid w:val="005646E4"/>
    <w:rsid w:val="00570260"/>
    <w:rsid w:val="005704C0"/>
    <w:rsid w:val="005735CB"/>
    <w:rsid w:val="00574983"/>
    <w:rsid w:val="0057561B"/>
    <w:rsid w:val="00575AB9"/>
    <w:rsid w:val="00575B6F"/>
    <w:rsid w:val="00576367"/>
    <w:rsid w:val="005769E9"/>
    <w:rsid w:val="00576A70"/>
    <w:rsid w:val="00576AAC"/>
    <w:rsid w:val="00577477"/>
    <w:rsid w:val="0057766A"/>
    <w:rsid w:val="0058004C"/>
    <w:rsid w:val="00580534"/>
    <w:rsid w:val="00580A52"/>
    <w:rsid w:val="00583EEB"/>
    <w:rsid w:val="005843BA"/>
    <w:rsid w:val="005850BE"/>
    <w:rsid w:val="005853F9"/>
    <w:rsid w:val="00590200"/>
    <w:rsid w:val="00590D9B"/>
    <w:rsid w:val="005917F3"/>
    <w:rsid w:val="00593DAD"/>
    <w:rsid w:val="00594753"/>
    <w:rsid w:val="005957F1"/>
    <w:rsid w:val="005959A5"/>
    <w:rsid w:val="00596B51"/>
    <w:rsid w:val="005A02DD"/>
    <w:rsid w:val="005A123E"/>
    <w:rsid w:val="005A3A2B"/>
    <w:rsid w:val="005A4287"/>
    <w:rsid w:val="005A434C"/>
    <w:rsid w:val="005A5221"/>
    <w:rsid w:val="005A5F29"/>
    <w:rsid w:val="005A6790"/>
    <w:rsid w:val="005A7206"/>
    <w:rsid w:val="005A7673"/>
    <w:rsid w:val="005A7C7B"/>
    <w:rsid w:val="005A7FF8"/>
    <w:rsid w:val="005B07EB"/>
    <w:rsid w:val="005B23E8"/>
    <w:rsid w:val="005B2976"/>
    <w:rsid w:val="005B3411"/>
    <w:rsid w:val="005B3E29"/>
    <w:rsid w:val="005B4906"/>
    <w:rsid w:val="005B49D1"/>
    <w:rsid w:val="005B5398"/>
    <w:rsid w:val="005B595A"/>
    <w:rsid w:val="005B7526"/>
    <w:rsid w:val="005B7A5B"/>
    <w:rsid w:val="005C175F"/>
    <w:rsid w:val="005C1AB4"/>
    <w:rsid w:val="005C1B76"/>
    <w:rsid w:val="005C3929"/>
    <w:rsid w:val="005C4168"/>
    <w:rsid w:val="005C4225"/>
    <w:rsid w:val="005C4588"/>
    <w:rsid w:val="005C5AD9"/>
    <w:rsid w:val="005C6A58"/>
    <w:rsid w:val="005D00F4"/>
    <w:rsid w:val="005D10F4"/>
    <w:rsid w:val="005D1AFC"/>
    <w:rsid w:val="005D3546"/>
    <w:rsid w:val="005D3D35"/>
    <w:rsid w:val="005D6166"/>
    <w:rsid w:val="005D78D0"/>
    <w:rsid w:val="005E0C34"/>
    <w:rsid w:val="005E0E03"/>
    <w:rsid w:val="005E1C9F"/>
    <w:rsid w:val="005E2A84"/>
    <w:rsid w:val="005E52DC"/>
    <w:rsid w:val="005E63CB"/>
    <w:rsid w:val="005E64A8"/>
    <w:rsid w:val="005E6CCD"/>
    <w:rsid w:val="005E7231"/>
    <w:rsid w:val="005E7313"/>
    <w:rsid w:val="005F0485"/>
    <w:rsid w:val="005F0F98"/>
    <w:rsid w:val="005F3654"/>
    <w:rsid w:val="005F4726"/>
    <w:rsid w:val="005F51E7"/>
    <w:rsid w:val="00600A4C"/>
    <w:rsid w:val="00600D96"/>
    <w:rsid w:val="00601371"/>
    <w:rsid w:val="00601557"/>
    <w:rsid w:val="00603354"/>
    <w:rsid w:val="006034E3"/>
    <w:rsid w:val="00605F82"/>
    <w:rsid w:val="00606C55"/>
    <w:rsid w:val="0061099B"/>
    <w:rsid w:val="00610E71"/>
    <w:rsid w:val="006112D5"/>
    <w:rsid w:val="00611633"/>
    <w:rsid w:val="006129FD"/>
    <w:rsid w:val="00612A47"/>
    <w:rsid w:val="0061337D"/>
    <w:rsid w:val="006134BB"/>
    <w:rsid w:val="006140FF"/>
    <w:rsid w:val="0061493F"/>
    <w:rsid w:val="006167DF"/>
    <w:rsid w:val="00616FD1"/>
    <w:rsid w:val="0062129B"/>
    <w:rsid w:val="00622704"/>
    <w:rsid w:val="00622F50"/>
    <w:rsid w:val="00624257"/>
    <w:rsid w:val="00624736"/>
    <w:rsid w:val="006254DD"/>
    <w:rsid w:val="00625702"/>
    <w:rsid w:val="006259FF"/>
    <w:rsid w:val="00626D59"/>
    <w:rsid w:val="00627461"/>
    <w:rsid w:val="006277CB"/>
    <w:rsid w:val="00627E1F"/>
    <w:rsid w:val="0063103C"/>
    <w:rsid w:val="00631647"/>
    <w:rsid w:val="00631C34"/>
    <w:rsid w:val="00631F20"/>
    <w:rsid w:val="00632A34"/>
    <w:rsid w:val="00633052"/>
    <w:rsid w:val="0063459F"/>
    <w:rsid w:val="006345E2"/>
    <w:rsid w:val="00634635"/>
    <w:rsid w:val="00634D01"/>
    <w:rsid w:val="00634DD0"/>
    <w:rsid w:val="0063681D"/>
    <w:rsid w:val="00636A15"/>
    <w:rsid w:val="00636F00"/>
    <w:rsid w:val="00637A7A"/>
    <w:rsid w:val="006410EB"/>
    <w:rsid w:val="006412C5"/>
    <w:rsid w:val="006454EB"/>
    <w:rsid w:val="00645695"/>
    <w:rsid w:val="00645A84"/>
    <w:rsid w:val="00645CD3"/>
    <w:rsid w:val="0064744E"/>
    <w:rsid w:val="00647FAE"/>
    <w:rsid w:val="006503B6"/>
    <w:rsid w:val="00652D65"/>
    <w:rsid w:val="00652FE1"/>
    <w:rsid w:val="00654772"/>
    <w:rsid w:val="00655182"/>
    <w:rsid w:val="00655E40"/>
    <w:rsid w:val="00656229"/>
    <w:rsid w:val="006563B9"/>
    <w:rsid w:val="0065641A"/>
    <w:rsid w:val="006572C3"/>
    <w:rsid w:val="00657D96"/>
    <w:rsid w:val="006609F4"/>
    <w:rsid w:val="00663996"/>
    <w:rsid w:val="006641AC"/>
    <w:rsid w:val="00664395"/>
    <w:rsid w:val="0066451A"/>
    <w:rsid w:val="006648C9"/>
    <w:rsid w:val="00666BD3"/>
    <w:rsid w:val="006679D0"/>
    <w:rsid w:val="00667C7E"/>
    <w:rsid w:val="006722E1"/>
    <w:rsid w:val="006726CA"/>
    <w:rsid w:val="00672F55"/>
    <w:rsid w:val="00673208"/>
    <w:rsid w:val="00673DE0"/>
    <w:rsid w:val="0067492D"/>
    <w:rsid w:val="00674D2D"/>
    <w:rsid w:val="00676812"/>
    <w:rsid w:val="006819DC"/>
    <w:rsid w:val="00681EE4"/>
    <w:rsid w:val="006841A5"/>
    <w:rsid w:val="0068496A"/>
    <w:rsid w:val="00684FE5"/>
    <w:rsid w:val="00686801"/>
    <w:rsid w:val="00686FDD"/>
    <w:rsid w:val="00687030"/>
    <w:rsid w:val="006907A6"/>
    <w:rsid w:val="006916C2"/>
    <w:rsid w:val="006918C4"/>
    <w:rsid w:val="00691AC7"/>
    <w:rsid w:val="0069355B"/>
    <w:rsid w:val="00695CFF"/>
    <w:rsid w:val="006963AB"/>
    <w:rsid w:val="00697FC9"/>
    <w:rsid w:val="006A007F"/>
    <w:rsid w:val="006A0E79"/>
    <w:rsid w:val="006A10EC"/>
    <w:rsid w:val="006A1712"/>
    <w:rsid w:val="006A22B2"/>
    <w:rsid w:val="006A3071"/>
    <w:rsid w:val="006A38D9"/>
    <w:rsid w:val="006A4ED9"/>
    <w:rsid w:val="006A53F3"/>
    <w:rsid w:val="006A647A"/>
    <w:rsid w:val="006A68B5"/>
    <w:rsid w:val="006A7139"/>
    <w:rsid w:val="006B0118"/>
    <w:rsid w:val="006B02F2"/>
    <w:rsid w:val="006B0589"/>
    <w:rsid w:val="006B0ACD"/>
    <w:rsid w:val="006B1AF4"/>
    <w:rsid w:val="006B2E0B"/>
    <w:rsid w:val="006B30C2"/>
    <w:rsid w:val="006B38D8"/>
    <w:rsid w:val="006B4865"/>
    <w:rsid w:val="006B5396"/>
    <w:rsid w:val="006B56EE"/>
    <w:rsid w:val="006B5BBC"/>
    <w:rsid w:val="006B5CE9"/>
    <w:rsid w:val="006B5F9A"/>
    <w:rsid w:val="006B6113"/>
    <w:rsid w:val="006B7179"/>
    <w:rsid w:val="006B7197"/>
    <w:rsid w:val="006B7D5F"/>
    <w:rsid w:val="006B7F06"/>
    <w:rsid w:val="006C02E4"/>
    <w:rsid w:val="006C5055"/>
    <w:rsid w:val="006C71E0"/>
    <w:rsid w:val="006D23DD"/>
    <w:rsid w:val="006D385C"/>
    <w:rsid w:val="006D3BC3"/>
    <w:rsid w:val="006D5040"/>
    <w:rsid w:val="006D58F3"/>
    <w:rsid w:val="006D6F10"/>
    <w:rsid w:val="006E0BBD"/>
    <w:rsid w:val="006E4DAC"/>
    <w:rsid w:val="006E5192"/>
    <w:rsid w:val="006E7674"/>
    <w:rsid w:val="006F2F23"/>
    <w:rsid w:val="006F41C5"/>
    <w:rsid w:val="006F47DA"/>
    <w:rsid w:val="006F4956"/>
    <w:rsid w:val="006F4F56"/>
    <w:rsid w:val="006F4F9E"/>
    <w:rsid w:val="006F551E"/>
    <w:rsid w:val="006F671B"/>
    <w:rsid w:val="006F7036"/>
    <w:rsid w:val="006F784F"/>
    <w:rsid w:val="006F7BDA"/>
    <w:rsid w:val="0070085E"/>
    <w:rsid w:val="00700970"/>
    <w:rsid w:val="00701B10"/>
    <w:rsid w:val="00702A36"/>
    <w:rsid w:val="00702FE4"/>
    <w:rsid w:val="007037AA"/>
    <w:rsid w:val="00703AAE"/>
    <w:rsid w:val="00704CB2"/>
    <w:rsid w:val="00705593"/>
    <w:rsid w:val="00705665"/>
    <w:rsid w:val="00705684"/>
    <w:rsid w:val="0070593C"/>
    <w:rsid w:val="00706012"/>
    <w:rsid w:val="00706F49"/>
    <w:rsid w:val="00710A9F"/>
    <w:rsid w:val="00710E79"/>
    <w:rsid w:val="00711912"/>
    <w:rsid w:val="00712304"/>
    <w:rsid w:val="00712BAC"/>
    <w:rsid w:val="00713F64"/>
    <w:rsid w:val="007142FB"/>
    <w:rsid w:val="00714594"/>
    <w:rsid w:val="0072001F"/>
    <w:rsid w:val="00720FAE"/>
    <w:rsid w:val="00722494"/>
    <w:rsid w:val="0072303E"/>
    <w:rsid w:val="007237BB"/>
    <w:rsid w:val="00723EF9"/>
    <w:rsid w:val="00725F2A"/>
    <w:rsid w:val="00727CBC"/>
    <w:rsid w:val="00731126"/>
    <w:rsid w:val="00731D5B"/>
    <w:rsid w:val="00732B2D"/>
    <w:rsid w:val="0073344C"/>
    <w:rsid w:val="00733725"/>
    <w:rsid w:val="007346A7"/>
    <w:rsid w:val="00735F2E"/>
    <w:rsid w:val="00736100"/>
    <w:rsid w:val="00736B7A"/>
    <w:rsid w:val="00737019"/>
    <w:rsid w:val="007403EE"/>
    <w:rsid w:val="00740EFD"/>
    <w:rsid w:val="0074164F"/>
    <w:rsid w:val="00742C11"/>
    <w:rsid w:val="00744191"/>
    <w:rsid w:val="00744FB7"/>
    <w:rsid w:val="007505FF"/>
    <w:rsid w:val="00750991"/>
    <w:rsid w:val="00750F1D"/>
    <w:rsid w:val="00752496"/>
    <w:rsid w:val="007528FF"/>
    <w:rsid w:val="00754405"/>
    <w:rsid w:val="00754BE6"/>
    <w:rsid w:val="007551CB"/>
    <w:rsid w:val="00755D61"/>
    <w:rsid w:val="0075691D"/>
    <w:rsid w:val="00757272"/>
    <w:rsid w:val="007577AC"/>
    <w:rsid w:val="00757BF4"/>
    <w:rsid w:val="00760B11"/>
    <w:rsid w:val="00761912"/>
    <w:rsid w:val="00761B38"/>
    <w:rsid w:val="00762782"/>
    <w:rsid w:val="0076346B"/>
    <w:rsid w:val="00763971"/>
    <w:rsid w:val="00763B71"/>
    <w:rsid w:val="00764F58"/>
    <w:rsid w:val="00765B30"/>
    <w:rsid w:val="00765BD8"/>
    <w:rsid w:val="00765F0D"/>
    <w:rsid w:val="00766CF2"/>
    <w:rsid w:val="00767783"/>
    <w:rsid w:val="007679D7"/>
    <w:rsid w:val="00770771"/>
    <w:rsid w:val="007708EE"/>
    <w:rsid w:val="00770974"/>
    <w:rsid w:val="007729CB"/>
    <w:rsid w:val="00772A7F"/>
    <w:rsid w:val="00773FA3"/>
    <w:rsid w:val="00774738"/>
    <w:rsid w:val="00774CC9"/>
    <w:rsid w:val="0077649E"/>
    <w:rsid w:val="007766AB"/>
    <w:rsid w:val="00776834"/>
    <w:rsid w:val="00776BBF"/>
    <w:rsid w:val="007806C9"/>
    <w:rsid w:val="0078093B"/>
    <w:rsid w:val="00781656"/>
    <w:rsid w:val="0078171E"/>
    <w:rsid w:val="007825A3"/>
    <w:rsid w:val="007827F6"/>
    <w:rsid w:val="00785B62"/>
    <w:rsid w:val="00787D77"/>
    <w:rsid w:val="00792B91"/>
    <w:rsid w:val="00794AE2"/>
    <w:rsid w:val="00795466"/>
    <w:rsid w:val="00796163"/>
    <w:rsid w:val="0079671B"/>
    <w:rsid w:val="007A1DA0"/>
    <w:rsid w:val="007A4102"/>
    <w:rsid w:val="007A4C7F"/>
    <w:rsid w:val="007A4E3E"/>
    <w:rsid w:val="007A4FE6"/>
    <w:rsid w:val="007A52BB"/>
    <w:rsid w:val="007A64B0"/>
    <w:rsid w:val="007B152B"/>
    <w:rsid w:val="007B1A4A"/>
    <w:rsid w:val="007B318A"/>
    <w:rsid w:val="007B3E30"/>
    <w:rsid w:val="007B3F4C"/>
    <w:rsid w:val="007B5435"/>
    <w:rsid w:val="007B55A5"/>
    <w:rsid w:val="007B582C"/>
    <w:rsid w:val="007B60CD"/>
    <w:rsid w:val="007B6DBA"/>
    <w:rsid w:val="007B731B"/>
    <w:rsid w:val="007B7E01"/>
    <w:rsid w:val="007C1533"/>
    <w:rsid w:val="007C18D2"/>
    <w:rsid w:val="007C1AFE"/>
    <w:rsid w:val="007C1EC3"/>
    <w:rsid w:val="007C25E1"/>
    <w:rsid w:val="007C3583"/>
    <w:rsid w:val="007C360A"/>
    <w:rsid w:val="007C42F1"/>
    <w:rsid w:val="007C7220"/>
    <w:rsid w:val="007D11DE"/>
    <w:rsid w:val="007D21BF"/>
    <w:rsid w:val="007D40BF"/>
    <w:rsid w:val="007D46A8"/>
    <w:rsid w:val="007D4C49"/>
    <w:rsid w:val="007D5227"/>
    <w:rsid w:val="007D52A9"/>
    <w:rsid w:val="007D5DF3"/>
    <w:rsid w:val="007D7559"/>
    <w:rsid w:val="007D7E59"/>
    <w:rsid w:val="007E0F7E"/>
    <w:rsid w:val="007E1389"/>
    <w:rsid w:val="007E2B28"/>
    <w:rsid w:val="007E422A"/>
    <w:rsid w:val="007E4953"/>
    <w:rsid w:val="007E4E64"/>
    <w:rsid w:val="007E55E7"/>
    <w:rsid w:val="007E5BA8"/>
    <w:rsid w:val="007E630B"/>
    <w:rsid w:val="007E685B"/>
    <w:rsid w:val="007E6E33"/>
    <w:rsid w:val="007E74F0"/>
    <w:rsid w:val="007E7A33"/>
    <w:rsid w:val="007F1A83"/>
    <w:rsid w:val="007F1A9E"/>
    <w:rsid w:val="007F2A43"/>
    <w:rsid w:val="007F36D9"/>
    <w:rsid w:val="007F386F"/>
    <w:rsid w:val="007F5169"/>
    <w:rsid w:val="007F63B1"/>
    <w:rsid w:val="007F6B7D"/>
    <w:rsid w:val="00800982"/>
    <w:rsid w:val="0080245A"/>
    <w:rsid w:val="00802643"/>
    <w:rsid w:val="00803207"/>
    <w:rsid w:val="00803E00"/>
    <w:rsid w:val="0080464C"/>
    <w:rsid w:val="00804B78"/>
    <w:rsid w:val="00805FF6"/>
    <w:rsid w:val="008101DE"/>
    <w:rsid w:val="008104DD"/>
    <w:rsid w:val="00810734"/>
    <w:rsid w:val="008113F1"/>
    <w:rsid w:val="008114FA"/>
    <w:rsid w:val="008124A1"/>
    <w:rsid w:val="00812822"/>
    <w:rsid w:val="00812FC1"/>
    <w:rsid w:val="0081319A"/>
    <w:rsid w:val="0081343D"/>
    <w:rsid w:val="0081363D"/>
    <w:rsid w:val="00814389"/>
    <w:rsid w:val="008151AF"/>
    <w:rsid w:val="008170CA"/>
    <w:rsid w:val="008213D3"/>
    <w:rsid w:val="008217E4"/>
    <w:rsid w:val="00821D85"/>
    <w:rsid w:val="00822FAA"/>
    <w:rsid w:val="00823BA9"/>
    <w:rsid w:val="00823D2B"/>
    <w:rsid w:val="008254BA"/>
    <w:rsid w:val="0082556E"/>
    <w:rsid w:val="0082594E"/>
    <w:rsid w:val="0082595E"/>
    <w:rsid w:val="00825D20"/>
    <w:rsid w:val="00827F1D"/>
    <w:rsid w:val="00827F60"/>
    <w:rsid w:val="0083009C"/>
    <w:rsid w:val="00830155"/>
    <w:rsid w:val="00830C80"/>
    <w:rsid w:val="00831A63"/>
    <w:rsid w:val="008322CC"/>
    <w:rsid w:val="00833344"/>
    <w:rsid w:val="00834A7D"/>
    <w:rsid w:val="00835916"/>
    <w:rsid w:val="00835B8D"/>
    <w:rsid w:val="00835F5F"/>
    <w:rsid w:val="00837899"/>
    <w:rsid w:val="00837B6E"/>
    <w:rsid w:val="00840EB1"/>
    <w:rsid w:val="00841933"/>
    <w:rsid w:val="00842382"/>
    <w:rsid w:val="008428B2"/>
    <w:rsid w:val="00842C43"/>
    <w:rsid w:val="00844A61"/>
    <w:rsid w:val="00846D9E"/>
    <w:rsid w:val="00846E83"/>
    <w:rsid w:val="0085080B"/>
    <w:rsid w:val="0085236E"/>
    <w:rsid w:val="0085338D"/>
    <w:rsid w:val="0085479F"/>
    <w:rsid w:val="008547B5"/>
    <w:rsid w:val="008550E5"/>
    <w:rsid w:val="00855AB7"/>
    <w:rsid w:val="008600BB"/>
    <w:rsid w:val="008602A9"/>
    <w:rsid w:val="008606A4"/>
    <w:rsid w:val="00860986"/>
    <w:rsid w:val="00861192"/>
    <w:rsid w:val="008618D2"/>
    <w:rsid w:val="008628B6"/>
    <w:rsid w:val="00863603"/>
    <w:rsid w:val="00864F7A"/>
    <w:rsid w:val="008661AF"/>
    <w:rsid w:val="00866F49"/>
    <w:rsid w:val="0087033F"/>
    <w:rsid w:val="008714CA"/>
    <w:rsid w:val="00872BF6"/>
    <w:rsid w:val="00872E26"/>
    <w:rsid w:val="00872E81"/>
    <w:rsid w:val="00873C12"/>
    <w:rsid w:val="008746C3"/>
    <w:rsid w:val="008749DA"/>
    <w:rsid w:val="00874B06"/>
    <w:rsid w:val="00880071"/>
    <w:rsid w:val="0088028D"/>
    <w:rsid w:val="00880715"/>
    <w:rsid w:val="00880A5C"/>
    <w:rsid w:val="00880A90"/>
    <w:rsid w:val="00881B0A"/>
    <w:rsid w:val="00882CEA"/>
    <w:rsid w:val="00883CAC"/>
    <w:rsid w:val="00884155"/>
    <w:rsid w:val="008849BF"/>
    <w:rsid w:val="00885E2D"/>
    <w:rsid w:val="00890478"/>
    <w:rsid w:val="008905EC"/>
    <w:rsid w:val="00892802"/>
    <w:rsid w:val="00893EC5"/>
    <w:rsid w:val="00894FAB"/>
    <w:rsid w:val="0089515D"/>
    <w:rsid w:val="00896C1A"/>
    <w:rsid w:val="00897919"/>
    <w:rsid w:val="008A09E1"/>
    <w:rsid w:val="008A0B6C"/>
    <w:rsid w:val="008A13A3"/>
    <w:rsid w:val="008A23FD"/>
    <w:rsid w:val="008A2B53"/>
    <w:rsid w:val="008A2FA2"/>
    <w:rsid w:val="008A48FC"/>
    <w:rsid w:val="008A66EE"/>
    <w:rsid w:val="008A67F9"/>
    <w:rsid w:val="008A6E2A"/>
    <w:rsid w:val="008B206F"/>
    <w:rsid w:val="008B2877"/>
    <w:rsid w:val="008B3588"/>
    <w:rsid w:val="008B473B"/>
    <w:rsid w:val="008B50EC"/>
    <w:rsid w:val="008B5F0E"/>
    <w:rsid w:val="008B6528"/>
    <w:rsid w:val="008B774E"/>
    <w:rsid w:val="008B7C8A"/>
    <w:rsid w:val="008C01C1"/>
    <w:rsid w:val="008C0868"/>
    <w:rsid w:val="008C1070"/>
    <w:rsid w:val="008C1595"/>
    <w:rsid w:val="008C2862"/>
    <w:rsid w:val="008C2F2B"/>
    <w:rsid w:val="008C3610"/>
    <w:rsid w:val="008C4D35"/>
    <w:rsid w:val="008C6A58"/>
    <w:rsid w:val="008C6C94"/>
    <w:rsid w:val="008D054E"/>
    <w:rsid w:val="008D136D"/>
    <w:rsid w:val="008D40A4"/>
    <w:rsid w:val="008D4797"/>
    <w:rsid w:val="008D5643"/>
    <w:rsid w:val="008D5787"/>
    <w:rsid w:val="008D6678"/>
    <w:rsid w:val="008D6E75"/>
    <w:rsid w:val="008E00CA"/>
    <w:rsid w:val="008E02FE"/>
    <w:rsid w:val="008E0B07"/>
    <w:rsid w:val="008E0C6C"/>
    <w:rsid w:val="008E113B"/>
    <w:rsid w:val="008E11D1"/>
    <w:rsid w:val="008E2323"/>
    <w:rsid w:val="008E3036"/>
    <w:rsid w:val="008E4197"/>
    <w:rsid w:val="008E4BD4"/>
    <w:rsid w:val="008E4D7B"/>
    <w:rsid w:val="008E6C50"/>
    <w:rsid w:val="008E776E"/>
    <w:rsid w:val="008F031D"/>
    <w:rsid w:val="008F090B"/>
    <w:rsid w:val="008F0C8F"/>
    <w:rsid w:val="008F20AD"/>
    <w:rsid w:val="008F4465"/>
    <w:rsid w:val="008F4D98"/>
    <w:rsid w:val="008F554D"/>
    <w:rsid w:val="008F587E"/>
    <w:rsid w:val="008F65E2"/>
    <w:rsid w:val="008F6C42"/>
    <w:rsid w:val="008F6E4B"/>
    <w:rsid w:val="008F7B0E"/>
    <w:rsid w:val="00900EA0"/>
    <w:rsid w:val="00904506"/>
    <w:rsid w:val="00905901"/>
    <w:rsid w:val="009059C0"/>
    <w:rsid w:val="0091126E"/>
    <w:rsid w:val="009125CB"/>
    <w:rsid w:val="00913C7A"/>
    <w:rsid w:val="00914A7E"/>
    <w:rsid w:val="009166C7"/>
    <w:rsid w:val="00917416"/>
    <w:rsid w:val="00920384"/>
    <w:rsid w:val="009203DB"/>
    <w:rsid w:val="00920BD1"/>
    <w:rsid w:val="00922A11"/>
    <w:rsid w:val="009233B4"/>
    <w:rsid w:val="009234DF"/>
    <w:rsid w:val="00924ED2"/>
    <w:rsid w:val="00925B5A"/>
    <w:rsid w:val="00926FAE"/>
    <w:rsid w:val="00931593"/>
    <w:rsid w:val="0093389C"/>
    <w:rsid w:val="0093585C"/>
    <w:rsid w:val="00937090"/>
    <w:rsid w:val="009375B8"/>
    <w:rsid w:val="00937939"/>
    <w:rsid w:val="009403BC"/>
    <w:rsid w:val="00940BFF"/>
    <w:rsid w:val="009416F1"/>
    <w:rsid w:val="00942432"/>
    <w:rsid w:val="0094340C"/>
    <w:rsid w:val="00943EC6"/>
    <w:rsid w:val="00944317"/>
    <w:rsid w:val="00946121"/>
    <w:rsid w:val="009463E7"/>
    <w:rsid w:val="0094657E"/>
    <w:rsid w:val="009471E8"/>
    <w:rsid w:val="00947A04"/>
    <w:rsid w:val="0095036E"/>
    <w:rsid w:val="00950729"/>
    <w:rsid w:val="00951B4F"/>
    <w:rsid w:val="009557FC"/>
    <w:rsid w:val="009565EC"/>
    <w:rsid w:val="00960C68"/>
    <w:rsid w:val="00961C36"/>
    <w:rsid w:val="009621E9"/>
    <w:rsid w:val="00962322"/>
    <w:rsid w:val="009648F0"/>
    <w:rsid w:val="00965E4D"/>
    <w:rsid w:val="009666B5"/>
    <w:rsid w:val="00967746"/>
    <w:rsid w:val="00967987"/>
    <w:rsid w:val="00970F4E"/>
    <w:rsid w:val="00971BC2"/>
    <w:rsid w:val="00971BC8"/>
    <w:rsid w:val="00971F54"/>
    <w:rsid w:val="0097387D"/>
    <w:rsid w:val="00975B56"/>
    <w:rsid w:val="00975D27"/>
    <w:rsid w:val="00975EC3"/>
    <w:rsid w:val="00977FB7"/>
    <w:rsid w:val="009803FE"/>
    <w:rsid w:val="0098134E"/>
    <w:rsid w:val="009816EC"/>
    <w:rsid w:val="00983497"/>
    <w:rsid w:val="00986E5D"/>
    <w:rsid w:val="009906CB"/>
    <w:rsid w:val="00991F89"/>
    <w:rsid w:val="009926BD"/>
    <w:rsid w:val="009929B8"/>
    <w:rsid w:val="00993B2E"/>
    <w:rsid w:val="00994204"/>
    <w:rsid w:val="00996BE4"/>
    <w:rsid w:val="00996E9D"/>
    <w:rsid w:val="00997259"/>
    <w:rsid w:val="00997DBE"/>
    <w:rsid w:val="009A1263"/>
    <w:rsid w:val="009A3DB5"/>
    <w:rsid w:val="009A4AC9"/>
    <w:rsid w:val="009A50AD"/>
    <w:rsid w:val="009A76C2"/>
    <w:rsid w:val="009B1CB2"/>
    <w:rsid w:val="009B3A9C"/>
    <w:rsid w:val="009B3AF8"/>
    <w:rsid w:val="009B443F"/>
    <w:rsid w:val="009B4BAF"/>
    <w:rsid w:val="009B5DCD"/>
    <w:rsid w:val="009C0435"/>
    <w:rsid w:val="009C14A3"/>
    <w:rsid w:val="009C1536"/>
    <w:rsid w:val="009C3386"/>
    <w:rsid w:val="009C419F"/>
    <w:rsid w:val="009C42A8"/>
    <w:rsid w:val="009C4583"/>
    <w:rsid w:val="009C5E29"/>
    <w:rsid w:val="009C6E8B"/>
    <w:rsid w:val="009C7830"/>
    <w:rsid w:val="009D0968"/>
    <w:rsid w:val="009D23CD"/>
    <w:rsid w:val="009D31EF"/>
    <w:rsid w:val="009D3D31"/>
    <w:rsid w:val="009D41CF"/>
    <w:rsid w:val="009D436C"/>
    <w:rsid w:val="009D4EFD"/>
    <w:rsid w:val="009D69CD"/>
    <w:rsid w:val="009E0708"/>
    <w:rsid w:val="009E30EA"/>
    <w:rsid w:val="009E3275"/>
    <w:rsid w:val="009E38B5"/>
    <w:rsid w:val="009E597A"/>
    <w:rsid w:val="009E6A15"/>
    <w:rsid w:val="009E7C8A"/>
    <w:rsid w:val="009F0770"/>
    <w:rsid w:val="009F0FCC"/>
    <w:rsid w:val="009F1F43"/>
    <w:rsid w:val="009F2408"/>
    <w:rsid w:val="009F41CA"/>
    <w:rsid w:val="009F4D65"/>
    <w:rsid w:val="009F4E3F"/>
    <w:rsid w:val="009F5194"/>
    <w:rsid w:val="009F5F6F"/>
    <w:rsid w:val="00A00B29"/>
    <w:rsid w:val="00A00B9D"/>
    <w:rsid w:val="00A01494"/>
    <w:rsid w:val="00A01B56"/>
    <w:rsid w:val="00A01EF3"/>
    <w:rsid w:val="00A02677"/>
    <w:rsid w:val="00A02B7B"/>
    <w:rsid w:val="00A062DD"/>
    <w:rsid w:val="00A07B2F"/>
    <w:rsid w:val="00A07C6A"/>
    <w:rsid w:val="00A07DC7"/>
    <w:rsid w:val="00A10427"/>
    <w:rsid w:val="00A11405"/>
    <w:rsid w:val="00A11704"/>
    <w:rsid w:val="00A12C0B"/>
    <w:rsid w:val="00A13529"/>
    <w:rsid w:val="00A1354C"/>
    <w:rsid w:val="00A13FE7"/>
    <w:rsid w:val="00A1532D"/>
    <w:rsid w:val="00A15842"/>
    <w:rsid w:val="00A208B1"/>
    <w:rsid w:val="00A2450D"/>
    <w:rsid w:val="00A26FD8"/>
    <w:rsid w:val="00A27F8B"/>
    <w:rsid w:val="00A30A46"/>
    <w:rsid w:val="00A30CE7"/>
    <w:rsid w:val="00A3205D"/>
    <w:rsid w:val="00A325EE"/>
    <w:rsid w:val="00A32774"/>
    <w:rsid w:val="00A3283C"/>
    <w:rsid w:val="00A33A01"/>
    <w:rsid w:val="00A33CA5"/>
    <w:rsid w:val="00A342B7"/>
    <w:rsid w:val="00A34600"/>
    <w:rsid w:val="00A3669A"/>
    <w:rsid w:val="00A3706B"/>
    <w:rsid w:val="00A40EA4"/>
    <w:rsid w:val="00A43389"/>
    <w:rsid w:val="00A44660"/>
    <w:rsid w:val="00A4565C"/>
    <w:rsid w:val="00A45C42"/>
    <w:rsid w:val="00A47790"/>
    <w:rsid w:val="00A51331"/>
    <w:rsid w:val="00A55E0B"/>
    <w:rsid w:val="00A57239"/>
    <w:rsid w:val="00A62203"/>
    <w:rsid w:val="00A63255"/>
    <w:rsid w:val="00A64FC0"/>
    <w:rsid w:val="00A65645"/>
    <w:rsid w:val="00A66EC2"/>
    <w:rsid w:val="00A67131"/>
    <w:rsid w:val="00A6783B"/>
    <w:rsid w:val="00A7112F"/>
    <w:rsid w:val="00A71758"/>
    <w:rsid w:val="00A72E2D"/>
    <w:rsid w:val="00A73157"/>
    <w:rsid w:val="00A743C4"/>
    <w:rsid w:val="00A75C3F"/>
    <w:rsid w:val="00A76493"/>
    <w:rsid w:val="00A76900"/>
    <w:rsid w:val="00A76FEE"/>
    <w:rsid w:val="00A807A2"/>
    <w:rsid w:val="00A808CC"/>
    <w:rsid w:val="00A82A3E"/>
    <w:rsid w:val="00A82CB3"/>
    <w:rsid w:val="00A82CB4"/>
    <w:rsid w:val="00A843D2"/>
    <w:rsid w:val="00A8481F"/>
    <w:rsid w:val="00A84B63"/>
    <w:rsid w:val="00A8591F"/>
    <w:rsid w:val="00A85C6B"/>
    <w:rsid w:val="00A86A9C"/>
    <w:rsid w:val="00A900D8"/>
    <w:rsid w:val="00A905C8"/>
    <w:rsid w:val="00A90A75"/>
    <w:rsid w:val="00A91269"/>
    <w:rsid w:val="00A91570"/>
    <w:rsid w:val="00A91F4C"/>
    <w:rsid w:val="00A95166"/>
    <w:rsid w:val="00A96FFB"/>
    <w:rsid w:val="00A97075"/>
    <w:rsid w:val="00A9724B"/>
    <w:rsid w:val="00AA04BB"/>
    <w:rsid w:val="00AA080D"/>
    <w:rsid w:val="00AA2988"/>
    <w:rsid w:val="00AA2A9E"/>
    <w:rsid w:val="00AA3197"/>
    <w:rsid w:val="00AA3B23"/>
    <w:rsid w:val="00AA581B"/>
    <w:rsid w:val="00AA60B5"/>
    <w:rsid w:val="00AA6A3C"/>
    <w:rsid w:val="00AA7E4B"/>
    <w:rsid w:val="00AB0075"/>
    <w:rsid w:val="00AB0168"/>
    <w:rsid w:val="00AB0B74"/>
    <w:rsid w:val="00AB1160"/>
    <w:rsid w:val="00AB13D0"/>
    <w:rsid w:val="00AB1F70"/>
    <w:rsid w:val="00AB3839"/>
    <w:rsid w:val="00AB5367"/>
    <w:rsid w:val="00AB77CD"/>
    <w:rsid w:val="00AC03B9"/>
    <w:rsid w:val="00AC0573"/>
    <w:rsid w:val="00AC0657"/>
    <w:rsid w:val="00AC0D54"/>
    <w:rsid w:val="00AC2E39"/>
    <w:rsid w:val="00AC357D"/>
    <w:rsid w:val="00AC3CE6"/>
    <w:rsid w:val="00AC5601"/>
    <w:rsid w:val="00AC5760"/>
    <w:rsid w:val="00AC5D70"/>
    <w:rsid w:val="00AC5FF3"/>
    <w:rsid w:val="00AC716A"/>
    <w:rsid w:val="00AC7491"/>
    <w:rsid w:val="00AD1681"/>
    <w:rsid w:val="00AD468F"/>
    <w:rsid w:val="00AD4BA0"/>
    <w:rsid w:val="00AD5C11"/>
    <w:rsid w:val="00AE0637"/>
    <w:rsid w:val="00AE0AEB"/>
    <w:rsid w:val="00AE0CF1"/>
    <w:rsid w:val="00AE219E"/>
    <w:rsid w:val="00AE22FA"/>
    <w:rsid w:val="00AE3A56"/>
    <w:rsid w:val="00AE3D24"/>
    <w:rsid w:val="00AE3ED0"/>
    <w:rsid w:val="00AE43C5"/>
    <w:rsid w:val="00AE48E9"/>
    <w:rsid w:val="00AE5278"/>
    <w:rsid w:val="00AE530A"/>
    <w:rsid w:val="00AE57D4"/>
    <w:rsid w:val="00AE59C7"/>
    <w:rsid w:val="00AF0960"/>
    <w:rsid w:val="00AF0B12"/>
    <w:rsid w:val="00AF11FA"/>
    <w:rsid w:val="00AF20BD"/>
    <w:rsid w:val="00AF2906"/>
    <w:rsid w:val="00AF436C"/>
    <w:rsid w:val="00AF4733"/>
    <w:rsid w:val="00AF71F9"/>
    <w:rsid w:val="00AF7A77"/>
    <w:rsid w:val="00B01497"/>
    <w:rsid w:val="00B019D7"/>
    <w:rsid w:val="00B02AB9"/>
    <w:rsid w:val="00B02E21"/>
    <w:rsid w:val="00B054D6"/>
    <w:rsid w:val="00B05B82"/>
    <w:rsid w:val="00B10F65"/>
    <w:rsid w:val="00B11AB5"/>
    <w:rsid w:val="00B11D24"/>
    <w:rsid w:val="00B12470"/>
    <w:rsid w:val="00B12532"/>
    <w:rsid w:val="00B129C1"/>
    <w:rsid w:val="00B12C98"/>
    <w:rsid w:val="00B133ED"/>
    <w:rsid w:val="00B150C3"/>
    <w:rsid w:val="00B16ED8"/>
    <w:rsid w:val="00B229A0"/>
    <w:rsid w:val="00B22F3B"/>
    <w:rsid w:val="00B23099"/>
    <w:rsid w:val="00B23786"/>
    <w:rsid w:val="00B23B87"/>
    <w:rsid w:val="00B245C9"/>
    <w:rsid w:val="00B257DF"/>
    <w:rsid w:val="00B25974"/>
    <w:rsid w:val="00B261BB"/>
    <w:rsid w:val="00B263FA"/>
    <w:rsid w:val="00B27B0A"/>
    <w:rsid w:val="00B27DCA"/>
    <w:rsid w:val="00B30205"/>
    <w:rsid w:val="00B306AB"/>
    <w:rsid w:val="00B30810"/>
    <w:rsid w:val="00B30C06"/>
    <w:rsid w:val="00B31477"/>
    <w:rsid w:val="00B3170D"/>
    <w:rsid w:val="00B32227"/>
    <w:rsid w:val="00B324DB"/>
    <w:rsid w:val="00B32833"/>
    <w:rsid w:val="00B335E4"/>
    <w:rsid w:val="00B34364"/>
    <w:rsid w:val="00B34B53"/>
    <w:rsid w:val="00B34C0B"/>
    <w:rsid w:val="00B34E52"/>
    <w:rsid w:val="00B35019"/>
    <w:rsid w:val="00B35BEA"/>
    <w:rsid w:val="00B35F5B"/>
    <w:rsid w:val="00B36936"/>
    <w:rsid w:val="00B37149"/>
    <w:rsid w:val="00B37E42"/>
    <w:rsid w:val="00B40CE6"/>
    <w:rsid w:val="00B424BC"/>
    <w:rsid w:val="00B42C81"/>
    <w:rsid w:val="00B444C4"/>
    <w:rsid w:val="00B44657"/>
    <w:rsid w:val="00B46B76"/>
    <w:rsid w:val="00B473CF"/>
    <w:rsid w:val="00B51AEE"/>
    <w:rsid w:val="00B531EE"/>
    <w:rsid w:val="00B53794"/>
    <w:rsid w:val="00B5482F"/>
    <w:rsid w:val="00B548ED"/>
    <w:rsid w:val="00B5625D"/>
    <w:rsid w:val="00B5663E"/>
    <w:rsid w:val="00B5679C"/>
    <w:rsid w:val="00B5796C"/>
    <w:rsid w:val="00B60274"/>
    <w:rsid w:val="00B609F3"/>
    <w:rsid w:val="00B62155"/>
    <w:rsid w:val="00B6255D"/>
    <w:rsid w:val="00B62764"/>
    <w:rsid w:val="00B646FA"/>
    <w:rsid w:val="00B64FEC"/>
    <w:rsid w:val="00B65877"/>
    <w:rsid w:val="00B65B9D"/>
    <w:rsid w:val="00B65E09"/>
    <w:rsid w:val="00B65FB2"/>
    <w:rsid w:val="00B661A8"/>
    <w:rsid w:val="00B67BF2"/>
    <w:rsid w:val="00B67DE6"/>
    <w:rsid w:val="00B715EF"/>
    <w:rsid w:val="00B7237A"/>
    <w:rsid w:val="00B7263C"/>
    <w:rsid w:val="00B73202"/>
    <w:rsid w:val="00B73932"/>
    <w:rsid w:val="00B74E58"/>
    <w:rsid w:val="00B760ED"/>
    <w:rsid w:val="00B762CD"/>
    <w:rsid w:val="00B76D04"/>
    <w:rsid w:val="00B7740A"/>
    <w:rsid w:val="00B80386"/>
    <w:rsid w:val="00B8076C"/>
    <w:rsid w:val="00B80A41"/>
    <w:rsid w:val="00B813FB"/>
    <w:rsid w:val="00B81878"/>
    <w:rsid w:val="00B83D6F"/>
    <w:rsid w:val="00B84853"/>
    <w:rsid w:val="00B84E65"/>
    <w:rsid w:val="00B86064"/>
    <w:rsid w:val="00B900E1"/>
    <w:rsid w:val="00B9248E"/>
    <w:rsid w:val="00B927D8"/>
    <w:rsid w:val="00B931AE"/>
    <w:rsid w:val="00B93E71"/>
    <w:rsid w:val="00B9544D"/>
    <w:rsid w:val="00B95CCE"/>
    <w:rsid w:val="00B96678"/>
    <w:rsid w:val="00B971AC"/>
    <w:rsid w:val="00BA00C6"/>
    <w:rsid w:val="00BA01A2"/>
    <w:rsid w:val="00BA0FB5"/>
    <w:rsid w:val="00BA10B5"/>
    <w:rsid w:val="00BA147F"/>
    <w:rsid w:val="00BA267B"/>
    <w:rsid w:val="00BA2F31"/>
    <w:rsid w:val="00BA3A58"/>
    <w:rsid w:val="00BA5A98"/>
    <w:rsid w:val="00BA614F"/>
    <w:rsid w:val="00BA6FB1"/>
    <w:rsid w:val="00BB0329"/>
    <w:rsid w:val="00BB0439"/>
    <w:rsid w:val="00BB0A40"/>
    <w:rsid w:val="00BB15FA"/>
    <w:rsid w:val="00BB1723"/>
    <w:rsid w:val="00BB1956"/>
    <w:rsid w:val="00BB2C6B"/>
    <w:rsid w:val="00BB2CEF"/>
    <w:rsid w:val="00BB38A5"/>
    <w:rsid w:val="00BB3F1F"/>
    <w:rsid w:val="00BB4D20"/>
    <w:rsid w:val="00BB56F7"/>
    <w:rsid w:val="00BB611E"/>
    <w:rsid w:val="00BB65E2"/>
    <w:rsid w:val="00BB71D1"/>
    <w:rsid w:val="00BC010E"/>
    <w:rsid w:val="00BC1D2D"/>
    <w:rsid w:val="00BC2624"/>
    <w:rsid w:val="00BC264F"/>
    <w:rsid w:val="00BC2E18"/>
    <w:rsid w:val="00BC37F2"/>
    <w:rsid w:val="00BC4793"/>
    <w:rsid w:val="00BC49AF"/>
    <w:rsid w:val="00BC597A"/>
    <w:rsid w:val="00BC6100"/>
    <w:rsid w:val="00BD09EC"/>
    <w:rsid w:val="00BD1AE5"/>
    <w:rsid w:val="00BD1EB1"/>
    <w:rsid w:val="00BD2ADD"/>
    <w:rsid w:val="00BD2B5D"/>
    <w:rsid w:val="00BD337C"/>
    <w:rsid w:val="00BD485E"/>
    <w:rsid w:val="00BD594E"/>
    <w:rsid w:val="00BD7A97"/>
    <w:rsid w:val="00BD7BD2"/>
    <w:rsid w:val="00BD7E41"/>
    <w:rsid w:val="00BE024F"/>
    <w:rsid w:val="00BE0A74"/>
    <w:rsid w:val="00BE24A2"/>
    <w:rsid w:val="00BE2AEA"/>
    <w:rsid w:val="00BE3378"/>
    <w:rsid w:val="00BE3595"/>
    <w:rsid w:val="00BE4AF4"/>
    <w:rsid w:val="00BE4E6E"/>
    <w:rsid w:val="00BE5EBA"/>
    <w:rsid w:val="00BE6982"/>
    <w:rsid w:val="00BE7037"/>
    <w:rsid w:val="00BE7962"/>
    <w:rsid w:val="00BF0786"/>
    <w:rsid w:val="00BF0F6D"/>
    <w:rsid w:val="00BF0FF9"/>
    <w:rsid w:val="00BF2747"/>
    <w:rsid w:val="00BF3138"/>
    <w:rsid w:val="00BF4F50"/>
    <w:rsid w:val="00BF5D4B"/>
    <w:rsid w:val="00BF6BBD"/>
    <w:rsid w:val="00BF7DA3"/>
    <w:rsid w:val="00C016F8"/>
    <w:rsid w:val="00C0170B"/>
    <w:rsid w:val="00C01DFA"/>
    <w:rsid w:val="00C022F9"/>
    <w:rsid w:val="00C02DBD"/>
    <w:rsid w:val="00C04A1B"/>
    <w:rsid w:val="00C072F4"/>
    <w:rsid w:val="00C07921"/>
    <w:rsid w:val="00C07EDD"/>
    <w:rsid w:val="00C10A87"/>
    <w:rsid w:val="00C12246"/>
    <w:rsid w:val="00C13C85"/>
    <w:rsid w:val="00C13D05"/>
    <w:rsid w:val="00C152F1"/>
    <w:rsid w:val="00C167FC"/>
    <w:rsid w:val="00C169CF"/>
    <w:rsid w:val="00C17C2E"/>
    <w:rsid w:val="00C2005E"/>
    <w:rsid w:val="00C207B9"/>
    <w:rsid w:val="00C2116D"/>
    <w:rsid w:val="00C2130C"/>
    <w:rsid w:val="00C218DB"/>
    <w:rsid w:val="00C22340"/>
    <w:rsid w:val="00C23055"/>
    <w:rsid w:val="00C2328C"/>
    <w:rsid w:val="00C23D6E"/>
    <w:rsid w:val="00C2771C"/>
    <w:rsid w:val="00C27765"/>
    <w:rsid w:val="00C279FA"/>
    <w:rsid w:val="00C27C57"/>
    <w:rsid w:val="00C3193D"/>
    <w:rsid w:val="00C321E4"/>
    <w:rsid w:val="00C331C2"/>
    <w:rsid w:val="00C33FC5"/>
    <w:rsid w:val="00C34A7C"/>
    <w:rsid w:val="00C34CDC"/>
    <w:rsid w:val="00C3508D"/>
    <w:rsid w:val="00C350AB"/>
    <w:rsid w:val="00C354CF"/>
    <w:rsid w:val="00C35630"/>
    <w:rsid w:val="00C364BC"/>
    <w:rsid w:val="00C42118"/>
    <w:rsid w:val="00C42763"/>
    <w:rsid w:val="00C429ED"/>
    <w:rsid w:val="00C42F7E"/>
    <w:rsid w:val="00C437EB"/>
    <w:rsid w:val="00C438A6"/>
    <w:rsid w:val="00C4430A"/>
    <w:rsid w:val="00C45013"/>
    <w:rsid w:val="00C46898"/>
    <w:rsid w:val="00C46D8F"/>
    <w:rsid w:val="00C47064"/>
    <w:rsid w:val="00C47A32"/>
    <w:rsid w:val="00C505B4"/>
    <w:rsid w:val="00C51E16"/>
    <w:rsid w:val="00C52497"/>
    <w:rsid w:val="00C53C31"/>
    <w:rsid w:val="00C5635D"/>
    <w:rsid w:val="00C57013"/>
    <w:rsid w:val="00C57BAB"/>
    <w:rsid w:val="00C57F5D"/>
    <w:rsid w:val="00C60115"/>
    <w:rsid w:val="00C60D9C"/>
    <w:rsid w:val="00C6176E"/>
    <w:rsid w:val="00C62EE9"/>
    <w:rsid w:val="00C63E87"/>
    <w:rsid w:val="00C64961"/>
    <w:rsid w:val="00C657B6"/>
    <w:rsid w:val="00C67200"/>
    <w:rsid w:val="00C675C2"/>
    <w:rsid w:val="00C70A96"/>
    <w:rsid w:val="00C713E2"/>
    <w:rsid w:val="00C72E33"/>
    <w:rsid w:val="00C737B2"/>
    <w:rsid w:val="00C7385A"/>
    <w:rsid w:val="00C738E1"/>
    <w:rsid w:val="00C74BD4"/>
    <w:rsid w:val="00C762B5"/>
    <w:rsid w:val="00C813EA"/>
    <w:rsid w:val="00C817B8"/>
    <w:rsid w:val="00C81DD5"/>
    <w:rsid w:val="00C85516"/>
    <w:rsid w:val="00C85BE4"/>
    <w:rsid w:val="00C86139"/>
    <w:rsid w:val="00C86632"/>
    <w:rsid w:val="00C87948"/>
    <w:rsid w:val="00C90D56"/>
    <w:rsid w:val="00C94249"/>
    <w:rsid w:val="00C9513B"/>
    <w:rsid w:val="00C96D89"/>
    <w:rsid w:val="00CA10C2"/>
    <w:rsid w:val="00CA12EF"/>
    <w:rsid w:val="00CA3FE5"/>
    <w:rsid w:val="00CA4685"/>
    <w:rsid w:val="00CA4F40"/>
    <w:rsid w:val="00CA5254"/>
    <w:rsid w:val="00CA599B"/>
    <w:rsid w:val="00CA7C8F"/>
    <w:rsid w:val="00CB15F8"/>
    <w:rsid w:val="00CB1711"/>
    <w:rsid w:val="00CB1D4B"/>
    <w:rsid w:val="00CB3D6A"/>
    <w:rsid w:val="00CB40F0"/>
    <w:rsid w:val="00CB7719"/>
    <w:rsid w:val="00CC119E"/>
    <w:rsid w:val="00CC2A73"/>
    <w:rsid w:val="00CC3C21"/>
    <w:rsid w:val="00CC3E0D"/>
    <w:rsid w:val="00CC4EA5"/>
    <w:rsid w:val="00CC5700"/>
    <w:rsid w:val="00CC656F"/>
    <w:rsid w:val="00CC74E3"/>
    <w:rsid w:val="00CD1C72"/>
    <w:rsid w:val="00CD2106"/>
    <w:rsid w:val="00CD2BFD"/>
    <w:rsid w:val="00CD6756"/>
    <w:rsid w:val="00CE050A"/>
    <w:rsid w:val="00CE245F"/>
    <w:rsid w:val="00CE2534"/>
    <w:rsid w:val="00CE25FD"/>
    <w:rsid w:val="00CE70E7"/>
    <w:rsid w:val="00CE78CE"/>
    <w:rsid w:val="00CE7A77"/>
    <w:rsid w:val="00CE7F28"/>
    <w:rsid w:val="00CF25F6"/>
    <w:rsid w:val="00CF31CF"/>
    <w:rsid w:val="00CF4E9F"/>
    <w:rsid w:val="00CF529D"/>
    <w:rsid w:val="00CF567B"/>
    <w:rsid w:val="00CF65E1"/>
    <w:rsid w:val="00CF7718"/>
    <w:rsid w:val="00CF7D97"/>
    <w:rsid w:val="00D00C8C"/>
    <w:rsid w:val="00D016E2"/>
    <w:rsid w:val="00D0227B"/>
    <w:rsid w:val="00D04F0B"/>
    <w:rsid w:val="00D05D2E"/>
    <w:rsid w:val="00D05E39"/>
    <w:rsid w:val="00D0617A"/>
    <w:rsid w:val="00D063CA"/>
    <w:rsid w:val="00D11C86"/>
    <w:rsid w:val="00D13CFB"/>
    <w:rsid w:val="00D148A2"/>
    <w:rsid w:val="00D149D5"/>
    <w:rsid w:val="00D14C9C"/>
    <w:rsid w:val="00D159DD"/>
    <w:rsid w:val="00D16349"/>
    <w:rsid w:val="00D21DCD"/>
    <w:rsid w:val="00D220E7"/>
    <w:rsid w:val="00D22F0A"/>
    <w:rsid w:val="00D2343F"/>
    <w:rsid w:val="00D25A76"/>
    <w:rsid w:val="00D27BCF"/>
    <w:rsid w:val="00D30147"/>
    <w:rsid w:val="00D315DB"/>
    <w:rsid w:val="00D31C1A"/>
    <w:rsid w:val="00D32618"/>
    <w:rsid w:val="00D32E14"/>
    <w:rsid w:val="00D336AF"/>
    <w:rsid w:val="00D33FF0"/>
    <w:rsid w:val="00D345AA"/>
    <w:rsid w:val="00D3493D"/>
    <w:rsid w:val="00D366AD"/>
    <w:rsid w:val="00D37A3C"/>
    <w:rsid w:val="00D37BDF"/>
    <w:rsid w:val="00D40E7F"/>
    <w:rsid w:val="00D420FF"/>
    <w:rsid w:val="00D42668"/>
    <w:rsid w:val="00D428E4"/>
    <w:rsid w:val="00D4350B"/>
    <w:rsid w:val="00D43FEB"/>
    <w:rsid w:val="00D440B7"/>
    <w:rsid w:val="00D441AC"/>
    <w:rsid w:val="00D45BEE"/>
    <w:rsid w:val="00D45F8F"/>
    <w:rsid w:val="00D46E83"/>
    <w:rsid w:val="00D479C8"/>
    <w:rsid w:val="00D47A06"/>
    <w:rsid w:val="00D52CAF"/>
    <w:rsid w:val="00D52EC6"/>
    <w:rsid w:val="00D53180"/>
    <w:rsid w:val="00D535EB"/>
    <w:rsid w:val="00D55BB1"/>
    <w:rsid w:val="00D55E8A"/>
    <w:rsid w:val="00D575F8"/>
    <w:rsid w:val="00D616CC"/>
    <w:rsid w:val="00D6368E"/>
    <w:rsid w:val="00D649E0"/>
    <w:rsid w:val="00D64EF6"/>
    <w:rsid w:val="00D66A3D"/>
    <w:rsid w:val="00D67600"/>
    <w:rsid w:val="00D703F3"/>
    <w:rsid w:val="00D70921"/>
    <w:rsid w:val="00D70AD1"/>
    <w:rsid w:val="00D70AED"/>
    <w:rsid w:val="00D70FAB"/>
    <w:rsid w:val="00D71DD7"/>
    <w:rsid w:val="00D72F24"/>
    <w:rsid w:val="00D743F3"/>
    <w:rsid w:val="00D755E1"/>
    <w:rsid w:val="00D764D5"/>
    <w:rsid w:val="00D76674"/>
    <w:rsid w:val="00D76C3D"/>
    <w:rsid w:val="00D76FEC"/>
    <w:rsid w:val="00D77A14"/>
    <w:rsid w:val="00D83189"/>
    <w:rsid w:val="00D8499B"/>
    <w:rsid w:val="00D84A61"/>
    <w:rsid w:val="00D84D16"/>
    <w:rsid w:val="00D858B3"/>
    <w:rsid w:val="00D90CB4"/>
    <w:rsid w:val="00D90F90"/>
    <w:rsid w:val="00D915E1"/>
    <w:rsid w:val="00D919E8"/>
    <w:rsid w:val="00D9252A"/>
    <w:rsid w:val="00D92E36"/>
    <w:rsid w:val="00D933E9"/>
    <w:rsid w:val="00D95255"/>
    <w:rsid w:val="00D95E00"/>
    <w:rsid w:val="00D95F7B"/>
    <w:rsid w:val="00D97BCA"/>
    <w:rsid w:val="00DA2553"/>
    <w:rsid w:val="00DA2735"/>
    <w:rsid w:val="00DA3EFC"/>
    <w:rsid w:val="00DA4DE3"/>
    <w:rsid w:val="00DA5204"/>
    <w:rsid w:val="00DA588B"/>
    <w:rsid w:val="00DA619C"/>
    <w:rsid w:val="00DA6D73"/>
    <w:rsid w:val="00DB0330"/>
    <w:rsid w:val="00DB0A60"/>
    <w:rsid w:val="00DB0F9A"/>
    <w:rsid w:val="00DB12C5"/>
    <w:rsid w:val="00DB1453"/>
    <w:rsid w:val="00DB2A05"/>
    <w:rsid w:val="00DB3770"/>
    <w:rsid w:val="00DB455B"/>
    <w:rsid w:val="00DB4C6D"/>
    <w:rsid w:val="00DB4DE0"/>
    <w:rsid w:val="00DB4F92"/>
    <w:rsid w:val="00DB5BFA"/>
    <w:rsid w:val="00DB754F"/>
    <w:rsid w:val="00DB7D27"/>
    <w:rsid w:val="00DC08A6"/>
    <w:rsid w:val="00DC25E7"/>
    <w:rsid w:val="00DC2603"/>
    <w:rsid w:val="00DC30CC"/>
    <w:rsid w:val="00DC4AC0"/>
    <w:rsid w:val="00DC4D05"/>
    <w:rsid w:val="00DC57E0"/>
    <w:rsid w:val="00DC65D0"/>
    <w:rsid w:val="00DC6957"/>
    <w:rsid w:val="00DD05D7"/>
    <w:rsid w:val="00DD0C77"/>
    <w:rsid w:val="00DD1025"/>
    <w:rsid w:val="00DD18F4"/>
    <w:rsid w:val="00DD3FCF"/>
    <w:rsid w:val="00DD3FE0"/>
    <w:rsid w:val="00DD429E"/>
    <w:rsid w:val="00DD47E8"/>
    <w:rsid w:val="00DD5BD0"/>
    <w:rsid w:val="00DD7640"/>
    <w:rsid w:val="00DD76E8"/>
    <w:rsid w:val="00DE0DC4"/>
    <w:rsid w:val="00DE1CA2"/>
    <w:rsid w:val="00DE36D3"/>
    <w:rsid w:val="00DE54B1"/>
    <w:rsid w:val="00DE61CD"/>
    <w:rsid w:val="00DE6B29"/>
    <w:rsid w:val="00DF036E"/>
    <w:rsid w:val="00DF03BA"/>
    <w:rsid w:val="00DF18C4"/>
    <w:rsid w:val="00DF1975"/>
    <w:rsid w:val="00DF244E"/>
    <w:rsid w:val="00DF6A7A"/>
    <w:rsid w:val="00E008F8"/>
    <w:rsid w:val="00E00949"/>
    <w:rsid w:val="00E00B25"/>
    <w:rsid w:val="00E01AA4"/>
    <w:rsid w:val="00E0209C"/>
    <w:rsid w:val="00E02321"/>
    <w:rsid w:val="00E0296B"/>
    <w:rsid w:val="00E04893"/>
    <w:rsid w:val="00E07D83"/>
    <w:rsid w:val="00E106AC"/>
    <w:rsid w:val="00E12FC1"/>
    <w:rsid w:val="00E130DB"/>
    <w:rsid w:val="00E130F1"/>
    <w:rsid w:val="00E13A5A"/>
    <w:rsid w:val="00E13BA0"/>
    <w:rsid w:val="00E15F35"/>
    <w:rsid w:val="00E16CAF"/>
    <w:rsid w:val="00E16DBD"/>
    <w:rsid w:val="00E1724E"/>
    <w:rsid w:val="00E2089B"/>
    <w:rsid w:val="00E22F4E"/>
    <w:rsid w:val="00E245DE"/>
    <w:rsid w:val="00E24903"/>
    <w:rsid w:val="00E24F78"/>
    <w:rsid w:val="00E300A6"/>
    <w:rsid w:val="00E31DC6"/>
    <w:rsid w:val="00E31ECD"/>
    <w:rsid w:val="00E33CCC"/>
    <w:rsid w:val="00E33DBF"/>
    <w:rsid w:val="00E34429"/>
    <w:rsid w:val="00E3470B"/>
    <w:rsid w:val="00E34A4C"/>
    <w:rsid w:val="00E3556A"/>
    <w:rsid w:val="00E37715"/>
    <w:rsid w:val="00E37890"/>
    <w:rsid w:val="00E37A6F"/>
    <w:rsid w:val="00E40334"/>
    <w:rsid w:val="00E4069D"/>
    <w:rsid w:val="00E40824"/>
    <w:rsid w:val="00E41022"/>
    <w:rsid w:val="00E42BAF"/>
    <w:rsid w:val="00E46CC8"/>
    <w:rsid w:val="00E47293"/>
    <w:rsid w:val="00E47617"/>
    <w:rsid w:val="00E47FAD"/>
    <w:rsid w:val="00E50335"/>
    <w:rsid w:val="00E52349"/>
    <w:rsid w:val="00E5278C"/>
    <w:rsid w:val="00E558E1"/>
    <w:rsid w:val="00E56238"/>
    <w:rsid w:val="00E5682B"/>
    <w:rsid w:val="00E5699C"/>
    <w:rsid w:val="00E578F5"/>
    <w:rsid w:val="00E604D1"/>
    <w:rsid w:val="00E607A9"/>
    <w:rsid w:val="00E6338B"/>
    <w:rsid w:val="00E64623"/>
    <w:rsid w:val="00E64CAC"/>
    <w:rsid w:val="00E65946"/>
    <w:rsid w:val="00E65B24"/>
    <w:rsid w:val="00E66B3D"/>
    <w:rsid w:val="00E67A35"/>
    <w:rsid w:val="00E701F5"/>
    <w:rsid w:val="00E70C2A"/>
    <w:rsid w:val="00E71655"/>
    <w:rsid w:val="00E72881"/>
    <w:rsid w:val="00E741C2"/>
    <w:rsid w:val="00E74D3A"/>
    <w:rsid w:val="00E752D1"/>
    <w:rsid w:val="00E758A2"/>
    <w:rsid w:val="00E76289"/>
    <w:rsid w:val="00E765E7"/>
    <w:rsid w:val="00E76A7B"/>
    <w:rsid w:val="00E76FBE"/>
    <w:rsid w:val="00E806CF"/>
    <w:rsid w:val="00E80D72"/>
    <w:rsid w:val="00E84D32"/>
    <w:rsid w:val="00E85585"/>
    <w:rsid w:val="00E85FB7"/>
    <w:rsid w:val="00E8763C"/>
    <w:rsid w:val="00E8797A"/>
    <w:rsid w:val="00E902A5"/>
    <w:rsid w:val="00E90E58"/>
    <w:rsid w:val="00E91EF1"/>
    <w:rsid w:val="00E9300B"/>
    <w:rsid w:val="00E93809"/>
    <w:rsid w:val="00E93D7F"/>
    <w:rsid w:val="00E96371"/>
    <w:rsid w:val="00E96FDC"/>
    <w:rsid w:val="00E97C15"/>
    <w:rsid w:val="00EA254F"/>
    <w:rsid w:val="00EA3619"/>
    <w:rsid w:val="00EA3CD8"/>
    <w:rsid w:val="00EA7B52"/>
    <w:rsid w:val="00EB0465"/>
    <w:rsid w:val="00EB05C8"/>
    <w:rsid w:val="00EB0CF6"/>
    <w:rsid w:val="00EB224C"/>
    <w:rsid w:val="00EB23E4"/>
    <w:rsid w:val="00EB27DB"/>
    <w:rsid w:val="00EB2EF1"/>
    <w:rsid w:val="00EB3759"/>
    <w:rsid w:val="00EB3AFA"/>
    <w:rsid w:val="00EB55E6"/>
    <w:rsid w:val="00EB7420"/>
    <w:rsid w:val="00EB7AD5"/>
    <w:rsid w:val="00EC0C1F"/>
    <w:rsid w:val="00EC0DA7"/>
    <w:rsid w:val="00EC13B9"/>
    <w:rsid w:val="00EC1BA1"/>
    <w:rsid w:val="00EC315B"/>
    <w:rsid w:val="00EC38B6"/>
    <w:rsid w:val="00EC3B48"/>
    <w:rsid w:val="00EC57C3"/>
    <w:rsid w:val="00EC5824"/>
    <w:rsid w:val="00EC5B29"/>
    <w:rsid w:val="00EC61E2"/>
    <w:rsid w:val="00EC6411"/>
    <w:rsid w:val="00EC6438"/>
    <w:rsid w:val="00EC730B"/>
    <w:rsid w:val="00ED008F"/>
    <w:rsid w:val="00ED4297"/>
    <w:rsid w:val="00ED57E3"/>
    <w:rsid w:val="00ED5D43"/>
    <w:rsid w:val="00EE0640"/>
    <w:rsid w:val="00EE2280"/>
    <w:rsid w:val="00EE23D5"/>
    <w:rsid w:val="00EE3E61"/>
    <w:rsid w:val="00EE3F43"/>
    <w:rsid w:val="00EE5129"/>
    <w:rsid w:val="00EE5690"/>
    <w:rsid w:val="00EE6836"/>
    <w:rsid w:val="00EE7421"/>
    <w:rsid w:val="00EF0117"/>
    <w:rsid w:val="00EF0788"/>
    <w:rsid w:val="00EF2961"/>
    <w:rsid w:val="00EF29BC"/>
    <w:rsid w:val="00EF317B"/>
    <w:rsid w:val="00EF3195"/>
    <w:rsid w:val="00EF7A60"/>
    <w:rsid w:val="00F003A5"/>
    <w:rsid w:val="00F01E03"/>
    <w:rsid w:val="00F02442"/>
    <w:rsid w:val="00F02778"/>
    <w:rsid w:val="00F02A20"/>
    <w:rsid w:val="00F02F8B"/>
    <w:rsid w:val="00F038ED"/>
    <w:rsid w:val="00F04AB5"/>
    <w:rsid w:val="00F05F41"/>
    <w:rsid w:val="00F06E4F"/>
    <w:rsid w:val="00F07AF4"/>
    <w:rsid w:val="00F10A94"/>
    <w:rsid w:val="00F1121F"/>
    <w:rsid w:val="00F12662"/>
    <w:rsid w:val="00F1376B"/>
    <w:rsid w:val="00F1582A"/>
    <w:rsid w:val="00F15B06"/>
    <w:rsid w:val="00F169B3"/>
    <w:rsid w:val="00F16CF1"/>
    <w:rsid w:val="00F16E05"/>
    <w:rsid w:val="00F17175"/>
    <w:rsid w:val="00F17D92"/>
    <w:rsid w:val="00F2454C"/>
    <w:rsid w:val="00F25D94"/>
    <w:rsid w:val="00F26348"/>
    <w:rsid w:val="00F3009D"/>
    <w:rsid w:val="00F30107"/>
    <w:rsid w:val="00F32B06"/>
    <w:rsid w:val="00F36482"/>
    <w:rsid w:val="00F37CDF"/>
    <w:rsid w:val="00F42844"/>
    <w:rsid w:val="00F4357F"/>
    <w:rsid w:val="00F444A4"/>
    <w:rsid w:val="00F447C6"/>
    <w:rsid w:val="00F460C8"/>
    <w:rsid w:val="00F461FF"/>
    <w:rsid w:val="00F476D1"/>
    <w:rsid w:val="00F53DA7"/>
    <w:rsid w:val="00F541EC"/>
    <w:rsid w:val="00F54701"/>
    <w:rsid w:val="00F5498C"/>
    <w:rsid w:val="00F56015"/>
    <w:rsid w:val="00F5619B"/>
    <w:rsid w:val="00F56277"/>
    <w:rsid w:val="00F56BC4"/>
    <w:rsid w:val="00F56F4A"/>
    <w:rsid w:val="00F57D78"/>
    <w:rsid w:val="00F57DD3"/>
    <w:rsid w:val="00F57F8A"/>
    <w:rsid w:val="00F60555"/>
    <w:rsid w:val="00F60D95"/>
    <w:rsid w:val="00F619F0"/>
    <w:rsid w:val="00F62869"/>
    <w:rsid w:val="00F62C4B"/>
    <w:rsid w:val="00F64DF7"/>
    <w:rsid w:val="00F65F26"/>
    <w:rsid w:val="00F7265C"/>
    <w:rsid w:val="00F73490"/>
    <w:rsid w:val="00F744BE"/>
    <w:rsid w:val="00F7534B"/>
    <w:rsid w:val="00F753A3"/>
    <w:rsid w:val="00F76C38"/>
    <w:rsid w:val="00F779CD"/>
    <w:rsid w:val="00F80305"/>
    <w:rsid w:val="00F80402"/>
    <w:rsid w:val="00F8042F"/>
    <w:rsid w:val="00F8076C"/>
    <w:rsid w:val="00F80925"/>
    <w:rsid w:val="00F81418"/>
    <w:rsid w:val="00F8276C"/>
    <w:rsid w:val="00F85430"/>
    <w:rsid w:val="00F87B99"/>
    <w:rsid w:val="00F87DA6"/>
    <w:rsid w:val="00F91A9C"/>
    <w:rsid w:val="00F91B4E"/>
    <w:rsid w:val="00F92772"/>
    <w:rsid w:val="00F92E6F"/>
    <w:rsid w:val="00F93489"/>
    <w:rsid w:val="00F93663"/>
    <w:rsid w:val="00F94765"/>
    <w:rsid w:val="00F956E5"/>
    <w:rsid w:val="00F96610"/>
    <w:rsid w:val="00FA2DA7"/>
    <w:rsid w:val="00FA3D2A"/>
    <w:rsid w:val="00FA65F1"/>
    <w:rsid w:val="00FA6BD0"/>
    <w:rsid w:val="00FA7493"/>
    <w:rsid w:val="00FB0D12"/>
    <w:rsid w:val="00FB0E1E"/>
    <w:rsid w:val="00FB20D6"/>
    <w:rsid w:val="00FB2AAC"/>
    <w:rsid w:val="00FB3E89"/>
    <w:rsid w:val="00FB3ED1"/>
    <w:rsid w:val="00FB4206"/>
    <w:rsid w:val="00FB4459"/>
    <w:rsid w:val="00FB5074"/>
    <w:rsid w:val="00FB575F"/>
    <w:rsid w:val="00FB7944"/>
    <w:rsid w:val="00FB7BB3"/>
    <w:rsid w:val="00FC146C"/>
    <w:rsid w:val="00FC18AB"/>
    <w:rsid w:val="00FC1BDC"/>
    <w:rsid w:val="00FC2480"/>
    <w:rsid w:val="00FC316B"/>
    <w:rsid w:val="00FC5EE1"/>
    <w:rsid w:val="00FC5F89"/>
    <w:rsid w:val="00FC640B"/>
    <w:rsid w:val="00FD02EB"/>
    <w:rsid w:val="00FD02F8"/>
    <w:rsid w:val="00FD175C"/>
    <w:rsid w:val="00FD26A5"/>
    <w:rsid w:val="00FD2BF3"/>
    <w:rsid w:val="00FD33FF"/>
    <w:rsid w:val="00FD36BF"/>
    <w:rsid w:val="00FD434C"/>
    <w:rsid w:val="00FD4D24"/>
    <w:rsid w:val="00FD5C3C"/>
    <w:rsid w:val="00FD625A"/>
    <w:rsid w:val="00FD6818"/>
    <w:rsid w:val="00FD7201"/>
    <w:rsid w:val="00FD7346"/>
    <w:rsid w:val="00FE1818"/>
    <w:rsid w:val="00FE1B65"/>
    <w:rsid w:val="00FE1B9F"/>
    <w:rsid w:val="00FE274D"/>
    <w:rsid w:val="00FE36F2"/>
    <w:rsid w:val="00FE3C87"/>
    <w:rsid w:val="00FE4383"/>
    <w:rsid w:val="00FF098A"/>
    <w:rsid w:val="00FF0FB1"/>
    <w:rsid w:val="00FF1171"/>
    <w:rsid w:val="00FF1588"/>
    <w:rsid w:val="00FF26B3"/>
    <w:rsid w:val="00FF486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49C7C2"/>
  <w15:chartTrackingRefBased/>
  <w15:docId w15:val="{A5A0841E-0771-4FCA-8AAC-E525C0369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BF4"/>
    <w:pPr>
      <w:spacing w:after="0" w:line="240" w:lineRule="auto"/>
    </w:pPr>
    <w:rPr>
      <w:rFonts w:ascii="Times New Roman" w:eastAsia="Times New Roman" w:hAnsi="Times New Roman" w:cs="Times New Roman"/>
      <w:sz w:val="24"/>
      <w:szCs w:val="24"/>
      <w:lang w:val="en-NG" w:eastAsia="en-NG"/>
    </w:rPr>
  </w:style>
  <w:style w:type="paragraph" w:styleId="Heading1">
    <w:name w:val="heading 1"/>
    <w:basedOn w:val="Normal"/>
    <w:next w:val="Normal"/>
    <w:link w:val="Heading1Char"/>
    <w:uiPriority w:val="9"/>
    <w:qFormat/>
    <w:rsid w:val="00B76D04"/>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link w:val="Heading2Char"/>
    <w:uiPriority w:val="9"/>
    <w:qFormat/>
    <w:rsid w:val="00B054D6"/>
    <w:pPr>
      <w:spacing w:before="100" w:beforeAutospacing="1" w:after="100" w:afterAutospacing="1"/>
      <w:outlineLvl w:val="1"/>
    </w:pPr>
    <w:rPr>
      <w:b/>
      <w:bCs/>
      <w:sz w:val="36"/>
      <w:szCs w:val="36"/>
      <w:lang w:eastAsia="en-US"/>
    </w:rPr>
  </w:style>
  <w:style w:type="paragraph" w:styleId="Heading6">
    <w:name w:val="heading 6"/>
    <w:basedOn w:val="Normal"/>
    <w:next w:val="Normal"/>
    <w:link w:val="Heading6Char"/>
    <w:uiPriority w:val="9"/>
    <w:semiHidden/>
    <w:unhideWhenUsed/>
    <w:qFormat/>
    <w:rsid w:val="005400B4"/>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54D6"/>
    <w:rPr>
      <w:rFonts w:ascii="Times New Roman" w:eastAsia="Times New Roman" w:hAnsi="Times New Roman" w:cs="Times New Roman"/>
      <w:b/>
      <w:bCs/>
      <w:sz w:val="36"/>
      <w:szCs w:val="36"/>
    </w:rPr>
  </w:style>
  <w:style w:type="paragraph" w:styleId="Title">
    <w:name w:val="Title"/>
    <w:basedOn w:val="Normal"/>
    <w:next w:val="Normal"/>
    <w:link w:val="TitleChar"/>
    <w:uiPriority w:val="10"/>
    <w:qFormat/>
    <w:rsid w:val="00B76D04"/>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B76D0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76D04"/>
    <w:pPr>
      <w:tabs>
        <w:tab w:val="center" w:pos="4513"/>
        <w:tab w:val="right" w:pos="9026"/>
      </w:tabs>
    </w:pPr>
    <w:rPr>
      <w:rFonts w:asciiTheme="minorHAnsi" w:hAnsiTheme="minorHAnsi"/>
      <w:sz w:val="22"/>
      <w:szCs w:val="22"/>
      <w:lang w:eastAsia="en-US"/>
    </w:rPr>
  </w:style>
  <w:style w:type="character" w:customStyle="1" w:styleId="HeaderChar">
    <w:name w:val="Header Char"/>
    <w:basedOn w:val="DefaultParagraphFont"/>
    <w:link w:val="Header"/>
    <w:uiPriority w:val="99"/>
    <w:rsid w:val="00B76D04"/>
  </w:style>
  <w:style w:type="paragraph" w:styleId="Footer">
    <w:name w:val="footer"/>
    <w:basedOn w:val="Normal"/>
    <w:link w:val="FooterChar"/>
    <w:uiPriority w:val="99"/>
    <w:unhideWhenUsed/>
    <w:rsid w:val="00B76D04"/>
    <w:pPr>
      <w:tabs>
        <w:tab w:val="center" w:pos="4513"/>
        <w:tab w:val="right" w:pos="9026"/>
      </w:tabs>
    </w:pPr>
    <w:rPr>
      <w:rFonts w:asciiTheme="minorHAnsi" w:hAnsiTheme="minorHAnsi"/>
      <w:sz w:val="22"/>
      <w:szCs w:val="22"/>
      <w:lang w:eastAsia="en-US"/>
    </w:rPr>
  </w:style>
  <w:style w:type="character" w:customStyle="1" w:styleId="FooterChar">
    <w:name w:val="Footer Char"/>
    <w:basedOn w:val="DefaultParagraphFont"/>
    <w:link w:val="Footer"/>
    <w:uiPriority w:val="99"/>
    <w:rsid w:val="00B76D04"/>
  </w:style>
  <w:style w:type="character" w:customStyle="1" w:styleId="Heading1Char">
    <w:name w:val="Heading 1 Char"/>
    <w:basedOn w:val="DefaultParagraphFont"/>
    <w:link w:val="Heading1"/>
    <w:uiPriority w:val="9"/>
    <w:qFormat/>
    <w:rsid w:val="00B76D04"/>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BD1AE5"/>
    <w:rPr>
      <w:i/>
      <w:iCs/>
    </w:rPr>
  </w:style>
  <w:style w:type="paragraph" w:styleId="NormalWeb">
    <w:name w:val="Normal (Web)"/>
    <w:basedOn w:val="Normal"/>
    <w:uiPriority w:val="99"/>
    <w:unhideWhenUsed/>
    <w:rsid w:val="00415141"/>
    <w:pPr>
      <w:spacing w:before="100" w:beforeAutospacing="1" w:after="100" w:afterAutospacing="1"/>
    </w:pPr>
    <w:rPr>
      <w:lang w:eastAsia="en-US"/>
    </w:rPr>
  </w:style>
  <w:style w:type="character" w:styleId="Hyperlink">
    <w:name w:val="Hyperlink"/>
    <w:basedOn w:val="DefaultParagraphFont"/>
    <w:uiPriority w:val="99"/>
    <w:semiHidden/>
    <w:unhideWhenUsed/>
    <w:rsid w:val="00415141"/>
    <w:rPr>
      <w:color w:val="0000FF"/>
      <w:u w:val="single"/>
    </w:rPr>
  </w:style>
  <w:style w:type="table" w:styleId="TableGrid">
    <w:name w:val="Table Grid"/>
    <w:basedOn w:val="TableNormal"/>
    <w:uiPriority w:val="39"/>
    <w:rsid w:val="00082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B731B"/>
    <w:pPr>
      <w:spacing w:after="0" w:line="240" w:lineRule="auto"/>
    </w:pPr>
    <w:rPr>
      <w:rFonts w:ascii="Calibri" w:eastAsia="Calibri" w:hAnsi="Calibri" w:cs="Calibri"/>
      <w:lang w:val="en-US" w:eastAsia="x-none"/>
    </w:rPr>
  </w:style>
  <w:style w:type="table" w:styleId="GridTable4-Accent5">
    <w:name w:val="Grid Table 4 Accent 5"/>
    <w:basedOn w:val="TableNormal"/>
    <w:uiPriority w:val="49"/>
    <w:rsid w:val="007B73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2">
    <w:name w:val="Grid Table 2 Accent 2"/>
    <w:basedOn w:val="TableNormal"/>
    <w:uiPriority w:val="47"/>
    <w:rsid w:val="004C5E1C"/>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8E4BD4"/>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8E4BD4"/>
    <w:rPr>
      <w:rFonts w:ascii="Segoe UI" w:hAnsi="Segoe UI" w:cs="Segoe UI"/>
      <w:sz w:val="18"/>
      <w:szCs w:val="18"/>
    </w:rPr>
  </w:style>
  <w:style w:type="paragraph" w:styleId="ListParagraph">
    <w:name w:val="List Paragraph"/>
    <w:basedOn w:val="Normal"/>
    <w:uiPriority w:val="34"/>
    <w:qFormat/>
    <w:rsid w:val="00DE54B1"/>
    <w:pPr>
      <w:spacing w:after="160" w:line="259" w:lineRule="auto"/>
      <w:ind w:left="720"/>
      <w:contextualSpacing/>
    </w:pPr>
    <w:rPr>
      <w:rFonts w:asciiTheme="minorHAnsi" w:hAnsiTheme="minorHAnsi"/>
      <w:sz w:val="22"/>
      <w:szCs w:val="22"/>
      <w:lang w:eastAsia="en-US"/>
    </w:rPr>
  </w:style>
  <w:style w:type="table" w:styleId="GridTable2-Accent1">
    <w:name w:val="Grid Table 2 Accent 1"/>
    <w:basedOn w:val="TableNormal"/>
    <w:uiPriority w:val="47"/>
    <w:rsid w:val="00DE54B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3E5B70"/>
    <w:rPr>
      <w:b/>
      <w:bCs/>
    </w:rPr>
  </w:style>
  <w:style w:type="character" w:customStyle="1" w:styleId="line-clamp-1">
    <w:name w:val="line-clamp-1"/>
    <w:basedOn w:val="DefaultParagraphFont"/>
    <w:rsid w:val="00BB1723"/>
  </w:style>
  <w:style w:type="character" w:customStyle="1" w:styleId="overflow-hidden">
    <w:name w:val="overflow-hidden"/>
    <w:basedOn w:val="DefaultParagraphFont"/>
    <w:rsid w:val="00764F58"/>
  </w:style>
  <w:style w:type="character" w:customStyle="1" w:styleId="morecontent">
    <w:name w:val="morecontent"/>
    <w:basedOn w:val="DefaultParagraphFont"/>
    <w:rsid w:val="002D3B56"/>
  </w:style>
  <w:style w:type="paragraph" w:styleId="z-TopofForm">
    <w:name w:val="HTML Top of Form"/>
    <w:basedOn w:val="Normal"/>
    <w:next w:val="Normal"/>
    <w:link w:val="z-TopofFormChar"/>
    <w:hidden/>
    <w:uiPriority w:val="99"/>
    <w:semiHidden/>
    <w:unhideWhenUsed/>
    <w:rsid w:val="007A64B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A64B0"/>
    <w:rPr>
      <w:rFonts w:ascii="Arial" w:eastAsia="Times New Roman" w:hAnsi="Arial" w:cs="Arial"/>
      <w:vanish/>
      <w:sz w:val="16"/>
      <w:szCs w:val="16"/>
      <w:lang w:val="en-NG" w:eastAsia="en-NG"/>
    </w:rPr>
  </w:style>
  <w:style w:type="paragraph" w:customStyle="1" w:styleId="placeholder">
    <w:name w:val="placeholder"/>
    <w:basedOn w:val="Normal"/>
    <w:rsid w:val="007A64B0"/>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7A64B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A64B0"/>
    <w:rPr>
      <w:rFonts w:ascii="Arial" w:eastAsia="Times New Roman" w:hAnsi="Arial" w:cs="Arial"/>
      <w:vanish/>
      <w:sz w:val="16"/>
      <w:szCs w:val="16"/>
      <w:lang w:val="en-NG" w:eastAsia="en-NG"/>
    </w:rPr>
  </w:style>
  <w:style w:type="character" w:customStyle="1" w:styleId="sr-only">
    <w:name w:val="sr-only"/>
    <w:basedOn w:val="DefaultParagraphFont"/>
    <w:rsid w:val="00321C32"/>
  </w:style>
  <w:style w:type="character" w:customStyle="1" w:styleId="Heading6Char">
    <w:name w:val="Heading 6 Char"/>
    <w:basedOn w:val="DefaultParagraphFont"/>
    <w:link w:val="Heading6"/>
    <w:uiPriority w:val="9"/>
    <w:semiHidden/>
    <w:rsid w:val="005400B4"/>
    <w:rPr>
      <w:rFonts w:asciiTheme="majorHAnsi" w:eastAsiaTheme="majorEastAsia" w:hAnsiTheme="majorHAnsi" w:cstheme="majorBidi"/>
      <w:color w:val="1F3763" w:themeColor="accent1" w:themeShade="7F"/>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0867">
      <w:bodyDiv w:val="1"/>
      <w:marLeft w:val="0"/>
      <w:marRight w:val="0"/>
      <w:marTop w:val="0"/>
      <w:marBottom w:val="0"/>
      <w:divBdr>
        <w:top w:val="none" w:sz="0" w:space="0" w:color="auto"/>
        <w:left w:val="none" w:sz="0" w:space="0" w:color="auto"/>
        <w:bottom w:val="none" w:sz="0" w:space="0" w:color="auto"/>
        <w:right w:val="none" w:sz="0" w:space="0" w:color="auto"/>
      </w:divBdr>
      <w:divsChild>
        <w:div w:id="1619214414">
          <w:marLeft w:val="0"/>
          <w:marRight w:val="0"/>
          <w:marTop w:val="0"/>
          <w:marBottom w:val="0"/>
          <w:divBdr>
            <w:top w:val="none" w:sz="0" w:space="0" w:color="auto"/>
            <w:left w:val="none" w:sz="0" w:space="0" w:color="auto"/>
            <w:bottom w:val="none" w:sz="0" w:space="0" w:color="auto"/>
            <w:right w:val="none" w:sz="0" w:space="0" w:color="auto"/>
          </w:divBdr>
          <w:divsChild>
            <w:div w:id="1344624542">
              <w:marLeft w:val="0"/>
              <w:marRight w:val="0"/>
              <w:marTop w:val="0"/>
              <w:marBottom w:val="0"/>
              <w:divBdr>
                <w:top w:val="none" w:sz="0" w:space="0" w:color="auto"/>
                <w:left w:val="none" w:sz="0" w:space="0" w:color="auto"/>
                <w:bottom w:val="none" w:sz="0" w:space="0" w:color="auto"/>
                <w:right w:val="none" w:sz="0" w:space="0" w:color="auto"/>
              </w:divBdr>
              <w:divsChild>
                <w:div w:id="1555123477">
                  <w:marLeft w:val="0"/>
                  <w:marRight w:val="0"/>
                  <w:marTop w:val="0"/>
                  <w:marBottom w:val="0"/>
                  <w:divBdr>
                    <w:top w:val="none" w:sz="0" w:space="0" w:color="auto"/>
                    <w:left w:val="none" w:sz="0" w:space="0" w:color="auto"/>
                    <w:bottom w:val="none" w:sz="0" w:space="0" w:color="auto"/>
                    <w:right w:val="none" w:sz="0" w:space="0" w:color="auto"/>
                  </w:divBdr>
                  <w:divsChild>
                    <w:div w:id="863716636">
                      <w:marLeft w:val="0"/>
                      <w:marRight w:val="0"/>
                      <w:marTop w:val="0"/>
                      <w:marBottom w:val="0"/>
                      <w:divBdr>
                        <w:top w:val="none" w:sz="0" w:space="0" w:color="auto"/>
                        <w:left w:val="none" w:sz="0" w:space="0" w:color="auto"/>
                        <w:bottom w:val="none" w:sz="0" w:space="0" w:color="auto"/>
                        <w:right w:val="none" w:sz="0" w:space="0" w:color="auto"/>
                      </w:divBdr>
                      <w:divsChild>
                        <w:div w:id="848103312">
                          <w:marLeft w:val="0"/>
                          <w:marRight w:val="0"/>
                          <w:marTop w:val="0"/>
                          <w:marBottom w:val="0"/>
                          <w:divBdr>
                            <w:top w:val="none" w:sz="0" w:space="0" w:color="auto"/>
                            <w:left w:val="none" w:sz="0" w:space="0" w:color="auto"/>
                            <w:bottom w:val="none" w:sz="0" w:space="0" w:color="auto"/>
                            <w:right w:val="none" w:sz="0" w:space="0" w:color="auto"/>
                          </w:divBdr>
                          <w:divsChild>
                            <w:div w:id="21292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67375">
      <w:bodyDiv w:val="1"/>
      <w:marLeft w:val="0"/>
      <w:marRight w:val="0"/>
      <w:marTop w:val="0"/>
      <w:marBottom w:val="0"/>
      <w:divBdr>
        <w:top w:val="none" w:sz="0" w:space="0" w:color="auto"/>
        <w:left w:val="none" w:sz="0" w:space="0" w:color="auto"/>
        <w:bottom w:val="none" w:sz="0" w:space="0" w:color="auto"/>
        <w:right w:val="none" w:sz="0" w:space="0" w:color="auto"/>
      </w:divBdr>
    </w:div>
    <w:div w:id="154272997">
      <w:bodyDiv w:val="1"/>
      <w:marLeft w:val="0"/>
      <w:marRight w:val="0"/>
      <w:marTop w:val="0"/>
      <w:marBottom w:val="0"/>
      <w:divBdr>
        <w:top w:val="none" w:sz="0" w:space="0" w:color="auto"/>
        <w:left w:val="none" w:sz="0" w:space="0" w:color="auto"/>
        <w:bottom w:val="none" w:sz="0" w:space="0" w:color="auto"/>
        <w:right w:val="none" w:sz="0" w:space="0" w:color="auto"/>
      </w:divBdr>
    </w:div>
    <w:div w:id="158353481">
      <w:bodyDiv w:val="1"/>
      <w:marLeft w:val="0"/>
      <w:marRight w:val="0"/>
      <w:marTop w:val="0"/>
      <w:marBottom w:val="0"/>
      <w:divBdr>
        <w:top w:val="none" w:sz="0" w:space="0" w:color="auto"/>
        <w:left w:val="none" w:sz="0" w:space="0" w:color="auto"/>
        <w:bottom w:val="none" w:sz="0" w:space="0" w:color="auto"/>
        <w:right w:val="none" w:sz="0" w:space="0" w:color="auto"/>
      </w:divBdr>
    </w:div>
    <w:div w:id="165170020">
      <w:bodyDiv w:val="1"/>
      <w:marLeft w:val="0"/>
      <w:marRight w:val="0"/>
      <w:marTop w:val="0"/>
      <w:marBottom w:val="0"/>
      <w:divBdr>
        <w:top w:val="none" w:sz="0" w:space="0" w:color="auto"/>
        <w:left w:val="none" w:sz="0" w:space="0" w:color="auto"/>
        <w:bottom w:val="none" w:sz="0" w:space="0" w:color="auto"/>
        <w:right w:val="none" w:sz="0" w:space="0" w:color="auto"/>
      </w:divBdr>
      <w:divsChild>
        <w:div w:id="2113277489">
          <w:marLeft w:val="0"/>
          <w:marRight w:val="0"/>
          <w:marTop w:val="0"/>
          <w:marBottom w:val="0"/>
          <w:divBdr>
            <w:top w:val="none" w:sz="0" w:space="0" w:color="auto"/>
            <w:left w:val="none" w:sz="0" w:space="0" w:color="auto"/>
            <w:bottom w:val="none" w:sz="0" w:space="0" w:color="auto"/>
            <w:right w:val="none" w:sz="0" w:space="0" w:color="auto"/>
          </w:divBdr>
          <w:divsChild>
            <w:div w:id="1741899901">
              <w:marLeft w:val="0"/>
              <w:marRight w:val="0"/>
              <w:marTop w:val="0"/>
              <w:marBottom w:val="0"/>
              <w:divBdr>
                <w:top w:val="none" w:sz="0" w:space="0" w:color="auto"/>
                <w:left w:val="none" w:sz="0" w:space="0" w:color="auto"/>
                <w:bottom w:val="none" w:sz="0" w:space="0" w:color="auto"/>
                <w:right w:val="none" w:sz="0" w:space="0" w:color="auto"/>
              </w:divBdr>
              <w:divsChild>
                <w:div w:id="487404620">
                  <w:marLeft w:val="0"/>
                  <w:marRight w:val="0"/>
                  <w:marTop w:val="0"/>
                  <w:marBottom w:val="0"/>
                  <w:divBdr>
                    <w:top w:val="none" w:sz="0" w:space="0" w:color="auto"/>
                    <w:left w:val="none" w:sz="0" w:space="0" w:color="auto"/>
                    <w:bottom w:val="none" w:sz="0" w:space="0" w:color="auto"/>
                    <w:right w:val="none" w:sz="0" w:space="0" w:color="auto"/>
                  </w:divBdr>
                  <w:divsChild>
                    <w:div w:id="51390474">
                      <w:marLeft w:val="0"/>
                      <w:marRight w:val="0"/>
                      <w:marTop w:val="0"/>
                      <w:marBottom w:val="0"/>
                      <w:divBdr>
                        <w:top w:val="none" w:sz="0" w:space="0" w:color="auto"/>
                        <w:left w:val="none" w:sz="0" w:space="0" w:color="auto"/>
                        <w:bottom w:val="none" w:sz="0" w:space="0" w:color="auto"/>
                        <w:right w:val="none" w:sz="0" w:space="0" w:color="auto"/>
                      </w:divBdr>
                      <w:divsChild>
                        <w:div w:id="610935151">
                          <w:marLeft w:val="0"/>
                          <w:marRight w:val="0"/>
                          <w:marTop w:val="0"/>
                          <w:marBottom w:val="0"/>
                          <w:divBdr>
                            <w:top w:val="none" w:sz="0" w:space="0" w:color="auto"/>
                            <w:left w:val="none" w:sz="0" w:space="0" w:color="auto"/>
                            <w:bottom w:val="none" w:sz="0" w:space="0" w:color="auto"/>
                            <w:right w:val="none" w:sz="0" w:space="0" w:color="auto"/>
                          </w:divBdr>
                          <w:divsChild>
                            <w:div w:id="369577310">
                              <w:marLeft w:val="0"/>
                              <w:marRight w:val="0"/>
                              <w:marTop w:val="0"/>
                              <w:marBottom w:val="0"/>
                              <w:divBdr>
                                <w:top w:val="none" w:sz="0" w:space="0" w:color="auto"/>
                                <w:left w:val="none" w:sz="0" w:space="0" w:color="auto"/>
                                <w:bottom w:val="none" w:sz="0" w:space="0" w:color="auto"/>
                                <w:right w:val="none" w:sz="0" w:space="0" w:color="auto"/>
                              </w:divBdr>
                              <w:divsChild>
                                <w:div w:id="1909802546">
                                  <w:marLeft w:val="0"/>
                                  <w:marRight w:val="0"/>
                                  <w:marTop w:val="0"/>
                                  <w:marBottom w:val="0"/>
                                  <w:divBdr>
                                    <w:top w:val="none" w:sz="0" w:space="0" w:color="auto"/>
                                    <w:left w:val="none" w:sz="0" w:space="0" w:color="auto"/>
                                    <w:bottom w:val="none" w:sz="0" w:space="0" w:color="auto"/>
                                    <w:right w:val="none" w:sz="0" w:space="0" w:color="auto"/>
                                  </w:divBdr>
                                  <w:divsChild>
                                    <w:div w:id="13769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5865">
                          <w:marLeft w:val="0"/>
                          <w:marRight w:val="0"/>
                          <w:marTop w:val="0"/>
                          <w:marBottom w:val="0"/>
                          <w:divBdr>
                            <w:top w:val="none" w:sz="0" w:space="0" w:color="auto"/>
                            <w:left w:val="none" w:sz="0" w:space="0" w:color="auto"/>
                            <w:bottom w:val="none" w:sz="0" w:space="0" w:color="auto"/>
                            <w:right w:val="none" w:sz="0" w:space="0" w:color="auto"/>
                          </w:divBdr>
                          <w:divsChild>
                            <w:div w:id="1291089954">
                              <w:marLeft w:val="0"/>
                              <w:marRight w:val="0"/>
                              <w:marTop w:val="0"/>
                              <w:marBottom w:val="0"/>
                              <w:divBdr>
                                <w:top w:val="none" w:sz="0" w:space="0" w:color="auto"/>
                                <w:left w:val="none" w:sz="0" w:space="0" w:color="auto"/>
                                <w:bottom w:val="none" w:sz="0" w:space="0" w:color="auto"/>
                                <w:right w:val="none" w:sz="0" w:space="0" w:color="auto"/>
                              </w:divBdr>
                              <w:divsChild>
                                <w:div w:id="88136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39306">
      <w:bodyDiv w:val="1"/>
      <w:marLeft w:val="0"/>
      <w:marRight w:val="0"/>
      <w:marTop w:val="0"/>
      <w:marBottom w:val="0"/>
      <w:divBdr>
        <w:top w:val="none" w:sz="0" w:space="0" w:color="auto"/>
        <w:left w:val="none" w:sz="0" w:space="0" w:color="auto"/>
        <w:bottom w:val="none" w:sz="0" w:space="0" w:color="auto"/>
        <w:right w:val="none" w:sz="0" w:space="0" w:color="auto"/>
      </w:divBdr>
    </w:div>
    <w:div w:id="201132090">
      <w:bodyDiv w:val="1"/>
      <w:marLeft w:val="0"/>
      <w:marRight w:val="0"/>
      <w:marTop w:val="0"/>
      <w:marBottom w:val="0"/>
      <w:divBdr>
        <w:top w:val="none" w:sz="0" w:space="0" w:color="auto"/>
        <w:left w:val="none" w:sz="0" w:space="0" w:color="auto"/>
        <w:bottom w:val="none" w:sz="0" w:space="0" w:color="auto"/>
        <w:right w:val="none" w:sz="0" w:space="0" w:color="auto"/>
      </w:divBdr>
    </w:div>
    <w:div w:id="203829338">
      <w:bodyDiv w:val="1"/>
      <w:marLeft w:val="0"/>
      <w:marRight w:val="0"/>
      <w:marTop w:val="0"/>
      <w:marBottom w:val="0"/>
      <w:divBdr>
        <w:top w:val="none" w:sz="0" w:space="0" w:color="auto"/>
        <w:left w:val="none" w:sz="0" w:space="0" w:color="auto"/>
        <w:bottom w:val="none" w:sz="0" w:space="0" w:color="auto"/>
        <w:right w:val="none" w:sz="0" w:space="0" w:color="auto"/>
      </w:divBdr>
    </w:div>
    <w:div w:id="236013229">
      <w:bodyDiv w:val="1"/>
      <w:marLeft w:val="0"/>
      <w:marRight w:val="0"/>
      <w:marTop w:val="0"/>
      <w:marBottom w:val="0"/>
      <w:divBdr>
        <w:top w:val="none" w:sz="0" w:space="0" w:color="auto"/>
        <w:left w:val="none" w:sz="0" w:space="0" w:color="auto"/>
        <w:bottom w:val="none" w:sz="0" w:space="0" w:color="auto"/>
        <w:right w:val="none" w:sz="0" w:space="0" w:color="auto"/>
      </w:divBdr>
    </w:div>
    <w:div w:id="243689819">
      <w:bodyDiv w:val="1"/>
      <w:marLeft w:val="0"/>
      <w:marRight w:val="0"/>
      <w:marTop w:val="0"/>
      <w:marBottom w:val="0"/>
      <w:divBdr>
        <w:top w:val="none" w:sz="0" w:space="0" w:color="auto"/>
        <w:left w:val="none" w:sz="0" w:space="0" w:color="auto"/>
        <w:bottom w:val="none" w:sz="0" w:space="0" w:color="auto"/>
        <w:right w:val="none" w:sz="0" w:space="0" w:color="auto"/>
      </w:divBdr>
    </w:div>
    <w:div w:id="249774326">
      <w:bodyDiv w:val="1"/>
      <w:marLeft w:val="0"/>
      <w:marRight w:val="0"/>
      <w:marTop w:val="0"/>
      <w:marBottom w:val="0"/>
      <w:divBdr>
        <w:top w:val="none" w:sz="0" w:space="0" w:color="auto"/>
        <w:left w:val="none" w:sz="0" w:space="0" w:color="auto"/>
        <w:bottom w:val="none" w:sz="0" w:space="0" w:color="auto"/>
        <w:right w:val="none" w:sz="0" w:space="0" w:color="auto"/>
      </w:divBdr>
    </w:div>
    <w:div w:id="259028863">
      <w:bodyDiv w:val="1"/>
      <w:marLeft w:val="0"/>
      <w:marRight w:val="0"/>
      <w:marTop w:val="0"/>
      <w:marBottom w:val="0"/>
      <w:divBdr>
        <w:top w:val="none" w:sz="0" w:space="0" w:color="auto"/>
        <w:left w:val="none" w:sz="0" w:space="0" w:color="auto"/>
        <w:bottom w:val="none" w:sz="0" w:space="0" w:color="auto"/>
        <w:right w:val="none" w:sz="0" w:space="0" w:color="auto"/>
      </w:divBdr>
      <w:divsChild>
        <w:div w:id="1194881549">
          <w:marLeft w:val="0"/>
          <w:marRight w:val="0"/>
          <w:marTop w:val="0"/>
          <w:marBottom w:val="0"/>
          <w:divBdr>
            <w:top w:val="none" w:sz="0" w:space="0" w:color="auto"/>
            <w:left w:val="none" w:sz="0" w:space="0" w:color="auto"/>
            <w:bottom w:val="none" w:sz="0" w:space="0" w:color="auto"/>
            <w:right w:val="none" w:sz="0" w:space="0" w:color="auto"/>
          </w:divBdr>
          <w:divsChild>
            <w:div w:id="172036920">
              <w:marLeft w:val="0"/>
              <w:marRight w:val="0"/>
              <w:marTop w:val="0"/>
              <w:marBottom w:val="0"/>
              <w:divBdr>
                <w:top w:val="none" w:sz="0" w:space="0" w:color="auto"/>
                <w:left w:val="none" w:sz="0" w:space="0" w:color="auto"/>
                <w:bottom w:val="none" w:sz="0" w:space="0" w:color="auto"/>
                <w:right w:val="none" w:sz="0" w:space="0" w:color="auto"/>
              </w:divBdr>
              <w:divsChild>
                <w:div w:id="1933854004">
                  <w:marLeft w:val="0"/>
                  <w:marRight w:val="0"/>
                  <w:marTop w:val="0"/>
                  <w:marBottom w:val="0"/>
                  <w:divBdr>
                    <w:top w:val="none" w:sz="0" w:space="0" w:color="auto"/>
                    <w:left w:val="none" w:sz="0" w:space="0" w:color="auto"/>
                    <w:bottom w:val="none" w:sz="0" w:space="0" w:color="auto"/>
                    <w:right w:val="none" w:sz="0" w:space="0" w:color="auto"/>
                  </w:divBdr>
                  <w:divsChild>
                    <w:div w:id="126885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08680">
          <w:marLeft w:val="0"/>
          <w:marRight w:val="0"/>
          <w:marTop w:val="0"/>
          <w:marBottom w:val="0"/>
          <w:divBdr>
            <w:top w:val="none" w:sz="0" w:space="0" w:color="auto"/>
            <w:left w:val="none" w:sz="0" w:space="0" w:color="auto"/>
            <w:bottom w:val="none" w:sz="0" w:space="0" w:color="auto"/>
            <w:right w:val="none" w:sz="0" w:space="0" w:color="auto"/>
          </w:divBdr>
          <w:divsChild>
            <w:div w:id="400828744">
              <w:marLeft w:val="0"/>
              <w:marRight w:val="0"/>
              <w:marTop w:val="0"/>
              <w:marBottom w:val="0"/>
              <w:divBdr>
                <w:top w:val="none" w:sz="0" w:space="0" w:color="auto"/>
                <w:left w:val="none" w:sz="0" w:space="0" w:color="auto"/>
                <w:bottom w:val="none" w:sz="0" w:space="0" w:color="auto"/>
                <w:right w:val="none" w:sz="0" w:space="0" w:color="auto"/>
              </w:divBdr>
              <w:divsChild>
                <w:div w:id="445974913">
                  <w:marLeft w:val="0"/>
                  <w:marRight w:val="0"/>
                  <w:marTop w:val="0"/>
                  <w:marBottom w:val="0"/>
                  <w:divBdr>
                    <w:top w:val="none" w:sz="0" w:space="0" w:color="auto"/>
                    <w:left w:val="none" w:sz="0" w:space="0" w:color="auto"/>
                    <w:bottom w:val="none" w:sz="0" w:space="0" w:color="auto"/>
                    <w:right w:val="none" w:sz="0" w:space="0" w:color="auto"/>
                  </w:divBdr>
                  <w:divsChild>
                    <w:div w:id="3428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924085">
      <w:bodyDiv w:val="1"/>
      <w:marLeft w:val="0"/>
      <w:marRight w:val="0"/>
      <w:marTop w:val="0"/>
      <w:marBottom w:val="0"/>
      <w:divBdr>
        <w:top w:val="none" w:sz="0" w:space="0" w:color="auto"/>
        <w:left w:val="none" w:sz="0" w:space="0" w:color="auto"/>
        <w:bottom w:val="none" w:sz="0" w:space="0" w:color="auto"/>
        <w:right w:val="none" w:sz="0" w:space="0" w:color="auto"/>
      </w:divBdr>
      <w:divsChild>
        <w:div w:id="1555122011">
          <w:marLeft w:val="0"/>
          <w:marRight w:val="0"/>
          <w:marTop w:val="0"/>
          <w:marBottom w:val="0"/>
          <w:divBdr>
            <w:top w:val="none" w:sz="0" w:space="0" w:color="auto"/>
            <w:left w:val="none" w:sz="0" w:space="0" w:color="auto"/>
            <w:bottom w:val="none" w:sz="0" w:space="0" w:color="auto"/>
            <w:right w:val="none" w:sz="0" w:space="0" w:color="auto"/>
          </w:divBdr>
        </w:div>
      </w:divsChild>
    </w:div>
    <w:div w:id="303199183">
      <w:bodyDiv w:val="1"/>
      <w:marLeft w:val="0"/>
      <w:marRight w:val="0"/>
      <w:marTop w:val="0"/>
      <w:marBottom w:val="0"/>
      <w:divBdr>
        <w:top w:val="none" w:sz="0" w:space="0" w:color="auto"/>
        <w:left w:val="none" w:sz="0" w:space="0" w:color="auto"/>
        <w:bottom w:val="none" w:sz="0" w:space="0" w:color="auto"/>
        <w:right w:val="none" w:sz="0" w:space="0" w:color="auto"/>
      </w:divBdr>
    </w:div>
    <w:div w:id="317467358">
      <w:bodyDiv w:val="1"/>
      <w:marLeft w:val="0"/>
      <w:marRight w:val="0"/>
      <w:marTop w:val="0"/>
      <w:marBottom w:val="0"/>
      <w:divBdr>
        <w:top w:val="none" w:sz="0" w:space="0" w:color="auto"/>
        <w:left w:val="none" w:sz="0" w:space="0" w:color="auto"/>
        <w:bottom w:val="none" w:sz="0" w:space="0" w:color="auto"/>
        <w:right w:val="none" w:sz="0" w:space="0" w:color="auto"/>
      </w:divBdr>
    </w:div>
    <w:div w:id="323360733">
      <w:bodyDiv w:val="1"/>
      <w:marLeft w:val="0"/>
      <w:marRight w:val="0"/>
      <w:marTop w:val="0"/>
      <w:marBottom w:val="0"/>
      <w:divBdr>
        <w:top w:val="none" w:sz="0" w:space="0" w:color="auto"/>
        <w:left w:val="none" w:sz="0" w:space="0" w:color="auto"/>
        <w:bottom w:val="none" w:sz="0" w:space="0" w:color="auto"/>
        <w:right w:val="none" w:sz="0" w:space="0" w:color="auto"/>
      </w:divBdr>
      <w:divsChild>
        <w:div w:id="526718604">
          <w:marLeft w:val="0"/>
          <w:marRight w:val="0"/>
          <w:marTop w:val="0"/>
          <w:marBottom w:val="0"/>
          <w:divBdr>
            <w:top w:val="none" w:sz="0" w:space="0" w:color="auto"/>
            <w:left w:val="none" w:sz="0" w:space="0" w:color="auto"/>
            <w:bottom w:val="none" w:sz="0" w:space="0" w:color="auto"/>
            <w:right w:val="none" w:sz="0" w:space="0" w:color="auto"/>
          </w:divBdr>
          <w:divsChild>
            <w:div w:id="534777050">
              <w:marLeft w:val="0"/>
              <w:marRight w:val="0"/>
              <w:marTop w:val="0"/>
              <w:marBottom w:val="0"/>
              <w:divBdr>
                <w:top w:val="none" w:sz="0" w:space="0" w:color="auto"/>
                <w:left w:val="none" w:sz="0" w:space="0" w:color="auto"/>
                <w:bottom w:val="none" w:sz="0" w:space="0" w:color="auto"/>
                <w:right w:val="none" w:sz="0" w:space="0" w:color="auto"/>
              </w:divBdr>
              <w:divsChild>
                <w:div w:id="372078941">
                  <w:marLeft w:val="0"/>
                  <w:marRight w:val="0"/>
                  <w:marTop w:val="0"/>
                  <w:marBottom w:val="0"/>
                  <w:divBdr>
                    <w:top w:val="none" w:sz="0" w:space="0" w:color="auto"/>
                    <w:left w:val="none" w:sz="0" w:space="0" w:color="auto"/>
                    <w:bottom w:val="none" w:sz="0" w:space="0" w:color="auto"/>
                    <w:right w:val="none" w:sz="0" w:space="0" w:color="auto"/>
                  </w:divBdr>
                  <w:divsChild>
                    <w:div w:id="6107130">
                      <w:marLeft w:val="0"/>
                      <w:marRight w:val="0"/>
                      <w:marTop w:val="0"/>
                      <w:marBottom w:val="0"/>
                      <w:divBdr>
                        <w:top w:val="none" w:sz="0" w:space="0" w:color="auto"/>
                        <w:left w:val="none" w:sz="0" w:space="0" w:color="auto"/>
                        <w:bottom w:val="none" w:sz="0" w:space="0" w:color="auto"/>
                        <w:right w:val="none" w:sz="0" w:space="0" w:color="auto"/>
                      </w:divBdr>
                      <w:divsChild>
                        <w:div w:id="806892714">
                          <w:marLeft w:val="0"/>
                          <w:marRight w:val="0"/>
                          <w:marTop w:val="0"/>
                          <w:marBottom w:val="0"/>
                          <w:divBdr>
                            <w:top w:val="none" w:sz="0" w:space="0" w:color="auto"/>
                            <w:left w:val="none" w:sz="0" w:space="0" w:color="auto"/>
                            <w:bottom w:val="none" w:sz="0" w:space="0" w:color="auto"/>
                            <w:right w:val="none" w:sz="0" w:space="0" w:color="auto"/>
                          </w:divBdr>
                          <w:divsChild>
                            <w:div w:id="9715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259896">
      <w:bodyDiv w:val="1"/>
      <w:marLeft w:val="0"/>
      <w:marRight w:val="0"/>
      <w:marTop w:val="0"/>
      <w:marBottom w:val="0"/>
      <w:divBdr>
        <w:top w:val="none" w:sz="0" w:space="0" w:color="auto"/>
        <w:left w:val="none" w:sz="0" w:space="0" w:color="auto"/>
        <w:bottom w:val="none" w:sz="0" w:space="0" w:color="auto"/>
        <w:right w:val="none" w:sz="0" w:space="0" w:color="auto"/>
      </w:divBdr>
    </w:div>
    <w:div w:id="391854599">
      <w:bodyDiv w:val="1"/>
      <w:marLeft w:val="0"/>
      <w:marRight w:val="0"/>
      <w:marTop w:val="0"/>
      <w:marBottom w:val="0"/>
      <w:divBdr>
        <w:top w:val="none" w:sz="0" w:space="0" w:color="auto"/>
        <w:left w:val="none" w:sz="0" w:space="0" w:color="auto"/>
        <w:bottom w:val="none" w:sz="0" w:space="0" w:color="auto"/>
        <w:right w:val="none" w:sz="0" w:space="0" w:color="auto"/>
      </w:divBdr>
      <w:divsChild>
        <w:div w:id="2106462463">
          <w:marLeft w:val="0"/>
          <w:marRight w:val="0"/>
          <w:marTop w:val="0"/>
          <w:marBottom w:val="0"/>
          <w:divBdr>
            <w:top w:val="none" w:sz="0" w:space="0" w:color="auto"/>
            <w:left w:val="none" w:sz="0" w:space="0" w:color="auto"/>
            <w:bottom w:val="none" w:sz="0" w:space="0" w:color="auto"/>
            <w:right w:val="none" w:sz="0" w:space="0" w:color="auto"/>
          </w:divBdr>
          <w:divsChild>
            <w:div w:id="190193796">
              <w:marLeft w:val="0"/>
              <w:marRight w:val="0"/>
              <w:marTop w:val="0"/>
              <w:marBottom w:val="0"/>
              <w:divBdr>
                <w:top w:val="none" w:sz="0" w:space="0" w:color="auto"/>
                <w:left w:val="none" w:sz="0" w:space="0" w:color="auto"/>
                <w:bottom w:val="none" w:sz="0" w:space="0" w:color="auto"/>
                <w:right w:val="none" w:sz="0" w:space="0" w:color="auto"/>
              </w:divBdr>
              <w:divsChild>
                <w:div w:id="985470571">
                  <w:marLeft w:val="0"/>
                  <w:marRight w:val="0"/>
                  <w:marTop w:val="0"/>
                  <w:marBottom w:val="0"/>
                  <w:divBdr>
                    <w:top w:val="none" w:sz="0" w:space="0" w:color="auto"/>
                    <w:left w:val="none" w:sz="0" w:space="0" w:color="auto"/>
                    <w:bottom w:val="none" w:sz="0" w:space="0" w:color="auto"/>
                    <w:right w:val="none" w:sz="0" w:space="0" w:color="auto"/>
                  </w:divBdr>
                  <w:divsChild>
                    <w:div w:id="3990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073875">
          <w:marLeft w:val="0"/>
          <w:marRight w:val="0"/>
          <w:marTop w:val="0"/>
          <w:marBottom w:val="0"/>
          <w:divBdr>
            <w:top w:val="none" w:sz="0" w:space="0" w:color="auto"/>
            <w:left w:val="none" w:sz="0" w:space="0" w:color="auto"/>
            <w:bottom w:val="none" w:sz="0" w:space="0" w:color="auto"/>
            <w:right w:val="none" w:sz="0" w:space="0" w:color="auto"/>
          </w:divBdr>
          <w:divsChild>
            <w:div w:id="496385747">
              <w:marLeft w:val="0"/>
              <w:marRight w:val="0"/>
              <w:marTop w:val="0"/>
              <w:marBottom w:val="0"/>
              <w:divBdr>
                <w:top w:val="none" w:sz="0" w:space="0" w:color="auto"/>
                <w:left w:val="none" w:sz="0" w:space="0" w:color="auto"/>
                <w:bottom w:val="none" w:sz="0" w:space="0" w:color="auto"/>
                <w:right w:val="none" w:sz="0" w:space="0" w:color="auto"/>
              </w:divBdr>
              <w:divsChild>
                <w:div w:id="671685845">
                  <w:marLeft w:val="0"/>
                  <w:marRight w:val="0"/>
                  <w:marTop w:val="0"/>
                  <w:marBottom w:val="0"/>
                  <w:divBdr>
                    <w:top w:val="none" w:sz="0" w:space="0" w:color="auto"/>
                    <w:left w:val="none" w:sz="0" w:space="0" w:color="auto"/>
                    <w:bottom w:val="none" w:sz="0" w:space="0" w:color="auto"/>
                    <w:right w:val="none" w:sz="0" w:space="0" w:color="auto"/>
                  </w:divBdr>
                  <w:divsChild>
                    <w:div w:id="64936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456004">
      <w:bodyDiv w:val="1"/>
      <w:marLeft w:val="0"/>
      <w:marRight w:val="0"/>
      <w:marTop w:val="0"/>
      <w:marBottom w:val="0"/>
      <w:divBdr>
        <w:top w:val="none" w:sz="0" w:space="0" w:color="auto"/>
        <w:left w:val="none" w:sz="0" w:space="0" w:color="auto"/>
        <w:bottom w:val="none" w:sz="0" w:space="0" w:color="auto"/>
        <w:right w:val="none" w:sz="0" w:space="0" w:color="auto"/>
      </w:divBdr>
    </w:div>
    <w:div w:id="426922907">
      <w:bodyDiv w:val="1"/>
      <w:marLeft w:val="0"/>
      <w:marRight w:val="0"/>
      <w:marTop w:val="0"/>
      <w:marBottom w:val="0"/>
      <w:divBdr>
        <w:top w:val="none" w:sz="0" w:space="0" w:color="auto"/>
        <w:left w:val="none" w:sz="0" w:space="0" w:color="auto"/>
        <w:bottom w:val="none" w:sz="0" w:space="0" w:color="auto"/>
        <w:right w:val="none" w:sz="0" w:space="0" w:color="auto"/>
      </w:divBdr>
    </w:div>
    <w:div w:id="447747288">
      <w:bodyDiv w:val="1"/>
      <w:marLeft w:val="0"/>
      <w:marRight w:val="0"/>
      <w:marTop w:val="0"/>
      <w:marBottom w:val="0"/>
      <w:divBdr>
        <w:top w:val="none" w:sz="0" w:space="0" w:color="auto"/>
        <w:left w:val="none" w:sz="0" w:space="0" w:color="auto"/>
        <w:bottom w:val="none" w:sz="0" w:space="0" w:color="auto"/>
        <w:right w:val="none" w:sz="0" w:space="0" w:color="auto"/>
      </w:divBdr>
      <w:divsChild>
        <w:div w:id="1347436703">
          <w:marLeft w:val="0"/>
          <w:marRight w:val="0"/>
          <w:marTop w:val="0"/>
          <w:marBottom w:val="0"/>
          <w:divBdr>
            <w:top w:val="none" w:sz="0" w:space="0" w:color="auto"/>
            <w:left w:val="none" w:sz="0" w:space="0" w:color="auto"/>
            <w:bottom w:val="none" w:sz="0" w:space="0" w:color="auto"/>
            <w:right w:val="none" w:sz="0" w:space="0" w:color="auto"/>
          </w:divBdr>
          <w:divsChild>
            <w:div w:id="1357972502">
              <w:marLeft w:val="0"/>
              <w:marRight w:val="0"/>
              <w:marTop w:val="0"/>
              <w:marBottom w:val="0"/>
              <w:divBdr>
                <w:top w:val="none" w:sz="0" w:space="0" w:color="auto"/>
                <w:left w:val="none" w:sz="0" w:space="0" w:color="auto"/>
                <w:bottom w:val="none" w:sz="0" w:space="0" w:color="auto"/>
                <w:right w:val="none" w:sz="0" w:space="0" w:color="auto"/>
              </w:divBdr>
              <w:divsChild>
                <w:div w:id="171916845">
                  <w:marLeft w:val="0"/>
                  <w:marRight w:val="0"/>
                  <w:marTop w:val="0"/>
                  <w:marBottom w:val="0"/>
                  <w:divBdr>
                    <w:top w:val="none" w:sz="0" w:space="0" w:color="auto"/>
                    <w:left w:val="none" w:sz="0" w:space="0" w:color="auto"/>
                    <w:bottom w:val="none" w:sz="0" w:space="0" w:color="auto"/>
                    <w:right w:val="none" w:sz="0" w:space="0" w:color="auto"/>
                  </w:divBdr>
                  <w:divsChild>
                    <w:div w:id="7526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4710">
          <w:marLeft w:val="0"/>
          <w:marRight w:val="0"/>
          <w:marTop w:val="0"/>
          <w:marBottom w:val="0"/>
          <w:divBdr>
            <w:top w:val="none" w:sz="0" w:space="0" w:color="auto"/>
            <w:left w:val="none" w:sz="0" w:space="0" w:color="auto"/>
            <w:bottom w:val="none" w:sz="0" w:space="0" w:color="auto"/>
            <w:right w:val="none" w:sz="0" w:space="0" w:color="auto"/>
          </w:divBdr>
          <w:divsChild>
            <w:div w:id="334184773">
              <w:marLeft w:val="0"/>
              <w:marRight w:val="0"/>
              <w:marTop w:val="0"/>
              <w:marBottom w:val="0"/>
              <w:divBdr>
                <w:top w:val="none" w:sz="0" w:space="0" w:color="auto"/>
                <w:left w:val="none" w:sz="0" w:space="0" w:color="auto"/>
                <w:bottom w:val="none" w:sz="0" w:space="0" w:color="auto"/>
                <w:right w:val="none" w:sz="0" w:space="0" w:color="auto"/>
              </w:divBdr>
              <w:divsChild>
                <w:div w:id="1861696380">
                  <w:marLeft w:val="0"/>
                  <w:marRight w:val="0"/>
                  <w:marTop w:val="0"/>
                  <w:marBottom w:val="0"/>
                  <w:divBdr>
                    <w:top w:val="none" w:sz="0" w:space="0" w:color="auto"/>
                    <w:left w:val="none" w:sz="0" w:space="0" w:color="auto"/>
                    <w:bottom w:val="none" w:sz="0" w:space="0" w:color="auto"/>
                    <w:right w:val="none" w:sz="0" w:space="0" w:color="auto"/>
                  </w:divBdr>
                  <w:divsChild>
                    <w:div w:id="10713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95878">
      <w:bodyDiv w:val="1"/>
      <w:marLeft w:val="0"/>
      <w:marRight w:val="0"/>
      <w:marTop w:val="0"/>
      <w:marBottom w:val="0"/>
      <w:divBdr>
        <w:top w:val="none" w:sz="0" w:space="0" w:color="auto"/>
        <w:left w:val="none" w:sz="0" w:space="0" w:color="auto"/>
        <w:bottom w:val="none" w:sz="0" w:space="0" w:color="auto"/>
        <w:right w:val="none" w:sz="0" w:space="0" w:color="auto"/>
      </w:divBdr>
    </w:div>
    <w:div w:id="490487850">
      <w:bodyDiv w:val="1"/>
      <w:marLeft w:val="0"/>
      <w:marRight w:val="0"/>
      <w:marTop w:val="0"/>
      <w:marBottom w:val="0"/>
      <w:divBdr>
        <w:top w:val="none" w:sz="0" w:space="0" w:color="auto"/>
        <w:left w:val="none" w:sz="0" w:space="0" w:color="auto"/>
        <w:bottom w:val="none" w:sz="0" w:space="0" w:color="auto"/>
        <w:right w:val="none" w:sz="0" w:space="0" w:color="auto"/>
      </w:divBdr>
      <w:divsChild>
        <w:div w:id="1526943076">
          <w:marLeft w:val="0"/>
          <w:marRight w:val="0"/>
          <w:marTop w:val="0"/>
          <w:marBottom w:val="0"/>
          <w:divBdr>
            <w:top w:val="none" w:sz="0" w:space="0" w:color="auto"/>
            <w:left w:val="none" w:sz="0" w:space="0" w:color="auto"/>
            <w:bottom w:val="none" w:sz="0" w:space="0" w:color="auto"/>
            <w:right w:val="none" w:sz="0" w:space="0" w:color="auto"/>
          </w:divBdr>
          <w:divsChild>
            <w:div w:id="2120642523">
              <w:marLeft w:val="0"/>
              <w:marRight w:val="0"/>
              <w:marTop w:val="0"/>
              <w:marBottom w:val="0"/>
              <w:divBdr>
                <w:top w:val="none" w:sz="0" w:space="0" w:color="auto"/>
                <w:left w:val="none" w:sz="0" w:space="0" w:color="auto"/>
                <w:bottom w:val="none" w:sz="0" w:space="0" w:color="auto"/>
                <w:right w:val="none" w:sz="0" w:space="0" w:color="auto"/>
              </w:divBdr>
              <w:divsChild>
                <w:div w:id="682247927">
                  <w:marLeft w:val="0"/>
                  <w:marRight w:val="0"/>
                  <w:marTop w:val="0"/>
                  <w:marBottom w:val="0"/>
                  <w:divBdr>
                    <w:top w:val="none" w:sz="0" w:space="0" w:color="auto"/>
                    <w:left w:val="none" w:sz="0" w:space="0" w:color="auto"/>
                    <w:bottom w:val="none" w:sz="0" w:space="0" w:color="auto"/>
                    <w:right w:val="none" w:sz="0" w:space="0" w:color="auto"/>
                  </w:divBdr>
                  <w:divsChild>
                    <w:div w:id="519708839">
                      <w:marLeft w:val="0"/>
                      <w:marRight w:val="0"/>
                      <w:marTop w:val="0"/>
                      <w:marBottom w:val="0"/>
                      <w:divBdr>
                        <w:top w:val="none" w:sz="0" w:space="0" w:color="auto"/>
                        <w:left w:val="none" w:sz="0" w:space="0" w:color="auto"/>
                        <w:bottom w:val="none" w:sz="0" w:space="0" w:color="auto"/>
                        <w:right w:val="none" w:sz="0" w:space="0" w:color="auto"/>
                      </w:divBdr>
                      <w:divsChild>
                        <w:div w:id="141314374">
                          <w:marLeft w:val="0"/>
                          <w:marRight w:val="0"/>
                          <w:marTop w:val="0"/>
                          <w:marBottom w:val="0"/>
                          <w:divBdr>
                            <w:top w:val="none" w:sz="0" w:space="0" w:color="auto"/>
                            <w:left w:val="none" w:sz="0" w:space="0" w:color="auto"/>
                            <w:bottom w:val="none" w:sz="0" w:space="0" w:color="auto"/>
                            <w:right w:val="none" w:sz="0" w:space="0" w:color="auto"/>
                          </w:divBdr>
                          <w:divsChild>
                            <w:div w:id="20124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460796">
      <w:bodyDiv w:val="1"/>
      <w:marLeft w:val="0"/>
      <w:marRight w:val="0"/>
      <w:marTop w:val="0"/>
      <w:marBottom w:val="0"/>
      <w:divBdr>
        <w:top w:val="none" w:sz="0" w:space="0" w:color="auto"/>
        <w:left w:val="none" w:sz="0" w:space="0" w:color="auto"/>
        <w:bottom w:val="none" w:sz="0" w:space="0" w:color="auto"/>
        <w:right w:val="none" w:sz="0" w:space="0" w:color="auto"/>
      </w:divBdr>
    </w:div>
    <w:div w:id="521239445">
      <w:bodyDiv w:val="1"/>
      <w:marLeft w:val="0"/>
      <w:marRight w:val="0"/>
      <w:marTop w:val="0"/>
      <w:marBottom w:val="0"/>
      <w:divBdr>
        <w:top w:val="none" w:sz="0" w:space="0" w:color="auto"/>
        <w:left w:val="none" w:sz="0" w:space="0" w:color="auto"/>
        <w:bottom w:val="none" w:sz="0" w:space="0" w:color="auto"/>
        <w:right w:val="none" w:sz="0" w:space="0" w:color="auto"/>
      </w:divBdr>
    </w:div>
    <w:div w:id="553811931">
      <w:bodyDiv w:val="1"/>
      <w:marLeft w:val="0"/>
      <w:marRight w:val="0"/>
      <w:marTop w:val="0"/>
      <w:marBottom w:val="0"/>
      <w:divBdr>
        <w:top w:val="none" w:sz="0" w:space="0" w:color="auto"/>
        <w:left w:val="none" w:sz="0" w:space="0" w:color="auto"/>
        <w:bottom w:val="none" w:sz="0" w:space="0" w:color="auto"/>
        <w:right w:val="none" w:sz="0" w:space="0" w:color="auto"/>
      </w:divBdr>
      <w:divsChild>
        <w:div w:id="1412778814">
          <w:marLeft w:val="0"/>
          <w:marRight w:val="0"/>
          <w:marTop w:val="0"/>
          <w:marBottom w:val="0"/>
          <w:divBdr>
            <w:top w:val="none" w:sz="0" w:space="0" w:color="auto"/>
            <w:left w:val="none" w:sz="0" w:space="0" w:color="auto"/>
            <w:bottom w:val="none" w:sz="0" w:space="0" w:color="auto"/>
            <w:right w:val="none" w:sz="0" w:space="0" w:color="auto"/>
          </w:divBdr>
          <w:divsChild>
            <w:div w:id="338049974">
              <w:marLeft w:val="0"/>
              <w:marRight w:val="0"/>
              <w:marTop w:val="0"/>
              <w:marBottom w:val="0"/>
              <w:divBdr>
                <w:top w:val="none" w:sz="0" w:space="0" w:color="auto"/>
                <w:left w:val="none" w:sz="0" w:space="0" w:color="auto"/>
                <w:bottom w:val="none" w:sz="0" w:space="0" w:color="auto"/>
                <w:right w:val="none" w:sz="0" w:space="0" w:color="auto"/>
              </w:divBdr>
              <w:divsChild>
                <w:div w:id="1557007985">
                  <w:marLeft w:val="0"/>
                  <w:marRight w:val="0"/>
                  <w:marTop w:val="0"/>
                  <w:marBottom w:val="0"/>
                  <w:divBdr>
                    <w:top w:val="none" w:sz="0" w:space="0" w:color="auto"/>
                    <w:left w:val="none" w:sz="0" w:space="0" w:color="auto"/>
                    <w:bottom w:val="none" w:sz="0" w:space="0" w:color="auto"/>
                    <w:right w:val="none" w:sz="0" w:space="0" w:color="auto"/>
                  </w:divBdr>
                  <w:divsChild>
                    <w:div w:id="307976908">
                      <w:marLeft w:val="0"/>
                      <w:marRight w:val="0"/>
                      <w:marTop w:val="0"/>
                      <w:marBottom w:val="0"/>
                      <w:divBdr>
                        <w:top w:val="none" w:sz="0" w:space="0" w:color="auto"/>
                        <w:left w:val="none" w:sz="0" w:space="0" w:color="auto"/>
                        <w:bottom w:val="none" w:sz="0" w:space="0" w:color="auto"/>
                        <w:right w:val="none" w:sz="0" w:space="0" w:color="auto"/>
                      </w:divBdr>
                      <w:divsChild>
                        <w:div w:id="626468430">
                          <w:marLeft w:val="0"/>
                          <w:marRight w:val="0"/>
                          <w:marTop w:val="0"/>
                          <w:marBottom w:val="0"/>
                          <w:divBdr>
                            <w:top w:val="none" w:sz="0" w:space="0" w:color="auto"/>
                            <w:left w:val="none" w:sz="0" w:space="0" w:color="auto"/>
                            <w:bottom w:val="none" w:sz="0" w:space="0" w:color="auto"/>
                            <w:right w:val="none" w:sz="0" w:space="0" w:color="auto"/>
                          </w:divBdr>
                          <w:divsChild>
                            <w:div w:id="3836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842177">
      <w:bodyDiv w:val="1"/>
      <w:marLeft w:val="0"/>
      <w:marRight w:val="0"/>
      <w:marTop w:val="0"/>
      <w:marBottom w:val="0"/>
      <w:divBdr>
        <w:top w:val="none" w:sz="0" w:space="0" w:color="auto"/>
        <w:left w:val="none" w:sz="0" w:space="0" w:color="auto"/>
        <w:bottom w:val="none" w:sz="0" w:space="0" w:color="auto"/>
        <w:right w:val="none" w:sz="0" w:space="0" w:color="auto"/>
      </w:divBdr>
    </w:div>
    <w:div w:id="585194264">
      <w:bodyDiv w:val="1"/>
      <w:marLeft w:val="0"/>
      <w:marRight w:val="0"/>
      <w:marTop w:val="0"/>
      <w:marBottom w:val="0"/>
      <w:divBdr>
        <w:top w:val="none" w:sz="0" w:space="0" w:color="auto"/>
        <w:left w:val="none" w:sz="0" w:space="0" w:color="auto"/>
        <w:bottom w:val="none" w:sz="0" w:space="0" w:color="auto"/>
        <w:right w:val="none" w:sz="0" w:space="0" w:color="auto"/>
      </w:divBdr>
    </w:div>
    <w:div w:id="588733273">
      <w:bodyDiv w:val="1"/>
      <w:marLeft w:val="0"/>
      <w:marRight w:val="0"/>
      <w:marTop w:val="0"/>
      <w:marBottom w:val="0"/>
      <w:divBdr>
        <w:top w:val="none" w:sz="0" w:space="0" w:color="auto"/>
        <w:left w:val="none" w:sz="0" w:space="0" w:color="auto"/>
        <w:bottom w:val="none" w:sz="0" w:space="0" w:color="auto"/>
        <w:right w:val="none" w:sz="0" w:space="0" w:color="auto"/>
      </w:divBdr>
    </w:div>
    <w:div w:id="589630314">
      <w:bodyDiv w:val="1"/>
      <w:marLeft w:val="0"/>
      <w:marRight w:val="0"/>
      <w:marTop w:val="0"/>
      <w:marBottom w:val="0"/>
      <w:divBdr>
        <w:top w:val="none" w:sz="0" w:space="0" w:color="auto"/>
        <w:left w:val="none" w:sz="0" w:space="0" w:color="auto"/>
        <w:bottom w:val="none" w:sz="0" w:space="0" w:color="auto"/>
        <w:right w:val="none" w:sz="0" w:space="0" w:color="auto"/>
      </w:divBdr>
    </w:div>
    <w:div w:id="602105571">
      <w:bodyDiv w:val="1"/>
      <w:marLeft w:val="0"/>
      <w:marRight w:val="0"/>
      <w:marTop w:val="0"/>
      <w:marBottom w:val="0"/>
      <w:divBdr>
        <w:top w:val="none" w:sz="0" w:space="0" w:color="auto"/>
        <w:left w:val="none" w:sz="0" w:space="0" w:color="auto"/>
        <w:bottom w:val="none" w:sz="0" w:space="0" w:color="auto"/>
        <w:right w:val="none" w:sz="0" w:space="0" w:color="auto"/>
      </w:divBdr>
    </w:div>
    <w:div w:id="624430340">
      <w:bodyDiv w:val="1"/>
      <w:marLeft w:val="0"/>
      <w:marRight w:val="0"/>
      <w:marTop w:val="0"/>
      <w:marBottom w:val="0"/>
      <w:divBdr>
        <w:top w:val="none" w:sz="0" w:space="0" w:color="auto"/>
        <w:left w:val="none" w:sz="0" w:space="0" w:color="auto"/>
        <w:bottom w:val="none" w:sz="0" w:space="0" w:color="auto"/>
        <w:right w:val="none" w:sz="0" w:space="0" w:color="auto"/>
      </w:divBdr>
    </w:div>
    <w:div w:id="626739652">
      <w:bodyDiv w:val="1"/>
      <w:marLeft w:val="0"/>
      <w:marRight w:val="0"/>
      <w:marTop w:val="0"/>
      <w:marBottom w:val="0"/>
      <w:divBdr>
        <w:top w:val="none" w:sz="0" w:space="0" w:color="auto"/>
        <w:left w:val="none" w:sz="0" w:space="0" w:color="auto"/>
        <w:bottom w:val="none" w:sz="0" w:space="0" w:color="auto"/>
        <w:right w:val="none" w:sz="0" w:space="0" w:color="auto"/>
      </w:divBdr>
    </w:div>
    <w:div w:id="680084456">
      <w:bodyDiv w:val="1"/>
      <w:marLeft w:val="0"/>
      <w:marRight w:val="0"/>
      <w:marTop w:val="0"/>
      <w:marBottom w:val="0"/>
      <w:divBdr>
        <w:top w:val="none" w:sz="0" w:space="0" w:color="auto"/>
        <w:left w:val="none" w:sz="0" w:space="0" w:color="auto"/>
        <w:bottom w:val="none" w:sz="0" w:space="0" w:color="auto"/>
        <w:right w:val="none" w:sz="0" w:space="0" w:color="auto"/>
      </w:divBdr>
    </w:div>
    <w:div w:id="698972694">
      <w:bodyDiv w:val="1"/>
      <w:marLeft w:val="0"/>
      <w:marRight w:val="0"/>
      <w:marTop w:val="0"/>
      <w:marBottom w:val="0"/>
      <w:divBdr>
        <w:top w:val="none" w:sz="0" w:space="0" w:color="auto"/>
        <w:left w:val="none" w:sz="0" w:space="0" w:color="auto"/>
        <w:bottom w:val="none" w:sz="0" w:space="0" w:color="auto"/>
        <w:right w:val="none" w:sz="0" w:space="0" w:color="auto"/>
      </w:divBdr>
      <w:divsChild>
        <w:div w:id="365259481">
          <w:marLeft w:val="0"/>
          <w:marRight w:val="0"/>
          <w:marTop w:val="0"/>
          <w:marBottom w:val="0"/>
          <w:divBdr>
            <w:top w:val="none" w:sz="0" w:space="0" w:color="auto"/>
            <w:left w:val="none" w:sz="0" w:space="0" w:color="auto"/>
            <w:bottom w:val="none" w:sz="0" w:space="0" w:color="auto"/>
            <w:right w:val="none" w:sz="0" w:space="0" w:color="auto"/>
          </w:divBdr>
          <w:divsChild>
            <w:div w:id="1960138215">
              <w:marLeft w:val="0"/>
              <w:marRight w:val="0"/>
              <w:marTop w:val="0"/>
              <w:marBottom w:val="0"/>
              <w:divBdr>
                <w:top w:val="none" w:sz="0" w:space="0" w:color="auto"/>
                <w:left w:val="none" w:sz="0" w:space="0" w:color="auto"/>
                <w:bottom w:val="none" w:sz="0" w:space="0" w:color="auto"/>
                <w:right w:val="none" w:sz="0" w:space="0" w:color="auto"/>
              </w:divBdr>
              <w:divsChild>
                <w:div w:id="1660697670">
                  <w:marLeft w:val="0"/>
                  <w:marRight w:val="0"/>
                  <w:marTop w:val="0"/>
                  <w:marBottom w:val="0"/>
                  <w:divBdr>
                    <w:top w:val="none" w:sz="0" w:space="0" w:color="auto"/>
                    <w:left w:val="none" w:sz="0" w:space="0" w:color="auto"/>
                    <w:bottom w:val="none" w:sz="0" w:space="0" w:color="auto"/>
                    <w:right w:val="none" w:sz="0" w:space="0" w:color="auto"/>
                  </w:divBdr>
                  <w:divsChild>
                    <w:div w:id="1804738238">
                      <w:marLeft w:val="0"/>
                      <w:marRight w:val="0"/>
                      <w:marTop w:val="0"/>
                      <w:marBottom w:val="0"/>
                      <w:divBdr>
                        <w:top w:val="none" w:sz="0" w:space="0" w:color="auto"/>
                        <w:left w:val="none" w:sz="0" w:space="0" w:color="auto"/>
                        <w:bottom w:val="none" w:sz="0" w:space="0" w:color="auto"/>
                        <w:right w:val="none" w:sz="0" w:space="0" w:color="auto"/>
                      </w:divBdr>
                      <w:divsChild>
                        <w:div w:id="1863586393">
                          <w:marLeft w:val="0"/>
                          <w:marRight w:val="0"/>
                          <w:marTop w:val="0"/>
                          <w:marBottom w:val="0"/>
                          <w:divBdr>
                            <w:top w:val="none" w:sz="0" w:space="0" w:color="auto"/>
                            <w:left w:val="none" w:sz="0" w:space="0" w:color="auto"/>
                            <w:bottom w:val="none" w:sz="0" w:space="0" w:color="auto"/>
                            <w:right w:val="none" w:sz="0" w:space="0" w:color="auto"/>
                          </w:divBdr>
                          <w:divsChild>
                            <w:div w:id="16129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332633">
      <w:bodyDiv w:val="1"/>
      <w:marLeft w:val="0"/>
      <w:marRight w:val="0"/>
      <w:marTop w:val="0"/>
      <w:marBottom w:val="0"/>
      <w:divBdr>
        <w:top w:val="none" w:sz="0" w:space="0" w:color="auto"/>
        <w:left w:val="none" w:sz="0" w:space="0" w:color="auto"/>
        <w:bottom w:val="none" w:sz="0" w:space="0" w:color="auto"/>
        <w:right w:val="none" w:sz="0" w:space="0" w:color="auto"/>
      </w:divBdr>
    </w:div>
    <w:div w:id="812216966">
      <w:bodyDiv w:val="1"/>
      <w:marLeft w:val="0"/>
      <w:marRight w:val="0"/>
      <w:marTop w:val="0"/>
      <w:marBottom w:val="0"/>
      <w:divBdr>
        <w:top w:val="none" w:sz="0" w:space="0" w:color="auto"/>
        <w:left w:val="none" w:sz="0" w:space="0" w:color="auto"/>
        <w:bottom w:val="none" w:sz="0" w:space="0" w:color="auto"/>
        <w:right w:val="none" w:sz="0" w:space="0" w:color="auto"/>
      </w:divBdr>
      <w:divsChild>
        <w:div w:id="1409155814">
          <w:marLeft w:val="0"/>
          <w:marRight w:val="0"/>
          <w:marTop w:val="0"/>
          <w:marBottom w:val="0"/>
          <w:divBdr>
            <w:top w:val="none" w:sz="0" w:space="0" w:color="auto"/>
            <w:left w:val="none" w:sz="0" w:space="0" w:color="auto"/>
            <w:bottom w:val="none" w:sz="0" w:space="0" w:color="auto"/>
            <w:right w:val="none" w:sz="0" w:space="0" w:color="auto"/>
          </w:divBdr>
          <w:divsChild>
            <w:div w:id="870728854">
              <w:marLeft w:val="0"/>
              <w:marRight w:val="0"/>
              <w:marTop w:val="0"/>
              <w:marBottom w:val="0"/>
              <w:divBdr>
                <w:top w:val="none" w:sz="0" w:space="0" w:color="auto"/>
                <w:left w:val="none" w:sz="0" w:space="0" w:color="auto"/>
                <w:bottom w:val="none" w:sz="0" w:space="0" w:color="auto"/>
                <w:right w:val="none" w:sz="0" w:space="0" w:color="auto"/>
              </w:divBdr>
              <w:divsChild>
                <w:div w:id="552808633">
                  <w:marLeft w:val="0"/>
                  <w:marRight w:val="0"/>
                  <w:marTop w:val="0"/>
                  <w:marBottom w:val="0"/>
                  <w:divBdr>
                    <w:top w:val="none" w:sz="0" w:space="0" w:color="auto"/>
                    <w:left w:val="none" w:sz="0" w:space="0" w:color="auto"/>
                    <w:bottom w:val="none" w:sz="0" w:space="0" w:color="auto"/>
                    <w:right w:val="none" w:sz="0" w:space="0" w:color="auto"/>
                  </w:divBdr>
                  <w:divsChild>
                    <w:div w:id="800221985">
                      <w:marLeft w:val="0"/>
                      <w:marRight w:val="0"/>
                      <w:marTop w:val="0"/>
                      <w:marBottom w:val="0"/>
                      <w:divBdr>
                        <w:top w:val="none" w:sz="0" w:space="0" w:color="auto"/>
                        <w:left w:val="none" w:sz="0" w:space="0" w:color="auto"/>
                        <w:bottom w:val="none" w:sz="0" w:space="0" w:color="auto"/>
                        <w:right w:val="none" w:sz="0" w:space="0" w:color="auto"/>
                      </w:divBdr>
                      <w:divsChild>
                        <w:div w:id="1548570994">
                          <w:marLeft w:val="0"/>
                          <w:marRight w:val="0"/>
                          <w:marTop w:val="0"/>
                          <w:marBottom w:val="0"/>
                          <w:divBdr>
                            <w:top w:val="none" w:sz="0" w:space="0" w:color="auto"/>
                            <w:left w:val="none" w:sz="0" w:space="0" w:color="auto"/>
                            <w:bottom w:val="none" w:sz="0" w:space="0" w:color="auto"/>
                            <w:right w:val="none" w:sz="0" w:space="0" w:color="auto"/>
                          </w:divBdr>
                          <w:divsChild>
                            <w:div w:id="1092312210">
                              <w:marLeft w:val="0"/>
                              <w:marRight w:val="0"/>
                              <w:marTop w:val="0"/>
                              <w:marBottom w:val="0"/>
                              <w:divBdr>
                                <w:top w:val="none" w:sz="0" w:space="0" w:color="auto"/>
                                <w:left w:val="none" w:sz="0" w:space="0" w:color="auto"/>
                                <w:bottom w:val="none" w:sz="0" w:space="0" w:color="auto"/>
                                <w:right w:val="none" w:sz="0" w:space="0" w:color="auto"/>
                              </w:divBdr>
                              <w:divsChild>
                                <w:div w:id="1810857501">
                                  <w:marLeft w:val="0"/>
                                  <w:marRight w:val="0"/>
                                  <w:marTop w:val="0"/>
                                  <w:marBottom w:val="0"/>
                                  <w:divBdr>
                                    <w:top w:val="none" w:sz="0" w:space="0" w:color="auto"/>
                                    <w:left w:val="none" w:sz="0" w:space="0" w:color="auto"/>
                                    <w:bottom w:val="none" w:sz="0" w:space="0" w:color="auto"/>
                                    <w:right w:val="none" w:sz="0" w:space="0" w:color="auto"/>
                                  </w:divBdr>
                                </w:div>
                              </w:divsChild>
                            </w:div>
                            <w:div w:id="981160561">
                              <w:marLeft w:val="0"/>
                              <w:marRight w:val="0"/>
                              <w:marTop w:val="0"/>
                              <w:marBottom w:val="0"/>
                              <w:divBdr>
                                <w:top w:val="none" w:sz="0" w:space="0" w:color="auto"/>
                                <w:left w:val="none" w:sz="0" w:space="0" w:color="auto"/>
                                <w:bottom w:val="none" w:sz="0" w:space="0" w:color="auto"/>
                                <w:right w:val="none" w:sz="0" w:space="0" w:color="auto"/>
                              </w:divBdr>
                              <w:divsChild>
                                <w:div w:id="1469662875">
                                  <w:marLeft w:val="0"/>
                                  <w:marRight w:val="0"/>
                                  <w:marTop w:val="0"/>
                                  <w:marBottom w:val="0"/>
                                  <w:divBdr>
                                    <w:top w:val="none" w:sz="0" w:space="0" w:color="auto"/>
                                    <w:left w:val="none" w:sz="0" w:space="0" w:color="auto"/>
                                    <w:bottom w:val="none" w:sz="0" w:space="0" w:color="auto"/>
                                    <w:right w:val="none" w:sz="0" w:space="0" w:color="auto"/>
                                  </w:divBdr>
                                  <w:divsChild>
                                    <w:div w:id="716783472">
                                      <w:marLeft w:val="0"/>
                                      <w:marRight w:val="0"/>
                                      <w:marTop w:val="0"/>
                                      <w:marBottom w:val="0"/>
                                      <w:divBdr>
                                        <w:top w:val="none" w:sz="0" w:space="0" w:color="auto"/>
                                        <w:left w:val="none" w:sz="0" w:space="0" w:color="auto"/>
                                        <w:bottom w:val="none" w:sz="0" w:space="0" w:color="auto"/>
                                        <w:right w:val="none" w:sz="0" w:space="0" w:color="auto"/>
                                      </w:divBdr>
                                      <w:divsChild>
                                        <w:div w:id="899511255">
                                          <w:marLeft w:val="0"/>
                                          <w:marRight w:val="0"/>
                                          <w:marTop w:val="0"/>
                                          <w:marBottom w:val="0"/>
                                          <w:divBdr>
                                            <w:top w:val="none" w:sz="0" w:space="0" w:color="auto"/>
                                            <w:left w:val="none" w:sz="0" w:space="0" w:color="auto"/>
                                            <w:bottom w:val="none" w:sz="0" w:space="0" w:color="auto"/>
                                            <w:right w:val="none" w:sz="0" w:space="0" w:color="auto"/>
                                          </w:divBdr>
                                          <w:divsChild>
                                            <w:div w:id="183134730">
                                              <w:marLeft w:val="0"/>
                                              <w:marRight w:val="0"/>
                                              <w:marTop w:val="0"/>
                                              <w:marBottom w:val="0"/>
                                              <w:divBdr>
                                                <w:top w:val="none" w:sz="0" w:space="0" w:color="auto"/>
                                                <w:left w:val="none" w:sz="0" w:space="0" w:color="auto"/>
                                                <w:bottom w:val="none" w:sz="0" w:space="0" w:color="auto"/>
                                                <w:right w:val="none" w:sz="0" w:space="0" w:color="auto"/>
                                              </w:divBdr>
                                              <w:divsChild>
                                                <w:div w:id="339940544">
                                                  <w:marLeft w:val="0"/>
                                                  <w:marRight w:val="0"/>
                                                  <w:marTop w:val="0"/>
                                                  <w:marBottom w:val="0"/>
                                                  <w:divBdr>
                                                    <w:top w:val="none" w:sz="0" w:space="0" w:color="auto"/>
                                                    <w:left w:val="none" w:sz="0" w:space="0" w:color="auto"/>
                                                    <w:bottom w:val="none" w:sz="0" w:space="0" w:color="auto"/>
                                                    <w:right w:val="none" w:sz="0" w:space="0" w:color="auto"/>
                                                  </w:divBdr>
                                                  <w:divsChild>
                                                    <w:div w:id="193690623">
                                                      <w:marLeft w:val="0"/>
                                                      <w:marRight w:val="0"/>
                                                      <w:marTop w:val="0"/>
                                                      <w:marBottom w:val="0"/>
                                                      <w:divBdr>
                                                        <w:top w:val="none" w:sz="0" w:space="0" w:color="auto"/>
                                                        <w:left w:val="none" w:sz="0" w:space="0" w:color="auto"/>
                                                        <w:bottom w:val="none" w:sz="0" w:space="0" w:color="auto"/>
                                                        <w:right w:val="none" w:sz="0" w:space="0" w:color="auto"/>
                                                      </w:divBdr>
                                                      <w:divsChild>
                                                        <w:div w:id="198473069">
                                                          <w:marLeft w:val="0"/>
                                                          <w:marRight w:val="0"/>
                                                          <w:marTop w:val="0"/>
                                                          <w:marBottom w:val="0"/>
                                                          <w:divBdr>
                                                            <w:top w:val="none" w:sz="0" w:space="0" w:color="auto"/>
                                                            <w:left w:val="none" w:sz="0" w:space="0" w:color="auto"/>
                                                            <w:bottom w:val="none" w:sz="0" w:space="0" w:color="auto"/>
                                                            <w:right w:val="none" w:sz="0" w:space="0" w:color="auto"/>
                                                          </w:divBdr>
                                                          <w:divsChild>
                                                            <w:div w:id="1170949569">
                                                              <w:marLeft w:val="0"/>
                                                              <w:marRight w:val="0"/>
                                                              <w:marTop w:val="0"/>
                                                              <w:marBottom w:val="0"/>
                                                              <w:divBdr>
                                                                <w:top w:val="none" w:sz="0" w:space="0" w:color="auto"/>
                                                                <w:left w:val="none" w:sz="0" w:space="0" w:color="auto"/>
                                                                <w:bottom w:val="none" w:sz="0" w:space="0" w:color="auto"/>
                                                                <w:right w:val="none" w:sz="0" w:space="0" w:color="auto"/>
                                                              </w:divBdr>
                                                              <w:divsChild>
                                                                <w:div w:id="559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614389">
                      <w:marLeft w:val="0"/>
                      <w:marRight w:val="0"/>
                      <w:marTop w:val="0"/>
                      <w:marBottom w:val="0"/>
                      <w:divBdr>
                        <w:top w:val="none" w:sz="0" w:space="0" w:color="auto"/>
                        <w:left w:val="none" w:sz="0" w:space="0" w:color="auto"/>
                        <w:bottom w:val="none" w:sz="0" w:space="0" w:color="auto"/>
                        <w:right w:val="none" w:sz="0" w:space="0" w:color="auto"/>
                      </w:divBdr>
                      <w:divsChild>
                        <w:div w:id="1199271222">
                          <w:marLeft w:val="0"/>
                          <w:marRight w:val="0"/>
                          <w:marTop w:val="0"/>
                          <w:marBottom w:val="0"/>
                          <w:divBdr>
                            <w:top w:val="none" w:sz="0" w:space="0" w:color="auto"/>
                            <w:left w:val="none" w:sz="0" w:space="0" w:color="auto"/>
                            <w:bottom w:val="none" w:sz="0" w:space="0" w:color="auto"/>
                            <w:right w:val="none" w:sz="0" w:space="0" w:color="auto"/>
                          </w:divBdr>
                          <w:divsChild>
                            <w:div w:id="18313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672100">
      <w:bodyDiv w:val="1"/>
      <w:marLeft w:val="0"/>
      <w:marRight w:val="0"/>
      <w:marTop w:val="0"/>
      <w:marBottom w:val="0"/>
      <w:divBdr>
        <w:top w:val="none" w:sz="0" w:space="0" w:color="auto"/>
        <w:left w:val="none" w:sz="0" w:space="0" w:color="auto"/>
        <w:bottom w:val="none" w:sz="0" w:space="0" w:color="auto"/>
        <w:right w:val="none" w:sz="0" w:space="0" w:color="auto"/>
      </w:divBdr>
    </w:div>
    <w:div w:id="829246676">
      <w:bodyDiv w:val="1"/>
      <w:marLeft w:val="0"/>
      <w:marRight w:val="0"/>
      <w:marTop w:val="0"/>
      <w:marBottom w:val="0"/>
      <w:divBdr>
        <w:top w:val="none" w:sz="0" w:space="0" w:color="auto"/>
        <w:left w:val="none" w:sz="0" w:space="0" w:color="auto"/>
        <w:bottom w:val="none" w:sz="0" w:space="0" w:color="auto"/>
        <w:right w:val="none" w:sz="0" w:space="0" w:color="auto"/>
      </w:divBdr>
    </w:div>
    <w:div w:id="842817415">
      <w:bodyDiv w:val="1"/>
      <w:marLeft w:val="0"/>
      <w:marRight w:val="0"/>
      <w:marTop w:val="0"/>
      <w:marBottom w:val="0"/>
      <w:divBdr>
        <w:top w:val="none" w:sz="0" w:space="0" w:color="auto"/>
        <w:left w:val="none" w:sz="0" w:space="0" w:color="auto"/>
        <w:bottom w:val="none" w:sz="0" w:space="0" w:color="auto"/>
        <w:right w:val="none" w:sz="0" w:space="0" w:color="auto"/>
      </w:divBdr>
    </w:div>
    <w:div w:id="905190124">
      <w:bodyDiv w:val="1"/>
      <w:marLeft w:val="0"/>
      <w:marRight w:val="0"/>
      <w:marTop w:val="0"/>
      <w:marBottom w:val="0"/>
      <w:divBdr>
        <w:top w:val="none" w:sz="0" w:space="0" w:color="auto"/>
        <w:left w:val="none" w:sz="0" w:space="0" w:color="auto"/>
        <w:bottom w:val="none" w:sz="0" w:space="0" w:color="auto"/>
        <w:right w:val="none" w:sz="0" w:space="0" w:color="auto"/>
      </w:divBdr>
      <w:divsChild>
        <w:div w:id="945497898">
          <w:marLeft w:val="0"/>
          <w:marRight w:val="0"/>
          <w:marTop w:val="0"/>
          <w:marBottom w:val="0"/>
          <w:divBdr>
            <w:top w:val="none" w:sz="0" w:space="0" w:color="auto"/>
            <w:left w:val="none" w:sz="0" w:space="0" w:color="auto"/>
            <w:bottom w:val="none" w:sz="0" w:space="0" w:color="auto"/>
            <w:right w:val="none" w:sz="0" w:space="0" w:color="auto"/>
          </w:divBdr>
          <w:divsChild>
            <w:div w:id="1500927063">
              <w:marLeft w:val="0"/>
              <w:marRight w:val="0"/>
              <w:marTop w:val="0"/>
              <w:marBottom w:val="0"/>
              <w:divBdr>
                <w:top w:val="none" w:sz="0" w:space="0" w:color="auto"/>
                <w:left w:val="none" w:sz="0" w:space="0" w:color="auto"/>
                <w:bottom w:val="none" w:sz="0" w:space="0" w:color="auto"/>
                <w:right w:val="none" w:sz="0" w:space="0" w:color="auto"/>
              </w:divBdr>
              <w:divsChild>
                <w:div w:id="835921218">
                  <w:marLeft w:val="0"/>
                  <w:marRight w:val="0"/>
                  <w:marTop w:val="0"/>
                  <w:marBottom w:val="0"/>
                  <w:divBdr>
                    <w:top w:val="none" w:sz="0" w:space="0" w:color="auto"/>
                    <w:left w:val="none" w:sz="0" w:space="0" w:color="auto"/>
                    <w:bottom w:val="none" w:sz="0" w:space="0" w:color="auto"/>
                    <w:right w:val="none" w:sz="0" w:space="0" w:color="auto"/>
                  </w:divBdr>
                  <w:divsChild>
                    <w:div w:id="2105373752">
                      <w:marLeft w:val="0"/>
                      <w:marRight w:val="0"/>
                      <w:marTop w:val="0"/>
                      <w:marBottom w:val="0"/>
                      <w:divBdr>
                        <w:top w:val="none" w:sz="0" w:space="0" w:color="auto"/>
                        <w:left w:val="none" w:sz="0" w:space="0" w:color="auto"/>
                        <w:bottom w:val="none" w:sz="0" w:space="0" w:color="auto"/>
                        <w:right w:val="none" w:sz="0" w:space="0" w:color="auto"/>
                      </w:divBdr>
                      <w:divsChild>
                        <w:div w:id="213200349">
                          <w:marLeft w:val="0"/>
                          <w:marRight w:val="0"/>
                          <w:marTop w:val="0"/>
                          <w:marBottom w:val="0"/>
                          <w:divBdr>
                            <w:top w:val="none" w:sz="0" w:space="0" w:color="auto"/>
                            <w:left w:val="none" w:sz="0" w:space="0" w:color="auto"/>
                            <w:bottom w:val="none" w:sz="0" w:space="0" w:color="auto"/>
                            <w:right w:val="none" w:sz="0" w:space="0" w:color="auto"/>
                          </w:divBdr>
                          <w:divsChild>
                            <w:div w:id="1672758907">
                              <w:marLeft w:val="0"/>
                              <w:marRight w:val="0"/>
                              <w:marTop w:val="0"/>
                              <w:marBottom w:val="0"/>
                              <w:divBdr>
                                <w:top w:val="none" w:sz="0" w:space="0" w:color="auto"/>
                                <w:left w:val="none" w:sz="0" w:space="0" w:color="auto"/>
                                <w:bottom w:val="none" w:sz="0" w:space="0" w:color="auto"/>
                                <w:right w:val="none" w:sz="0" w:space="0" w:color="auto"/>
                              </w:divBdr>
                              <w:divsChild>
                                <w:div w:id="1920216527">
                                  <w:marLeft w:val="0"/>
                                  <w:marRight w:val="0"/>
                                  <w:marTop w:val="0"/>
                                  <w:marBottom w:val="0"/>
                                  <w:divBdr>
                                    <w:top w:val="none" w:sz="0" w:space="0" w:color="auto"/>
                                    <w:left w:val="none" w:sz="0" w:space="0" w:color="auto"/>
                                    <w:bottom w:val="none" w:sz="0" w:space="0" w:color="auto"/>
                                    <w:right w:val="none" w:sz="0" w:space="0" w:color="auto"/>
                                  </w:divBdr>
                                  <w:divsChild>
                                    <w:div w:id="419065973">
                                      <w:marLeft w:val="0"/>
                                      <w:marRight w:val="0"/>
                                      <w:marTop w:val="0"/>
                                      <w:marBottom w:val="0"/>
                                      <w:divBdr>
                                        <w:top w:val="none" w:sz="0" w:space="0" w:color="auto"/>
                                        <w:left w:val="none" w:sz="0" w:space="0" w:color="auto"/>
                                        <w:bottom w:val="none" w:sz="0" w:space="0" w:color="auto"/>
                                        <w:right w:val="none" w:sz="0" w:space="0" w:color="auto"/>
                                      </w:divBdr>
                                      <w:divsChild>
                                        <w:div w:id="228854251">
                                          <w:marLeft w:val="0"/>
                                          <w:marRight w:val="0"/>
                                          <w:marTop w:val="0"/>
                                          <w:marBottom w:val="0"/>
                                          <w:divBdr>
                                            <w:top w:val="none" w:sz="0" w:space="0" w:color="auto"/>
                                            <w:left w:val="none" w:sz="0" w:space="0" w:color="auto"/>
                                            <w:bottom w:val="none" w:sz="0" w:space="0" w:color="auto"/>
                                            <w:right w:val="none" w:sz="0" w:space="0" w:color="auto"/>
                                          </w:divBdr>
                                          <w:divsChild>
                                            <w:div w:id="879170035">
                                              <w:marLeft w:val="0"/>
                                              <w:marRight w:val="0"/>
                                              <w:marTop w:val="0"/>
                                              <w:marBottom w:val="0"/>
                                              <w:divBdr>
                                                <w:top w:val="none" w:sz="0" w:space="0" w:color="auto"/>
                                                <w:left w:val="none" w:sz="0" w:space="0" w:color="auto"/>
                                                <w:bottom w:val="none" w:sz="0" w:space="0" w:color="auto"/>
                                                <w:right w:val="none" w:sz="0" w:space="0" w:color="auto"/>
                                              </w:divBdr>
                                              <w:divsChild>
                                                <w:div w:id="811562454">
                                                  <w:marLeft w:val="0"/>
                                                  <w:marRight w:val="0"/>
                                                  <w:marTop w:val="0"/>
                                                  <w:marBottom w:val="0"/>
                                                  <w:divBdr>
                                                    <w:top w:val="none" w:sz="0" w:space="0" w:color="auto"/>
                                                    <w:left w:val="none" w:sz="0" w:space="0" w:color="auto"/>
                                                    <w:bottom w:val="none" w:sz="0" w:space="0" w:color="auto"/>
                                                    <w:right w:val="none" w:sz="0" w:space="0" w:color="auto"/>
                                                  </w:divBdr>
                                                  <w:divsChild>
                                                    <w:div w:id="784886786">
                                                      <w:marLeft w:val="0"/>
                                                      <w:marRight w:val="0"/>
                                                      <w:marTop w:val="0"/>
                                                      <w:marBottom w:val="0"/>
                                                      <w:divBdr>
                                                        <w:top w:val="none" w:sz="0" w:space="0" w:color="auto"/>
                                                        <w:left w:val="none" w:sz="0" w:space="0" w:color="auto"/>
                                                        <w:bottom w:val="none" w:sz="0" w:space="0" w:color="auto"/>
                                                        <w:right w:val="none" w:sz="0" w:space="0" w:color="auto"/>
                                                      </w:divBdr>
                                                      <w:divsChild>
                                                        <w:div w:id="972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9270">
                                              <w:marLeft w:val="0"/>
                                              <w:marRight w:val="0"/>
                                              <w:marTop w:val="0"/>
                                              <w:marBottom w:val="0"/>
                                              <w:divBdr>
                                                <w:top w:val="none" w:sz="0" w:space="0" w:color="auto"/>
                                                <w:left w:val="none" w:sz="0" w:space="0" w:color="auto"/>
                                                <w:bottom w:val="none" w:sz="0" w:space="0" w:color="auto"/>
                                                <w:right w:val="none" w:sz="0" w:space="0" w:color="auto"/>
                                              </w:divBdr>
                                              <w:divsChild>
                                                <w:div w:id="1684740174">
                                                  <w:marLeft w:val="0"/>
                                                  <w:marRight w:val="0"/>
                                                  <w:marTop w:val="0"/>
                                                  <w:marBottom w:val="0"/>
                                                  <w:divBdr>
                                                    <w:top w:val="none" w:sz="0" w:space="0" w:color="auto"/>
                                                    <w:left w:val="none" w:sz="0" w:space="0" w:color="auto"/>
                                                    <w:bottom w:val="none" w:sz="0" w:space="0" w:color="auto"/>
                                                    <w:right w:val="none" w:sz="0" w:space="0" w:color="auto"/>
                                                  </w:divBdr>
                                                  <w:divsChild>
                                                    <w:div w:id="850602807">
                                                      <w:marLeft w:val="0"/>
                                                      <w:marRight w:val="0"/>
                                                      <w:marTop w:val="0"/>
                                                      <w:marBottom w:val="0"/>
                                                      <w:divBdr>
                                                        <w:top w:val="none" w:sz="0" w:space="0" w:color="auto"/>
                                                        <w:left w:val="none" w:sz="0" w:space="0" w:color="auto"/>
                                                        <w:bottom w:val="none" w:sz="0" w:space="0" w:color="auto"/>
                                                        <w:right w:val="none" w:sz="0" w:space="0" w:color="auto"/>
                                                      </w:divBdr>
                                                      <w:divsChild>
                                                        <w:div w:id="8491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044492">
          <w:marLeft w:val="0"/>
          <w:marRight w:val="0"/>
          <w:marTop w:val="0"/>
          <w:marBottom w:val="0"/>
          <w:divBdr>
            <w:top w:val="none" w:sz="0" w:space="0" w:color="auto"/>
            <w:left w:val="none" w:sz="0" w:space="0" w:color="auto"/>
            <w:bottom w:val="none" w:sz="0" w:space="0" w:color="auto"/>
            <w:right w:val="none" w:sz="0" w:space="0" w:color="auto"/>
          </w:divBdr>
          <w:divsChild>
            <w:div w:id="1594821659">
              <w:marLeft w:val="0"/>
              <w:marRight w:val="0"/>
              <w:marTop w:val="0"/>
              <w:marBottom w:val="0"/>
              <w:divBdr>
                <w:top w:val="none" w:sz="0" w:space="0" w:color="auto"/>
                <w:left w:val="none" w:sz="0" w:space="0" w:color="auto"/>
                <w:bottom w:val="none" w:sz="0" w:space="0" w:color="auto"/>
                <w:right w:val="none" w:sz="0" w:space="0" w:color="auto"/>
              </w:divBdr>
              <w:divsChild>
                <w:div w:id="1202747109">
                  <w:marLeft w:val="0"/>
                  <w:marRight w:val="0"/>
                  <w:marTop w:val="0"/>
                  <w:marBottom w:val="0"/>
                  <w:divBdr>
                    <w:top w:val="none" w:sz="0" w:space="0" w:color="auto"/>
                    <w:left w:val="none" w:sz="0" w:space="0" w:color="auto"/>
                    <w:bottom w:val="none" w:sz="0" w:space="0" w:color="auto"/>
                    <w:right w:val="none" w:sz="0" w:space="0" w:color="auto"/>
                  </w:divBdr>
                  <w:divsChild>
                    <w:div w:id="1374842759">
                      <w:marLeft w:val="0"/>
                      <w:marRight w:val="0"/>
                      <w:marTop w:val="0"/>
                      <w:marBottom w:val="0"/>
                      <w:divBdr>
                        <w:top w:val="none" w:sz="0" w:space="0" w:color="auto"/>
                        <w:left w:val="none" w:sz="0" w:space="0" w:color="auto"/>
                        <w:bottom w:val="none" w:sz="0" w:space="0" w:color="auto"/>
                        <w:right w:val="none" w:sz="0" w:space="0" w:color="auto"/>
                      </w:divBdr>
                      <w:divsChild>
                        <w:div w:id="1647661024">
                          <w:marLeft w:val="0"/>
                          <w:marRight w:val="0"/>
                          <w:marTop w:val="0"/>
                          <w:marBottom w:val="0"/>
                          <w:divBdr>
                            <w:top w:val="none" w:sz="0" w:space="0" w:color="auto"/>
                            <w:left w:val="none" w:sz="0" w:space="0" w:color="auto"/>
                            <w:bottom w:val="none" w:sz="0" w:space="0" w:color="auto"/>
                            <w:right w:val="none" w:sz="0" w:space="0" w:color="auto"/>
                          </w:divBdr>
                          <w:divsChild>
                            <w:div w:id="621884983">
                              <w:marLeft w:val="0"/>
                              <w:marRight w:val="0"/>
                              <w:marTop w:val="0"/>
                              <w:marBottom w:val="0"/>
                              <w:divBdr>
                                <w:top w:val="none" w:sz="0" w:space="0" w:color="auto"/>
                                <w:left w:val="none" w:sz="0" w:space="0" w:color="auto"/>
                                <w:bottom w:val="none" w:sz="0" w:space="0" w:color="auto"/>
                                <w:right w:val="none" w:sz="0" w:space="0" w:color="auto"/>
                              </w:divBdr>
                              <w:divsChild>
                                <w:div w:id="1279408460">
                                  <w:marLeft w:val="0"/>
                                  <w:marRight w:val="0"/>
                                  <w:marTop w:val="0"/>
                                  <w:marBottom w:val="0"/>
                                  <w:divBdr>
                                    <w:top w:val="none" w:sz="0" w:space="0" w:color="auto"/>
                                    <w:left w:val="none" w:sz="0" w:space="0" w:color="auto"/>
                                    <w:bottom w:val="none" w:sz="0" w:space="0" w:color="auto"/>
                                    <w:right w:val="none" w:sz="0" w:space="0" w:color="auto"/>
                                  </w:divBdr>
                                  <w:divsChild>
                                    <w:div w:id="337466142">
                                      <w:marLeft w:val="0"/>
                                      <w:marRight w:val="0"/>
                                      <w:marTop w:val="0"/>
                                      <w:marBottom w:val="0"/>
                                      <w:divBdr>
                                        <w:top w:val="none" w:sz="0" w:space="0" w:color="auto"/>
                                        <w:left w:val="none" w:sz="0" w:space="0" w:color="auto"/>
                                        <w:bottom w:val="none" w:sz="0" w:space="0" w:color="auto"/>
                                        <w:right w:val="none" w:sz="0" w:space="0" w:color="auto"/>
                                      </w:divBdr>
                                      <w:divsChild>
                                        <w:div w:id="21175906">
                                          <w:marLeft w:val="0"/>
                                          <w:marRight w:val="0"/>
                                          <w:marTop w:val="0"/>
                                          <w:marBottom w:val="0"/>
                                          <w:divBdr>
                                            <w:top w:val="none" w:sz="0" w:space="0" w:color="auto"/>
                                            <w:left w:val="none" w:sz="0" w:space="0" w:color="auto"/>
                                            <w:bottom w:val="none" w:sz="0" w:space="0" w:color="auto"/>
                                            <w:right w:val="none" w:sz="0" w:space="0" w:color="auto"/>
                                          </w:divBdr>
                                          <w:divsChild>
                                            <w:div w:id="1719402506">
                                              <w:marLeft w:val="0"/>
                                              <w:marRight w:val="0"/>
                                              <w:marTop w:val="0"/>
                                              <w:marBottom w:val="0"/>
                                              <w:divBdr>
                                                <w:top w:val="none" w:sz="0" w:space="0" w:color="auto"/>
                                                <w:left w:val="none" w:sz="0" w:space="0" w:color="auto"/>
                                                <w:bottom w:val="none" w:sz="0" w:space="0" w:color="auto"/>
                                                <w:right w:val="none" w:sz="0" w:space="0" w:color="auto"/>
                                              </w:divBdr>
                                              <w:divsChild>
                                                <w:div w:id="2552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748502">
      <w:bodyDiv w:val="1"/>
      <w:marLeft w:val="0"/>
      <w:marRight w:val="0"/>
      <w:marTop w:val="0"/>
      <w:marBottom w:val="0"/>
      <w:divBdr>
        <w:top w:val="none" w:sz="0" w:space="0" w:color="auto"/>
        <w:left w:val="none" w:sz="0" w:space="0" w:color="auto"/>
        <w:bottom w:val="none" w:sz="0" w:space="0" w:color="auto"/>
        <w:right w:val="none" w:sz="0" w:space="0" w:color="auto"/>
      </w:divBdr>
      <w:divsChild>
        <w:div w:id="1748764572">
          <w:marLeft w:val="0"/>
          <w:marRight w:val="0"/>
          <w:marTop w:val="0"/>
          <w:marBottom w:val="0"/>
          <w:divBdr>
            <w:top w:val="none" w:sz="0" w:space="0" w:color="auto"/>
            <w:left w:val="none" w:sz="0" w:space="0" w:color="auto"/>
            <w:bottom w:val="none" w:sz="0" w:space="0" w:color="auto"/>
            <w:right w:val="none" w:sz="0" w:space="0" w:color="auto"/>
          </w:divBdr>
          <w:divsChild>
            <w:div w:id="1106927372">
              <w:marLeft w:val="0"/>
              <w:marRight w:val="0"/>
              <w:marTop w:val="0"/>
              <w:marBottom w:val="0"/>
              <w:divBdr>
                <w:top w:val="none" w:sz="0" w:space="0" w:color="auto"/>
                <w:left w:val="none" w:sz="0" w:space="0" w:color="auto"/>
                <w:bottom w:val="none" w:sz="0" w:space="0" w:color="auto"/>
                <w:right w:val="none" w:sz="0" w:space="0" w:color="auto"/>
              </w:divBdr>
              <w:divsChild>
                <w:div w:id="604456920">
                  <w:marLeft w:val="0"/>
                  <w:marRight w:val="0"/>
                  <w:marTop w:val="0"/>
                  <w:marBottom w:val="0"/>
                  <w:divBdr>
                    <w:top w:val="none" w:sz="0" w:space="0" w:color="auto"/>
                    <w:left w:val="none" w:sz="0" w:space="0" w:color="auto"/>
                    <w:bottom w:val="none" w:sz="0" w:space="0" w:color="auto"/>
                    <w:right w:val="none" w:sz="0" w:space="0" w:color="auto"/>
                  </w:divBdr>
                  <w:divsChild>
                    <w:div w:id="491526737">
                      <w:marLeft w:val="0"/>
                      <w:marRight w:val="0"/>
                      <w:marTop w:val="0"/>
                      <w:marBottom w:val="0"/>
                      <w:divBdr>
                        <w:top w:val="none" w:sz="0" w:space="0" w:color="auto"/>
                        <w:left w:val="none" w:sz="0" w:space="0" w:color="auto"/>
                        <w:bottom w:val="none" w:sz="0" w:space="0" w:color="auto"/>
                        <w:right w:val="none" w:sz="0" w:space="0" w:color="auto"/>
                      </w:divBdr>
                      <w:divsChild>
                        <w:div w:id="45184042">
                          <w:marLeft w:val="0"/>
                          <w:marRight w:val="0"/>
                          <w:marTop w:val="0"/>
                          <w:marBottom w:val="0"/>
                          <w:divBdr>
                            <w:top w:val="none" w:sz="0" w:space="0" w:color="auto"/>
                            <w:left w:val="none" w:sz="0" w:space="0" w:color="auto"/>
                            <w:bottom w:val="none" w:sz="0" w:space="0" w:color="auto"/>
                            <w:right w:val="none" w:sz="0" w:space="0" w:color="auto"/>
                          </w:divBdr>
                          <w:divsChild>
                            <w:div w:id="42563976">
                              <w:marLeft w:val="0"/>
                              <w:marRight w:val="0"/>
                              <w:marTop w:val="0"/>
                              <w:marBottom w:val="0"/>
                              <w:divBdr>
                                <w:top w:val="none" w:sz="0" w:space="0" w:color="auto"/>
                                <w:left w:val="none" w:sz="0" w:space="0" w:color="auto"/>
                                <w:bottom w:val="none" w:sz="0" w:space="0" w:color="auto"/>
                                <w:right w:val="none" w:sz="0" w:space="0" w:color="auto"/>
                              </w:divBdr>
                              <w:divsChild>
                                <w:div w:id="927614207">
                                  <w:marLeft w:val="0"/>
                                  <w:marRight w:val="0"/>
                                  <w:marTop w:val="0"/>
                                  <w:marBottom w:val="0"/>
                                  <w:divBdr>
                                    <w:top w:val="none" w:sz="0" w:space="0" w:color="auto"/>
                                    <w:left w:val="none" w:sz="0" w:space="0" w:color="auto"/>
                                    <w:bottom w:val="none" w:sz="0" w:space="0" w:color="auto"/>
                                    <w:right w:val="none" w:sz="0" w:space="0" w:color="auto"/>
                                  </w:divBdr>
                                  <w:divsChild>
                                    <w:div w:id="149760031">
                                      <w:marLeft w:val="0"/>
                                      <w:marRight w:val="0"/>
                                      <w:marTop w:val="0"/>
                                      <w:marBottom w:val="0"/>
                                      <w:divBdr>
                                        <w:top w:val="none" w:sz="0" w:space="0" w:color="auto"/>
                                        <w:left w:val="none" w:sz="0" w:space="0" w:color="auto"/>
                                        <w:bottom w:val="none" w:sz="0" w:space="0" w:color="auto"/>
                                        <w:right w:val="none" w:sz="0" w:space="0" w:color="auto"/>
                                      </w:divBdr>
                                      <w:divsChild>
                                        <w:div w:id="846481069">
                                          <w:marLeft w:val="0"/>
                                          <w:marRight w:val="0"/>
                                          <w:marTop w:val="0"/>
                                          <w:marBottom w:val="0"/>
                                          <w:divBdr>
                                            <w:top w:val="none" w:sz="0" w:space="0" w:color="auto"/>
                                            <w:left w:val="none" w:sz="0" w:space="0" w:color="auto"/>
                                            <w:bottom w:val="none" w:sz="0" w:space="0" w:color="auto"/>
                                            <w:right w:val="none" w:sz="0" w:space="0" w:color="auto"/>
                                          </w:divBdr>
                                          <w:divsChild>
                                            <w:div w:id="1553033770">
                                              <w:marLeft w:val="0"/>
                                              <w:marRight w:val="0"/>
                                              <w:marTop w:val="0"/>
                                              <w:marBottom w:val="0"/>
                                              <w:divBdr>
                                                <w:top w:val="none" w:sz="0" w:space="0" w:color="auto"/>
                                                <w:left w:val="none" w:sz="0" w:space="0" w:color="auto"/>
                                                <w:bottom w:val="none" w:sz="0" w:space="0" w:color="auto"/>
                                                <w:right w:val="none" w:sz="0" w:space="0" w:color="auto"/>
                                              </w:divBdr>
                                              <w:divsChild>
                                                <w:div w:id="349649189">
                                                  <w:marLeft w:val="0"/>
                                                  <w:marRight w:val="0"/>
                                                  <w:marTop w:val="0"/>
                                                  <w:marBottom w:val="0"/>
                                                  <w:divBdr>
                                                    <w:top w:val="none" w:sz="0" w:space="0" w:color="auto"/>
                                                    <w:left w:val="none" w:sz="0" w:space="0" w:color="auto"/>
                                                    <w:bottom w:val="none" w:sz="0" w:space="0" w:color="auto"/>
                                                    <w:right w:val="none" w:sz="0" w:space="0" w:color="auto"/>
                                                  </w:divBdr>
                                                  <w:divsChild>
                                                    <w:div w:id="1164054233">
                                                      <w:marLeft w:val="0"/>
                                                      <w:marRight w:val="0"/>
                                                      <w:marTop w:val="0"/>
                                                      <w:marBottom w:val="0"/>
                                                      <w:divBdr>
                                                        <w:top w:val="none" w:sz="0" w:space="0" w:color="auto"/>
                                                        <w:left w:val="none" w:sz="0" w:space="0" w:color="auto"/>
                                                        <w:bottom w:val="none" w:sz="0" w:space="0" w:color="auto"/>
                                                        <w:right w:val="none" w:sz="0" w:space="0" w:color="auto"/>
                                                      </w:divBdr>
                                                      <w:divsChild>
                                                        <w:div w:id="148504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170738">
                                              <w:marLeft w:val="0"/>
                                              <w:marRight w:val="0"/>
                                              <w:marTop w:val="0"/>
                                              <w:marBottom w:val="0"/>
                                              <w:divBdr>
                                                <w:top w:val="none" w:sz="0" w:space="0" w:color="auto"/>
                                                <w:left w:val="none" w:sz="0" w:space="0" w:color="auto"/>
                                                <w:bottom w:val="none" w:sz="0" w:space="0" w:color="auto"/>
                                                <w:right w:val="none" w:sz="0" w:space="0" w:color="auto"/>
                                              </w:divBdr>
                                              <w:divsChild>
                                                <w:div w:id="2115860148">
                                                  <w:marLeft w:val="0"/>
                                                  <w:marRight w:val="0"/>
                                                  <w:marTop w:val="0"/>
                                                  <w:marBottom w:val="0"/>
                                                  <w:divBdr>
                                                    <w:top w:val="none" w:sz="0" w:space="0" w:color="auto"/>
                                                    <w:left w:val="none" w:sz="0" w:space="0" w:color="auto"/>
                                                    <w:bottom w:val="none" w:sz="0" w:space="0" w:color="auto"/>
                                                    <w:right w:val="none" w:sz="0" w:space="0" w:color="auto"/>
                                                  </w:divBdr>
                                                  <w:divsChild>
                                                    <w:div w:id="767820620">
                                                      <w:marLeft w:val="0"/>
                                                      <w:marRight w:val="0"/>
                                                      <w:marTop w:val="0"/>
                                                      <w:marBottom w:val="0"/>
                                                      <w:divBdr>
                                                        <w:top w:val="none" w:sz="0" w:space="0" w:color="auto"/>
                                                        <w:left w:val="none" w:sz="0" w:space="0" w:color="auto"/>
                                                        <w:bottom w:val="none" w:sz="0" w:space="0" w:color="auto"/>
                                                        <w:right w:val="none" w:sz="0" w:space="0" w:color="auto"/>
                                                      </w:divBdr>
                                                      <w:divsChild>
                                                        <w:div w:id="175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885053">
          <w:marLeft w:val="0"/>
          <w:marRight w:val="0"/>
          <w:marTop w:val="0"/>
          <w:marBottom w:val="0"/>
          <w:divBdr>
            <w:top w:val="none" w:sz="0" w:space="0" w:color="auto"/>
            <w:left w:val="none" w:sz="0" w:space="0" w:color="auto"/>
            <w:bottom w:val="none" w:sz="0" w:space="0" w:color="auto"/>
            <w:right w:val="none" w:sz="0" w:space="0" w:color="auto"/>
          </w:divBdr>
          <w:divsChild>
            <w:div w:id="1609195595">
              <w:marLeft w:val="0"/>
              <w:marRight w:val="0"/>
              <w:marTop w:val="0"/>
              <w:marBottom w:val="0"/>
              <w:divBdr>
                <w:top w:val="none" w:sz="0" w:space="0" w:color="auto"/>
                <w:left w:val="none" w:sz="0" w:space="0" w:color="auto"/>
                <w:bottom w:val="none" w:sz="0" w:space="0" w:color="auto"/>
                <w:right w:val="none" w:sz="0" w:space="0" w:color="auto"/>
              </w:divBdr>
              <w:divsChild>
                <w:div w:id="2124879522">
                  <w:marLeft w:val="0"/>
                  <w:marRight w:val="0"/>
                  <w:marTop w:val="0"/>
                  <w:marBottom w:val="0"/>
                  <w:divBdr>
                    <w:top w:val="none" w:sz="0" w:space="0" w:color="auto"/>
                    <w:left w:val="none" w:sz="0" w:space="0" w:color="auto"/>
                    <w:bottom w:val="none" w:sz="0" w:space="0" w:color="auto"/>
                    <w:right w:val="none" w:sz="0" w:space="0" w:color="auto"/>
                  </w:divBdr>
                  <w:divsChild>
                    <w:div w:id="325983724">
                      <w:marLeft w:val="0"/>
                      <w:marRight w:val="0"/>
                      <w:marTop w:val="0"/>
                      <w:marBottom w:val="0"/>
                      <w:divBdr>
                        <w:top w:val="none" w:sz="0" w:space="0" w:color="auto"/>
                        <w:left w:val="none" w:sz="0" w:space="0" w:color="auto"/>
                        <w:bottom w:val="none" w:sz="0" w:space="0" w:color="auto"/>
                        <w:right w:val="none" w:sz="0" w:space="0" w:color="auto"/>
                      </w:divBdr>
                      <w:divsChild>
                        <w:div w:id="2029524403">
                          <w:marLeft w:val="0"/>
                          <w:marRight w:val="0"/>
                          <w:marTop w:val="0"/>
                          <w:marBottom w:val="0"/>
                          <w:divBdr>
                            <w:top w:val="none" w:sz="0" w:space="0" w:color="auto"/>
                            <w:left w:val="none" w:sz="0" w:space="0" w:color="auto"/>
                            <w:bottom w:val="none" w:sz="0" w:space="0" w:color="auto"/>
                            <w:right w:val="none" w:sz="0" w:space="0" w:color="auto"/>
                          </w:divBdr>
                          <w:divsChild>
                            <w:div w:id="758527500">
                              <w:marLeft w:val="0"/>
                              <w:marRight w:val="0"/>
                              <w:marTop w:val="0"/>
                              <w:marBottom w:val="0"/>
                              <w:divBdr>
                                <w:top w:val="none" w:sz="0" w:space="0" w:color="auto"/>
                                <w:left w:val="none" w:sz="0" w:space="0" w:color="auto"/>
                                <w:bottom w:val="none" w:sz="0" w:space="0" w:color="auto"/>
                                <w:right w:val="none" w:sz="0" w:space="0" w:color="auto"/>
                              </w:divBdr>
                              <w:divsChild>
                                <w:div w:id="347679161">
                                  <w:marLeft w:val="0"/>
                                  <w:marRight w:val="0"/>
                                  <w:marTop w:val="0"/>
                                  <w:marBottom w:val="0"/>
                                  <w:divBdr>
                                    <w:top w:val="none" w:sz="0" w:space="0" w:color="auto"/>
                                    <w:left w:val="none" w:sz="0" w:space="0" w:color="auto"/>
                                    <w:bottom w:val="none" w:sz="0" w:space="0" w:color="auto"/>
                                    <w:right w:val="none" w:sz="0" w:space="0" w:color="auto"/>
                                  </w:divBdr>
                                  <w:divsChild>
                                    <w:div w:id="1549412338">
                                      <w:marLeft w:val="0"/>
                                      <w:marRight w:val="0"/>
                                      <w:marTop w:val="0"/>
                                      <w:marBottom w:val="0"/>
                                      <w:divBdr>
                                        <w:top w:val="none" w:sz="0" w:space="0" w:color="auto"/>
                                        <w:left w:val="none" w:sz="0" w:space="0" w:color="auto"/>
                                        <w:bottom w:val="none" w:sz="0" w:space="0" w:color="auto"/>
                                        <w:right w:val="none" w:sz="0" w:space="0" w:color="auto"/>
                                      </w:divBdr>
                                      <w:divsChild>
                                        <w:div w:id="2012953670">
                                          <w:marLeft w:val="0"/>
                                          <w:marRight w:val="0"/>
                                          <w:marTop w:val="0"/>
                                          <w:marBottom w:val="0"/>
                                          <w:divBdr>
                                            <w:top w:val="none" w:sz="0" w:space="0" w:color="auto"/>
                                            <w:left w:val="none" w:sz="0" w:space="0" w:color="auto"/>
                                            <w:bottom w:val="none" w:sz="0" w:space="0" w:color="auto"/>
                                            <w:right w:val="none" w:sz="0" w:space="0" w:color="auto"/>
                                          </w:divBdr>
                                          <w:divsChild>
                                            <w:div w:id="1592398352">
                                              <w:marLeft w:val="0"/>
                                              <w:marRight w:val="0"/>
                                              <w:marTop w:val="0"/>
                                              <w:marBottom w:val="0"/>
                                              <w:divBdr>
                                                <w:top w:val="none" w:sz="0" w:space="0" w:color="auto"/>
                                                <w:left w:val="none" w:sz="0" w:space="0" w:color="auto"/>
                                                <w:bottom w:val="none" w:sz="0" w:space="0" w:color="auto"/>
                                                <w:right w:val="none" w:sz="0" w:space="0" w:color="auto"/>
                                              </w:divBdr>
                                              <w:divsChild>
                                                <w:div w:id="312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874969">
      <w:bodyDiv w:val="1"/>
      <w:marLeft w:val="0"/>
      <w:marRight w:val="0"/>
      <w:marTop w:val="0"/>
      <w:marBottom w:val="0"/>
      <w:divBdr>
        <w:top w:val="none" w:sz="0" w:space="0" w:color="auto"/>
        <w:left w:val="none" w:sz="0" w:space="0" w:color="auto"/>
        <w:bottom w:val="none" w:sz="0" w:space="0" w:color="auto"/>
        <w:right w:val="none" w:sz="0" w:space="0" w:color="auto"/>
      </w:divBdr>
    </w:div>
    <w:div w:id="968126511">
      <w:bodyDiv w:val="1"/>
      <w:marLeft w:val="0"/>
      <w:marRight w:val="0"/>
      <w:marTop w:val="0"/>
      <w:marBottom w:val="0"/>
      <w:divBdr>
        <w:top w:val="none" w:sz="0" w:space="0" w:color="auto"/>
        <w:left w:val="none" w:sz="0" w:space="0" w:color="auto"/>
        <w:bottom w:val="none" w:sz="0" w:space="0" w:color="auto"/>
        <w:right w:val="none" w:sz="0" w:space="0" w:color="auto"/>
      </w:divBdr>
      <w:divsChild>
        <w:div w:id="3408387">
          <w:marLeft w:val="0"/>
          <w:marRight w:val="0"/>
          <w:marTop w:val="0"/>
          <w:marBottom w:val="0"/>
          <w:divBdr>
            <w:top w:val="none" w:sz="0" w:space="0" w:color="auto"/>
            <w:left w:val="none" w:sz="0" w:space="0" w:color="auto"/>
            <w:bottom w:val="none" w:sz="0" w:space="0" w:color="auto"/>
            <w:right w:val="none" w:sz="0" w:space="0" w:color="auto"/>
          </w:divBdr>
          <w:divsChild>
            <w:div w:id="1812556621">
              <w:marLeft w:val="0"/>
              <w:marRight w:val="0"/>
              <w:marTop w:val="0"/>
              <w:marBottom w:val="0"/>
              <w:divBdr>
                <w:top w:val="none" w:sz="0" w:space="0" w:color="auto"/>
                <w:left w:val="none" w:sz="0" w:space="0" w:color="auto"/>
                <w:bottom w:val="none" w:sz="0" w:space="0" w:color="auto"/>
                <w:right w:val="none" w:sz="0" w:space="0" w:color="auto"/>
              </w:divBdr>
              <w:divsChild>
                <w:div w:id="362168104">
                  <w:marLeft w:val="0"/>
                  <w:marRight w:val="0"/>
                  <w:marTop w:val="0"/>
                  <w:marBottom w:val="0"/>
                  <w:divBdr>
                    <w:top w:val="none" w:sz="0" w:space="0" w:color="auto"/>
                    <w:left w:val="none" w:sz="0" w:space="0" w:color="auto"/>
                    <w:bottom w:val="none" w:sz="0" w:space="0" w:color="auto"/>
                    <w:right w:val="none" w:sz="0" w:space="0" w:color="auto"/>
                  </w:divBdr>
                  <w:divsChild>
                    <w:div w:id="367754953">
                      <w:marLeft w:val="0"/>
                      <w:marRight w:val="0"/>
                      <w:marTop w:val="0"/>
                      <w:marBottom w:val="0"/>
                      <w:divBdr>
                        <w:top w:val="none" w:sz="0" w:space="0" w:color="auto"/>
                        <w:left w:val="none" w:sz="0" w:space="0" w:color="auto"/>
                        <w:bottom w:val="none" w:sz="0" w:space="0" w:color="auto"/>
                        <w:right w:val="none" w:sz="0" w:space="0" w:color="auto"/>
                      </w:divBdr>
                      <w:divsChild>
                        <w:div w:id="2044623861">
                          <w:marLeft w:val="0"/>
                          <w:marRight w:val="0"/>
                          <w:marTop w:val="0"/>
                          <w:marBottom w:val="0"/>
                          <w:divBdr>
                            <w:top w:val="none" w:sz="0" w:space="0" w:color="auto"/>
                            <w:left w:val="none" w:sz="0" w:space="0" w:color="auto"/>
                            <w:bottom w:val="none" w:sz="0" w:space="0" w:color="auto"/>
                            <w:right w:val="none" w:sz="0" w:space="0" w:color="auto"/>
                          </w:divBdr>
                          <w:divsChild>
                            <w:div w:id="8629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929668">
      <w:bodyDiv w:val="1"/>
      <w:marLeft w:val="0"/>
      <w:marRight w:val="0"/>
      <w:marTop w:val="0"/>
      <w:marBottom w:val="0"/>
      <w:divBdr>
        <w:top w:val="none" w:sz="0" w:space="0" w:color="auto"/>
        <w:left w:val="none" w:sz="0" w:space="0" w:color="auto"/>
        <w:bottom w:val="none" w:sz="0" w:space="0" w:color="auto"/>
        <w:right w:val="none" w:sz="0" w:space="0" w:color="auto"/>
      </w:divBdr>
      <w:divsChild>
        <w:div w:id="1533572645">
          <w:marLeft w:val="0"/>
          <w:marRight w:val="0"/>
          <w:marTop w:val="0"/>
          <w:marBottom w:val="0"/>
          <w:divBdr>
            <w:top w:val="none" w:sz="0" w:space="0" w:color="auto"/>
            <w:left w:val="none" w:sz="0" w:space="0" w:color="auto"/>
            <w:bottom w:val="none" w:sz="0" w:space="0" w:color="auto"/>
            <w:right w:val="none" w:sz="0" w:space="0" w:color="auto"/>
          </w:divBdr>
          <w:divsChild>
            <w:div w:id="621036514">
              <w:marLeft w:val="0"/>
              <w:marRight w:val="0"/>
              <w:marTop w:val="0"/>
              <w:marBottom w:val="0"/>
              <w:divBdr>
                <w:top w:val="none" w:sz="0" w:space="0" w:color="auto"/>
                <w:left w:val="none" w:sz="0" w:space="0" w:color="auto"/>
                <w:bottom w:val="none" w:sz="0" w:space="0" w:color="auto"/>
                <w:right w:val="none" w:sz="0" w:space="0" w:color="auto"/>
              </w:divBdr>
              <w:divsChild>
                <w:div w:id="418602488">
                  <w:marLeft w:val="0"/>
                  <w:marRight w:val="0"/>
                  <w:marTop w:val="0"/>
                  <w:marBottom w:val="0"/>
                  <w:divBdr>
                    <w:top w:val="none" w:sz="0" w:space="0" w:color="auto"/>
                    <w:left w:val="none" w:sz="0" w:space="0" w:color="auto"/>
                    <w:bottom w:val="none" w:sz="0" w:space="0" w:color="auto"/>
                    <w:right w:val="none" w:sz="0" w:space="0" w:color="auto"/>
                  </w:divBdr>
                  <w:divsChild>
                    <w:div w:id="4820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941655">
          <w:marLeft w:val="0"/>
          <w:marRight w:val="0"/>
          <w:marTop w:val="0"/>
          <w:marBottom w:val="0"/>
          <w:divBdr>
            <w:top w:val="none" w:sz="0" w:space="0" w:color="auto"/>
            <w:left w:val="none" w:sz="0" w:space="0" w:color="auto"/>
            <w:bottom w:val="none" w:sz="0" w:space="0" w:color="auto"/>
            <w:right w:val="none" w:sz="0" w:space="0" w:color="auto"/>
          </w:divBdr>
          <w:divsChild>
            <w:div w:id="12536488">
              <w:marLeft w:val="0"/>
              <w:marRight w:val="0"/>
              <w:marTop w:val="0"/>
              <w:marBottom w:val="0"/>
              <w:divBdr>
                <w:top w:val="none" w:sz="0" w:space="0" w:color="auto"/>
                <w:left w:val="none" w:sz="0" w:space="0" w:color="auto"/>
                <w:bottom w:val="none" w:sz="0" w:space="0" w:color="auto"/>
                <w:right w:val="none" w:sz="0" w:space="0" w:color="auto"/>
              </w:divBdr>
              <w:divsChild>
                <w:div w:id="849681827">
                  <w:marLeft w:val="0"/>
                  <w:marRight w:val="0"/>
                  <w:marTop w:val="0"/>
                  <w:marBottom w:val="0"/>
                  <w:divBdr>
                    <w:top w:val="none" w:sz="0" w:space="0" w:color="auto"/>
                    <w:left w:val="none" w:sz="0" w:space="0" w:color="auto"/>
                    <w:bottom w:val="none" w:sz="0" w:space="0" w:color="auto"/>
                    <w:right w:val="none" w:sz="0" w:space="0" w:color="auto"/>
                  </w:divBdr>
                  <w:divsChild>
                    <w:div w:id="12481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470767">
      <w:bodyDiv w:val="1"/>
      <w:marLeft w:val="0"/>
      <w:marRight w:val="0"/>
      <w:marTop w:val="0"/>
      <w:marBottom w:val="0"/>
      <w:divBdr>
        <w:top w:val="none" w:sz="0" w:space="0" w:color="auto"/>
        <w:left w:val="none" w:sz="0" w:space="0" w:color="auto"/>
        <w:bottom w:val="none" w:sz="0" w:space="0" w:color="auto"/>
        <w:right w:val="none" w:sz="0" w:space="0" w:color="auto"/>
      </w:divBdr>
    </w:div>
    <w:div w:id="992953259">
      <w:bodyDiv w:val="1"/>
      <w:marLeft w:val="0"/>
      <w:marRight w:val="0"/>
      <w:marTop w:val="0"/>
      <w:marBottom w:val="0"/>
      <w:divBdr>
        <w:top w:val="none" w:sz="0" w:space="0" w:color="auto"/>
        <w:left w:val="none" w:sz="0" w:space="0" w:color="auto"/>
        <w:bottom w:val="none" w:sz="0" w:space="0" w:color="auto"/>
        <w:right w:val="none" w:sz="0" w:space="0" w:color="auto"/>
      </w:divBdr>
    </w:div>
    <w:div w:id="1047144911">
      <w:bodyDiv w:val="1"/>
      <w:marLeft w:val="0"/>
      <w:marRight w:val="0"/>
      <w:marTop w:val="0"/>
      <w:marBottom w:val="0"/>
      <w:divBdr>
        <w:top w:val="none" w:sz="0" w:space="0" w:color="auto"/>
        <w:left w:val="none" w:sz="0" w:space="0" w:color="auto"/>
        <w:bottom w:val="none" w:sz="0" w:space="0" w:color="auto"/>
        <w:right w:val="none" w:sz="0" w:space="0" w:color="auto"/>
      </w:divBdr>
    </w:div>
    <w:div w:id="1053500032">
      <w:bodyDiv w:val="1"/>
      <w:marLeft w:val="0"/>
      <w:marRight w:val="0"/>
      <w:marTop w:val="0"/>
      <w:marBottom w:val="0"/>
      <w:divBdr>
        <w:top w:val="none" w:sz="0" w:space="0" w:color="auto"/>
        <w:left w:val="none" w:sz="0" w:space="0" w:color="auto"/>
        <w:bottom w:val="none" w:sz="0" w:space="0" w:color="auto"/>
        <w:right w:val="none" w:sz="0" w:space="0" w:color="auto"/>
      </w:divBdr>
      <w:divsChild>
        <w:div w:id="170998275">
          <w:marLeft w:val="0"/>
          <w:marRight w:val="0"/>
          <w:marTop w:val="0"/>
          <w:marBottom w:val="0"/>
          <w:divBdr>
            <w:top w:val="none" w:sz="0" w:space="0" w:color="auto"/>
            <w:left w:val="none" w:sz="0" w:space="0" w:color="auto"/>
            <w:bottom w:val="none" w:sz="0" w:space="0" w:color="auto"/>
            <w:right w:val="none" w:sz="0" w:space="0" w:color="auto"/>
          </w:divBdr>
          <w:divsChild>
            <w:div w:id="718018045">
              <w:marLeft w:val="0"/>
              <w:marRight w:val="0"/>
              <w:marTop w:val="0"/>
              <w:marBottom w:val="0"/>
              <w:divBdr>
                <w:top w:val="none" w:sz="0" w:space="0" w:color="auto"/>
                <w:left w:val="none" w:sz="0" w:space="0" w:color="auto"/>
                <w:bottom w:val="none" w:sz="0" w:space="0" w:color="auto"/>
                <w:right w:val="none" w:sz="0" w:space="0" w:color="auto"/>
              </w:divBdr>
              <w:divsChild>
                <w:div w:id="1488549897">
                  <w:marLeft w:val="0"/>
                  <w:marRight w:val="0"/>
                  <w:marTop w:val="0"/>
                  <w:marBottom w:val="0"/>
                  <w:divBdr>
                    <w:top w:val="none" w:sz="0" w:space="0" w:color="auto"/>
                    <w:left w:val="none" w:sz="0" w:space="0" w:color="auto"/>
                    <w:bottom w:val="none" w:sz="0" w:space="0" w:color="auto"/>
                    <w:right w:val="none" w:sz="0" w:space="0" w:color="auto"/>
                  </w:divBdr>
                  <w:divsChild>
                    <w:div w:id="618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34666">
          <w:marLeft w:val="0"/>
          <w:marRight w:val="0"/>
          <w:marTop w:val="0"/>
          <w:marBottom w:val="0"/>
          <w:divBdr>
            <w:top w:val="none" w:sz="0" w:space="0" w:color="auto"/>
            <w:left w:val="none" w:sz="0" w:space="0" w:color="auto"/>
            <w:bottom w:val="none" w:sz="0" w:space="0" w:color="auto"/>
            <w:right w:val="none" w:sz="0" w:space="0" w:color="auto"/>
          </w:divBdr>
          <w:divsChild>
            <w:div w:id="973173377">
              <w:marLeft w:val="0"/>
              <w:marRight w:val="0"/>
              <w:marTop w:val="0"/>
              <w:marBottom w:val="0"/>
              <w:divBdr>
                <w:top w:val="none" w:sz="0" w:space="0" w:color="auto"/>
                <w:left w:val="none" w:sz="0" w:space="0" w:color="auto"/>
                <w:bottom w:val="none" w:sz="0" w:space="0" w:color="auto"/>
                <w:right w:val="none" w:sz="0" w:space="0" w:color="auto"/>
              </w:divBdr>
              <w:divsChild>
                <w:div w:id="923537470">
                  <w:marLeft w:val="0"/>
                  <w:marRight w:val="0"/>
                  <w:marTop w:val="0"/>
                  <w:marBottom w:val="0"/>
                  <w:divBdr>
                    <w:top w:val="none" w:sz="0" w:space="0" w:color="auto"/>
                    <w:left w:val="none" w:sz="0" w:space="0" w:color="auto"/>
                    <w:bottom w:val="none" w:sz="0" w:space="0" w:color="auto"/>
                    <w:right w:val="none" w:sz="0" w:space="0" w:color="auto"/>
                  </w:divBdr>
                  <w:divsChild>
                    <w:div w:id="64647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986341">
      <w:bodyDiv w:val="1"/>
      <w:marLeft w:val="0"/>
      <w:marRight w:val="0"/>
      <w:marTop w:val="0"/>
      <w:marBottom w:val="0"/>
      <w:divBdr>
        <w:top w:val="none" w:sz="0" w:space="0" w:color="auto"/>
        <w:left w:val="none" w:sz="0" w:space="0" w:color="auto"/>
        <w:bottom w:val="none" w:sz="0" w:space="0" w:color="auto"/>
        <w:right w:val="none" w:sz="0" w:space="0" w:color="auto"/>
      </w:divBdr>
    </w:div>
    <w:div w:id="1081872943">
      <w:bodyDiv w:val="1"/>
      <w:marLeft w:val="0"/>
      <w:marRight w:val="0"/>
      <w:marTop w:val="0"/>
      <w:marBottom w:val="0"/>
      <w:divBdr>
        <w:top w:val="none" w:sz="0" w:space="0" w:color="auto"/>
        <w:left w:val="none" w:sz="0" w:space="0" w:color="auto"/>
        <w:bottom w:val="none" w:sz="0" w:space="0" w:color="auto"/>
        <w:right w:val="none" w:sz="0" w:space="0" w:color="auto"/>
      </w:divBdr>
    </w:div>
    <w:div w:id="1107122733">
      <w:bodyDiv w:val="1"/>
      <w:marLeft w:val="0"/>
      <w:marRight w:val="0"/>
      <w:marTop w:val="0"/>
      <w:marBottom w:val="0"/>
      <w:divBdr>
        <w:top w:val="none" w:sz="0" w:space="0" w:color="auto"/>
        <w:left w:val="none" w:sz="0" w:space="0" w:color="auto"/>
        <w:bottom w:val="none" w:sz="0" w:space="0" w:color="auto"/>
        <w:right w:val="none" w:sz="0" w:space="0" w:color="auto"/>
      </w:divBdr>
    </w:div>
    <w:div w:id="1152721102">
      <w:bodyDiv w:val="1"/>
      <w:marLeft w:val="0"/>
      <w:marRight w:val="0"/>
      <w:marTop w:val="0"/>
      <w:marBottom w:val="0"/>
      <w:divBdr>
        <w:top w:val="none" w:sz="0" w:space="0" w:color="auto"/>
        <w:left w:val="none" w:sz="0" w:space="0" w:color="auto"/>
        <w:bottom w:val="none" w:sz="0" w:space="0" w:color="auto"/>
        <w:right w:val="none" w:sz="0" w:space="0" w:color="auto"/>
      </w:divBdr>
    </w:div>
    <w:div w:id="1185097457">
      <w:bodyDiv w:val="1"/>
      <w:marLeft w:val="0"/>
      <w:marRight w:val="0"/>
      <w:marTop w:val="0"/>
      <w:marBottom w:val="0"/>
      <w:divBdr>
        <w:top w:val="none" w:sz="0" w:space="0" w:color="auto"/>
        <w:left w:val="none" w:sz="0" w:space="0" w:color="auto"/>
        <w:bottom w:val="none" w:sz="0" w:space="0" w:color="auto"/>
        <w:right w:val="none" w:sz="0" w:space="0" w:color="auto"/>
      </w:divBdr>
    </w:div>
    <w:div w:id="1230531038">
      <w:bodyDiv w:val="1"/>
      <w:marLeft w:val="0"/>
      <w:marRight w:val="0"/>
      <w:marTop w:val="0"/>
      <w:marBottom w:val="0"/>
      <w:divBdr>
        <w:top w:val="none" w:sz="0" w:space="0" w:color="auto"/>
        <w:left w:val="none" w:sz="0" w:space="0" w:color="auto"/>
        <w:bottom w:val="none" w:sz="0" w:space="0" w:color="auto"/>
        <w:right w:val="none" w:sz="0" w:space="0" w:color="auto"/>
      </w:divBdr>
    </w:div>
    <w:div w:id="1238173779">
      <w:bodyDiv w:val="1"/>
      <w:marLeft w:val="0"/>
      <w:marRight w:val="0"/>
      <w:marTop w:val="0"/>
      <w:marBottom w:val="0"/>
      <w:divBdr>
        <w:top w:val="none" w:sz="0" w:space="0" w:color="auto"/>
        <w:left w:val="none" w:sz="0" w:space="0" w:color="auto"/>
        <w:bottom w:val="none" w:sz="0" w:space="0" w:color="auto"/>
        <w:right w:val="none" w:sz="0" w:space="0" w:color="auto"/>
      </w:divBdr>
    </w:div>
    <w:div w:id="1253124424">
      <w:bodyDiv w:val="1"/>
      <w:marLeft w:val="0"/>
      <w:marRight w:val="0"/>
      <w:marTop w:val="0"/>
      <w:marBottom w:val="0"/>
      <w:divBdr>
        <w:top w:val="none" w:sz="0" w:space="0" w:color="auto"/>
        <w:left w:val="none" w:sz="0" w:space="0" w:color="auto"/>
        <w:bottom w:val="none" w:sz="0" w:space="0" w:color="auto"/>
        <w:right w:val="none" w:sz="0" w:space="0" w:color="auto"/>
      </w:divBdr>
    </w:div>
    <w:div w:id="1266614689">
      <w:bodyDiv w:val="1"/>
      <w:marLeft w:val="0"/>
      <w:marRight w:val="0"/>
      <w:marTop w:val="0"/>
      <w:marBottom w:val="0"/>
      <w:divBdr>
        <w:top w:val="none" w:sz="0" w:space="0" w:color="auto"/>
        <w:left w:val="none" w:sz="0" w:space="0" w:color="auto"/>
        <w:bottom w:val="none" w:sz="0" w:space="0" w:color="auto"/>
        <w:right w:val="none" w:sz="0" w:space="0" w:color="auto"/>
      </w:divBdr>
      <w:divsChild>
        <w:div w:id="228542215">
          <w:marLeft w:val="0"/>
          <w:marRight w:val="0"/>
          <w:marTop w:val="0"/>
          <w:marBottom w:val="0"/>
          <w:divBdr>
            <w:top w:val="none" w:sz="0" w:space="0" w:color="auto"/>
            <w:left w:val="none" w:sz="0" w:space="0" w:color="auto"/>
            <w:bottom w:val="none" w:sz="0" w:space="0" w:color="auto"/>
            <w:right w:val="none" w:sz="0" w:space="0" w:color="auto"/>
          </w:divBdr>
        </w:div>
        <w:div w:id="1656884093">
          <w:marLeft w:val="0"/>
          <w:marRight w:val="0"/>
          <w:marTop w:val="0"/>
          <w:marBottom w:val="0"/>
          <w:divBdr>
            <w:top w:val="none" w:sz="0" w:space="0" w:color="auto"/>
            <w:left w:val="none" w:sz="0" w:space="0" w:color="auto"/>
            <w:bottom w:val="none" w:sz="0" w:space="0" w:color="auto"/>
            <w:right w:val="none" w:sz="0" w:space="0" w:color="auto"/>
          </w:divBdr>
        </w:div>
      </w:divsChild>
    </w:div>
    <w:div w:id="1294484186">
      <w:bodyDiv w:val="1"/>
      <w:marLeft w:val="0"/>
      <w:marRight w:val="0"/>
      <w:marTop w:val="0"/>
      <w:marBottom w:val="0"/>
      <w:divBdr>
        <w:top w:val="none" w:sz="0" w:space="0" w:color="auto"/>
        <w:left w:val="none" w:sz="0" w:space="0" w:color="auto"/>
        <w:bottom w:val="none" w:sz="0" w:space="0" w:color="auto"/>
        <w:right w:val="none" w:sz="0" w:space="0" w:color="auto"/>
      </w:divBdr>
    </w:div>
    <w:div w:id="1326400790">
      <w:bodyDiv w:val="1"/>
      <w:marLeft w:val="0"/>
      <w:marRight w:val="0"/>
      <w:marTop w:val="0"/>
      <w:marBottom w:val="0"/>
      <w:divBdr>
        <w:top w:val="none" w:sz="0" w:space="0" w:color="auto"/>
        <w:left w:val="none" w:sz="0" w:space="0" w:color="auto"/>
        <w:bottom w:val="none" w:sz="0" w:space="0" w:color="auto"/>
        <w:right w:val="none" w:sz="0" w:space="0" w:color="auto"/>
      </w:divBdr>
    </w:div>
    <w:div w:id="1344624785">
      <w:bodyDiv w:val="1"/>
      <w:marLeft w:val="0"/>
      <w:marRight w:val="0"/>
      <w:marTop w:val="0"/>
      <w:marBottom w:val="0"/>
      <w:divBdr>
        <w:top w:val="none" w:sz="0" w:space="0" w:color="auto"/>
        <w:left w:val="none" w:sz="0" w:space="0" w:color="auto"/>
        <w:bottom w:val="none" w:sz="0" w:space="0" w:color="auto"/>
        <w:right w:val="none" w:sz="0" w:space="0" w:color="auto"/>
      </w:divBdr>
    </w:div>
    <w:div w:id="1358116763">
      <w:bodyDiv w:val="1"/>
      <w:marLeft w:val="0"/>
      <w:marRight w:val="0"/>
      <w:marTop w:val="0"/>
      <w:marBottom w:val="0"/>
      <w:divBdr>
        <w:top w:val="none" w:sz="0" w:space="0" w:color="auto"/>
        <w:left w:val="none" w:sz="0" w:space="0" w:color="auto"/>
        <w:bottom w:val="none" w:sz="0" w:space="0" w:color="auto"/>
        <w:right w:val="none" w:sz="0" w:space="0" w:color="auto"/>
      </w:divBdr>
    </w:div>
    <w:div w:id="1363825594">
      <w:bodyDiv w:val="1"/>
      <w:marLeft w:val="0"/>
      <w:marRight w:val="0"/>
      <w:marTop w:val="0"/>
      <w:marBottom w:val="0"/>
      <w:divBdr>
        <w:top w:val="none" w:sz="0" w:space="0" w:color="auto"/>
        <w:left w:val="none" w:sz="0" w:space="0" w:color="auto"/>
        <w:bottom w:val="none" w:sz="0" w:space="0" w:color="auto"/>
        <w:right w:val="none" w:sz="0" w:space="0" w:color="auto"/>
      </w:divBdr>
    </w:div>
    <w:div w:id="1406488595">
      <w:bodyDiv w:val="1"/>
      <w:marLeft w:val="0"/>
      <w:marRight w:val="0"/>
      <w:marTop w:val="0"/>
      <w:marBottom w:val="0"/>
      <w:divBdr>
        <w:top w:val="none" w:sz="0" w:space="0" w:color="auto"/>
        <w:left w:val="none" w:sz="0" w:space="0" w:color="auto"/>
        <w:bottom w:val="none" w:sz="0" w:space="0" w:color="auto"/>
        <w:right w:val="none" w:sz="0" w:space="0" w:color="auto"/>
      </w:divBdr>
    </w:div>
    <w:div w:id="1420369674">
      <w:bodyDiv w:val="1"/>
      <w:marLeft w:val="0"/>
      <w:marRight w:val="0"/>
      <w:marTop w:val="0"/>
      <w:marBottom w:val="0"/>
      <w:divBdr>
        <w:top w:val="none" w:sz="0" w:space="0" w:color="auto"/>
        <w:left w:val="none" w:sz="0" w:space="0" w:color="auto"/>
        <w:bottom w:val="none" w:sz="0" w:space="0" w:color="auto"/>
        <w:right w:val="none" w:sz="0" w:space="0" w:color="auto"/>
      </w:divBdr>
      <w:divsChild>
        <w:div w:id="950169490">
          <w:marLeft w:val="0"/>
          <w:marRight w:val="0"/>
          <w:marTop w:val="0"/>
          <w:marBottom w:val="0"/>
          <w:divBdr>
            <w:top w:val="none" w:sz="0" w:space="0" w:color="auto"/>
            <w:left w:val="none" w:sz="0" w:space="0" w:color="auto"/>
            <w:bottom w:val="none" w:sz="0" w:space="0" w:color="auto"/>
            <w:right w:val="none" w:sz="0" w:space="0" w:color="auto"/>
          </w:divBdr>
          <w:divsChild>
            <w:div w:id="388119271">
              <w:marLeft w:val="0"/>
              <w:marRight w:val="0"/>
              <w:marTop w:val="0"/>
              <w:marBottom w:val="0"/>
              <w:divBdr>
                <w:top w:val="none" w:sz="0" w:space="0" w:color="auto"/>
                <w:left w:val="none" w:sz="0" w:space="0" w:color="auto"/>
                <w:bottom w:val="none" w:sz="0" w:space="0" w:color="auto"/>
                <w:right w:val="none" w:sz="0" w:space="0" w:color="auto"/>
              </w:divBdr>
              <w:divsChild>
                <w:div w:id="733116955">
                  <w:marLeft w:val="0"/>
                  <w:marRight w:val="0"/>
                  <w:marTop w:val="0"/>
                  <w:marBottom w:val="0"/>
                  <w:divBdr>
                    <w:top w:val="none" w:sz="0" w:space="0" w:color="auto"/>
                    <w:left w:val="none" w:sz="0" w:space="0" w:color="auto"/>
                    <w:bottom w:val="none" w:sz="0" w:space="0" w:color="auto"/>
                    <w:right w:val="none" w:sz="0" w:space="0" w:color="auto"/>
                  </w:divBdr>
                  <w:divsChild>
                    <w:div w:id="1745059733">
                      <w:marLeft w:val="0"/>
                      <w:marRight w:val="0"/>
                      <w:marTop w:val="0"/>
                      <w:marBottom w:val="0"/>
                      <w:divBdr>
                        <w:top w:val="none" w:sz="0" w:space="0" w:color="auto"/>
                        <w:left w:val="none" w:sz="0" w:space="0" w:color="auto"/>
                        <w:bottom w:val="none" w:sz="0" w:space="0" w:color="auto"/>
                        <w:right w:val="none" w:sz="0" w:space="0" w:color="auto"/>
                      </w:divBdr>
                      <w:divsChild>
                        <w:div w:id="2122988174">
                          <w:marLeft w:val="0"/>
                          <w:marRight w:val="0"/>
                          <w:marTop w:val="0"/>
                          <w:marBottom w:val="0"/>
                          <w:divBdr>
                            <w:top w:val="none" w:sz="0" w:space="0" w:color="auto"/>
                            <w:left w:val="none" w:sz="0" w:space="0" w:color="auto"/>
                            <w:bottom w:val="none" w:sz="0" w:space="0" w:color="auto"/>
                            <w:right w:val="none" w:sz="0" w:space="0" w:color="auto"/>
                          </w:divBdr>
                          <w:divsChild>
                            <w:div w:id="189808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036629">
      <w:bodyDiv w:val="1"/>
      <w:marLeft w:val="0"/>
      <w:marRight w:val="0"/>
      <w:marTop w:val="0"/>
      <w:marBottom w:val="0"/>
      <w:divBdr>
        <w:top w:val="none" w:sz="0" w:space="0" w:color="auto"/>
        <w:left w:val="none" w:sz="0" w:space="0" w:color="auto"/>
        <w:bottom w:val="none" w:sz="0" w:space="0" w:color="auto"/>
        <w:right w:val="none" w:sz="0" w:space="0" w:color="auto"/>
      </w:divBdr>
    </w:div>
    <w:div w:id="1491409301">
      <w:bodyDiv w:val="1"/>
      <w:marLeft w:val="0"/>
      <w:marRight w:val="0"/>
      <w:marTop w:val="0"/>
      <w:marBottom w:val="0"/>
      <w:divBdr>
        <w:top w:val="none" w:sz="0" w:space="0" w:color="auto"/>
        <w:left w:val="none" w:sz="0" w:space="0" w:color="auto"/>
        <w:bottom w:val="none" w:sz="0" w:space="0" w:color="auto"/>
        <w:right w:val="none" w:sz="0" w:space="0" w:color="auto"/>
      </w:divBdr>
    </w:div>
    <w:div w:id="1504122520">
      <w:bodyDiv w:val="1"/>
      <w:marLeft w:val="0"/>
      <w:marRight w:val="0"/>
      <w:marTop w:val="0"/>
      <w:marBottom w:val="0"/>
      <w:divBdr>
        <w:top w:val="none" w:sz="0" w:space="0" w:color="auto"/>
        <w:left w:val="none" w:sz="0" w:space="0" w:color="auto"/>
        <w:bottom w:val="none" w:sz="0" w:space="0" w:color="auto"/>
        <w:right w:val="none" w:sz="0" w:space="0" w:color="auto"/>
      </w:divBdr>
      <w:divsChild>
        <w:div w:id="1629122590">
          <w:marLeft w:val="-360"/>
          <w:marRight w:val="0"/>
          <w:marTop w:val="0"/>
          <w:marBottom w:val="0"/>
          <w:divBdr>
            <w:top w:val="none" w:sz="0" w:space="0" w:color="auto"/>
            <w:left w:val="none" w:sz="0" w:space="0" w:color="auto"/>
            <w:bottom w:val="none" w:sz="0" w:space="0" w:color="auto"/>
            <w:right w:val="none" w:sz="0" w:space="0" w:color="auto"/>
          </w:divBdr>
          <w:divsChild>
            <w:div w:id="1770077988">
              <w:marLeft w:val="0"/>
              <w:marRight w:val="0"/>
              <w:marTop w:val="0"/>
              <w:marBottom w:val="360"/>
              <w:divBdr>
                <w:top w:val="none" w:sz="0" w:space="0" w:color="auto"/>
                <w:left w:val="none" w:sz="0" w:space="0" w:color="auto"/>
                <w:bottom w:val="none" w:sz="0" w:space="0" w:color="auto"/>
                <w:right w:val="none" w:sz="0" w:space="0" w:color="auto"/>
              </w:divBdr>
            </w:div>
          </w:divsChild>
        </w:div>
        <w:div w:id="1161430149">
          <w:marLeft w:val="0"/>
          <w:marRight w:val="0"/>
          <w:marTop w:val="0"/>
          <w:marBottom w:val="0"/>
          <w:divBdr>
            <w:top w:val="none" w:sz="0" w:space="0" w:color="auto"/>
            <w:left w:val="none" w:sz="0" w:space="0" w:color="auto"/>
            <w:bottom w:val="none" w:sz="0" w:space="0" w:color="auto"/>
            <w:right w:val="none" w:sz="0" w:space="0" w:color="auto"/>
          </w:divBdr>
        </w:div>
      </w:divsChild>
    </w:div>
    <w:div w:id="1507212567">
      <w:bodyDiv w:val="1"/>
      <w:marLeft w:val="0"/>
      <w:marRight w:val="0"/>
      <w:marTop w:val="0"/>
      <w:marBottom w:val="0"/>
      <w:divBdr>
        <w:top w:val="none" w:sz="0" w:space="0" w:color="auto"/>
        <w:left w:val="none" w:sz="0" w:space="0" w:color="auto"/>
        <w:bottom w:val="none" w:sz="0" w:space="0" w:color="auto"/>
        <w:right w:val="none" w:sz="0" w:space="0" w:color="auto"/>
      </w:divBdr>
      <w:divsChild>
        <w:div w:id="488177860">
          <w:marLeft w:val="0"/>
          <w:marRight w:val="0"/>
          <w:marTop w:val="0"/>
          <w:marBottom w:val="0"/>
          <w:divBdr>
            <w:top w:val="none" w:sz="0" w:space="0" w:color="auto"/>
            <w:left w:val="none" w:sz="0" w:space="0" w:color="auto"/>
            <w:bottom w:val="none" w:sz="0" w:space="0" w:color="auto"/>
            <w:right w:val="none" w:sz="0" w:space="0" w:color="auto"/>
          </w:divBdr>
          <w:divsChild>
            <w:div w:id="1685940612">
              <w:marLeft w:val="0"/>
              <w:marRight w:val="0"/>
              <w:marTop w:val="0"/>
              <w:marBottom w:val="0"/>
              <w:divBdr>
                <w:top w:val="none" w:sz="0" w:space="0" w:color="auto"/>
                <w:left w:val="none" w:sz="0" w:space="0" w:color="auto"/>
                <w:bottom w:val="none" w:sz="0" w:space="0" w:color="auto"/>
                <w:right w:val="none" w:sz="0" w:space="0" w:color="auto"/>
              </w:divBdr>
              <w:divsChild>
                <w:div w:id="432865740">
                  <w:marLeft w:val="0"/>
                  <w:marRight w:val="0"/>
                  <w:marTop w:val="0"/>
                  <w:marBottom w:val="0"/>
                  <w:divBdr>
                    <w:top w:val="none" w:sz="0" w:space="0" w:color="auto"/>
                    <w:left w:val="none" w:sz="0" w:space="0" w:color="auto"/>
                    <w:bottom w:val="none" w:sz="0" w:space="0" w:color="auto"/>
                    <w:right w:val="none" w:sz="0" w:space="0" w:color="auto"/>
                  </w:divBdr>
                  <w:divsChild>
                    <w:div w:id="213009453">
                      <w:marLeft w:val="0"/>
                      <w:marRight w:val="0"/>
                      <w:marTop w:val="0"/>
                      <w:marBottom w:val="0"/>
                      <w:divBdr>
                        <w:top w:val="none" w:sz="0" w:space="0" w:color="auto"/>
                        <w:left w:val="none" w:sz="0" w:space="0" w:color="auto"/>
                        <w:bottom w:val="none" w:sz="0" w:space="0" w:color="auto"/>
                        <w:right w:val="none" w:sz="0" w:space="0" w:color="auto"/>
                      </w:divBdr>
                      <w:divsChild>
                        <w:div w:id="1041244990">
                          <w:marLeft w:val="0"/>
                          <w:marRight w:val="0"/>
                          <w:marTop w:val="0"/>
                          <w:marBottom w:val="0"/>
                          <w:divBdr>
                            <w:top w:val="none" w:sz="0" w:space="0" w:color="auto"/>
                            <w:left w:val="none" w:sz="0" w:space="0" w:color="auto"/>
                            <w:bottom w:val="none" w:sz="0" w:space="0" w:color="auto"/>
                            <w:right w:val="none" w:sz="0" w:space="0" w:color="auto"/>
                          </w:divBdr>
                          <w:divsChild>
                            <w:div w:id="75590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31596">
                  <w:marLeft w:val="0"/>
                  <w:marRight w:val="0"/>
                  <w:marTop w:val="0"/>
                  <w:marBottom w:val="0"/>
                  <w:divBdr>
                    <w:top w:val="none" w:sz="0" w:space="0" w:color="auto"/>
                    <w:left w:val="none" w:sz="0" w:space="0" w:color="auto"/>
                    <w:bottom w:val="none" w:sz="0" w:space="0" w:color="auto"/>
                    <w:right w:val="none" w:sz="0" w:space="0" w:color="auto"/>
                  </w:divBdr>
                  <w:divsChild>
                    <w:div w:id="1414476065">
                      <w:marLeft w:val="0"/>
                      <w:marRight w:val="0"/>
                      <w:marTop w:val="0"/>
                      <w:marBottom w:val="0"/>
                      <w:divBdr>
                        <w:top w:val="none" w:sz="0" w:space="0" w:color="auto"/>
                        <w:left w:val="none" w:sz="0" w:space="0" w:color="auto"/>
                        <w:bottom w:val="none" w:sz="0" w:space="0" w:color="auto"/>
                        <w:right w:val="none" w:sz="0" w:space="0" w:color="auto"/>
                      </w:divBdr>
                      <w:divsChild>
                        <w:div w:id="17970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50099">
                  <w:marLeft w:val="0"/>
                  <w:marRight w:val="0"/>
                  <w:marTop w:val="0"/>
                  <w:marBottom w:val="0"/>
                  <w:divBdr>
                    <w:top w:val="none" w:sz="0" w:space="0" w:color="auto"/>
                    <w:left w:val="none" w:sz="0" w:space="0" w:color="auto"/>
                    <w:bottom w:val="none" w:sz="0" w:space="0" w:color="auto"/>
                    <w:right w:val="none" w:sz="0" w:space="0" w:color="auto"/>
                  </w:divBdr>
                  <w:divsChild>
                    <w:div w:id="97183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883684">
      <w:bodyDiv w:val="1"/>
      <w:marLeft w:val="0"/>
      <w:marRight w:val="0"/>
      <w:marTop w:val="0"/>
      <w:marBottom w:val="0"/>
      <w:divBdr>
        <w:top w:val="none" w:sz="0" w:space="0" w:color="auto"/>
        <w:left w:val="none" w:sz="0" w:space="0" w:color="auto"/>
        <w:bottom w:val="none" w:sz="0" w:space="0" w:color="auto"/>
        <w:right w:val="none" w:sz="0" w:space="0" w:color="auto"/>
      </w:divBdr>
      <w:divsChild>
        <w:div w:id="1853255323">
          <w:marLeft w:val="0"/>
          <w:marRight w:val="0"/>
          <w:marTop w:val="0"/>
          <w:marBottom w:val="0"/>
          <w:divBdr>
            <w:top w:val="none" w:sz="0" w:space="0" w:color="auto"/>
            <w:left w:val="none" w:sz="0" w:space="0" w:color="auto"/>
            <w:bottom w:val="none" w:sz="0" w:space="0" w:color="auto"/>
            <w:right w:val="none" w:sz="0" w:space="0" w:color="auto"/>
          </w:divBdr>
          <w:divsChild>
            <w:div w:id="370033762">
              <w:marLeft w:val="0"/>
              <w:marRight w:val="0"/>
              <w:marTop w:val="0"/>
              <w:marBottom w:val="0"/>
              <w:divBdr>
                <w:top w:val="none" w:sz="0" w:space="0" w:color="auto"/>
                <w:left w:val="none" w:sz="0" w:space="0" w:color="auto"/>
                <w:bottom w:val="none" w:sz="0" w:space="0" w:color="auto"/>
                <w:right w:val="none" w:sz="0" w:space="0" w:color="auto"/>
              </w:divBdr>
              <w:divsChild>
                <w:div w:id="1497723589">
                  <w:marLeft w:val="0"/>
                  <w:marRight w:val="0"/>
                  <w:marTop w:val="0"/>
                  <w:marBottom w:val="0"/>
                  <w:divBdr>
                    <w:top w:val="none" w:sz="0" w:space="0" w:color="auto"/>
                    <w:left w:val="none" w:sz="0" w:space="0" w:color="auto"/>
                    <w:bottom w:val="none" w:sz="0" w:space="0" w:color="auto"/>
                    <w:right w:val="none" w:sz="0" w:space="0" w:color="auto"/>
                  </w:divBdr>
                  <w:divsChild>
                    <w:div w:id="1939216411">
                      <w:marLeft w:val="0"/>
                      <w:marRight w:val="0"/>
                      <w:marTop w:val="0"/>
                      <w:marBottom w:val="0"/>
                      <w:divBdr>
                        <w:top w:val="none" w:sz="0" w:space="0" w:color="auto"/>
                        <w:left w:val="none" w:sz="0" w:space="0" w:color="auto"/>
                        <w:bottom w:val="none" w:sz="0" w:space="0" w:color="auto"/>
                        <w:right w:val="none" w:sz="0" w:space="0" w:color="auto"/>
                      </w:divBdr>
                      <w:divsChild>
                        <w:div w:id="354041633">
                          <w:marLeft w:val="0"/>
                          <w:marRight w:val="0"/>
                          <w:marTop w:val="0"/>
                          <w:marBottom w:val="0"/>
                          <w:divBdr>
                            <w:top w:val="none" w:sz="0" w:space="0" w:color="auto"/>
                            <w:left w:val="none" w:sz="0" w:space="0" w:color="auto"/>
                            <w:bottom w:val="none" w:sz="0" w:space="0" w:color="auto"/>
                            <w:right w:val="none" w:sz="0" w:space="0" w:color="auto"/>
                          </w:divBdr>
                          <w:divsChild>
                            <w:div w:id="19291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623587">
      <w:bodyDiv w:val="1"/>
      <w:marLeft w:val="0"/>
      <w:marRight w:val="0"/>
      <w:marTop w:val="0"/>
      <w:marBottom w:val="0"/>
      <w:divBdr>
        <w:top w:val="none" w:sz="0" w:space="0" w:color="auto"/>
        <w:left w:val="none" w:sz="0" w:space="0" w:color="auto"/>
        <w:bottom w:val="none" w:sz="0" w:space="0" w:color="auto"/>
        <w:right w:val="none" w:sz="0" w:space="0" w:color="auto"/>
      </w:divBdr>
    </w:div>
    <w:div w:id="1538935322">
      <w:bodyDiv w:val="1"/>
      <w:marLeft w:val="0"/>
      <w:marRight w:val="0"/>
      <w:marTop w:val="0"/>
      <w:marBottom w:val="0"/>
      <w:divBdr>
        <w:top w:val="none" w:sz="0" w:space="0" w:color="auto"/>
        <w:left w:val="none" w:sz="0" w:space="0" w:color="auto"/>
        <w:bottom w:val="none" w:sz="0" w:space="0" w:color="auto"/>
        <w:right w:val="none" w:sz="0" w:space="0" w:color="auto"/>
      </w:divBdr>
    </w:div>
    <w:div w:id="1579904528">
      <w:bodyDiv w:val="1"/>
      <w:marLeft w:val="0"/>
      <w:marRight w:val="0"/>
      <w:marTop w:val="0"/>
      <w:marBottom w:val="0"/>
      <w:divBdr>
        <w:top w:val="none" w:sz="0" w:space="0" w:color="auto"/>
        <w:left w:val="none" w:sz="0" w:space="0" w:color="auto"/>
        <w:bottom w:val="none" w:sz="0" w:space="0" w:color="auto"/>
        <w:right w:val="none" w:sz="0" w:space="0" w:color="auto"/>
      </w:divBdr>
    </w:div>
    <w:div w:id="1585601366">
      <w:bodyDiv w:val="1"/>
      <w:marLeft w:val="0"/>
      <w:marRight w:val="0"/>
      <w:marTop w:val="0"/>
      <w:marBottom w:val="0"/>
      <w:divBdr>
        <w:top w:val="none" w:sz="0" w:space="0" w:color="auto"/>
        <w:left w:val="none" w:sz="0" w:space="0" w:color="auto"/>
        <w:bottom w:val="none" w:sz="0" w:space="0" w:color="auto"/>
        <w:right w:val="none" w:sz="0" w:space="0" w:color="auto"/>
      </w:divBdr>
      <w:divsChild>
        <w:div w:id="1976519226">
          <w:marLeft w:val="0"/>
          <w:marRight w:val="0"/>
          <w:marTop w:val="0"/>
          <w:marBottom w:val="0"/>
          <w:divBdr>
            <w:top w:val="none" w:sz="0" w:space="0" w:color="auto"/>
            <w:left w:val="none" w:sz="0" w:space="0" w:color="auto"/>
            <w:bottom w:val="none" w:sz="0" w:space="0" w:color="auto"/>
            <w:right w:val="none" w:sz="0" w:space="0" w:color="auto"/>
          </w:divBdr>
          <w:divsChild>
            <w:div w:id="1891762199">
              <w:marLeft w:val="0"/>
              <w:marRight w:val="0"/>
              <w:marTop w:val="0"/>
              <w:marBottom w:val="0"/>
              <w:divBdr>
                <w:top w:val="none" w:sz="0" w:space="0" w:color="auto"/>
                <w:left w:val="none" w:sz="0" w:space="0" w:color="auto"/>
                <w:bottom w:val="none" w:sz="0" w:space="0" w:color="auto"/>
                <w:right w:val="none" w:sz="0" w:space="0" w:color="auto"/>
              </w:divBdr>
              <w:divsChild>
                <w:div w:id="1514613272">
                  <w:marLeft w:val="0"/>
                  <w:marRight w:val="0"/>
                  <w:marTop w:val="0"/>
                  <w:marBottom w:val="0"/>
                  <w:divBdr>
                    <w:top w:val="none" w:sz="0" w:space="0" w:color="auto"/>
                    <w:left w:val="none" w:sz="0" w:space="0" w:color="auto"/>
                    <w:bottom w:val="none" w:sz="0" w:space="0" w:color="auto"/>
                    <w:right w:val="none" w:sz="0" w:space="0" w:color="auto"/>
                  </w:divBdr>
                  <w:divsChild>
                    <w:div w:id="9663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18130">
          <w:marLeft w:val="0"/>
          <w:marRight w:val="0"/>
          <w:marTop w:val="0"/>
          <w:marBottom w:val="0"/>
          <w:divBdr>
            <w:top w:val="none" w:sz="0" w:space="0" w:color="auto"/>
            <w:left w:val="none" w:sz="0" w:space="0" w:color="auto"/>
            <w:bottom w:val="none" w:sz="0" w:space="0" w:color="auto"/>
            <w:right w:val="none" w:sz="0" w:space="0" w:color="auto"/>
          </w:divBdr>
          <w:divsChild>
            <w:div w:id="1705864732">
              <w:marLeft w:val="0"/>
              <w:marRight w:val="0"/>
              <w:marTop w:val="0"/>
              <w:marBottom w:val="0"/>
              <w:divBdr>
                <w:top w:val="none" w:sz="0" w:space="0" w:color="auto"/>
                <w:left w:val="none" w:sz="0" w:space="0" w:color="auto"/>
                <w:bottom w:val="none" w:sz="0" w:space="0" w:color="auto"/>
                <w:right w:val="none" w:sz="0" w:space="0" w:color="auto"/>
              </w:divBdr>
              <w:divsChild>
                <w:div w:id="995497685">
                  <w:marLeft w:val="0"/>
                  <w:marRight w:val="0"/>
                  <w:marTop w:val="0"/>
                  <w:marBottom w:val="0"/>
                  <w:divBdr>
                    <w:top w:val="none" w:sz="0" w:space="0" w:color="auto"/>
                    <w:left w:val="none" w:sz="0" w:space="0" w:color="auto"/>
                    <w:bottom w:val="none" w:sz="0" w:space="0" w:color="auto"/>
                    <w:right w:val="none" w:sz="0" w:space="0" w:color="auto"/>
                  </w:divBdr>
                  <w:divsChild>
                    <w:div w:id="7782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978551">
      <w:bodyDiv w:val="1"/>
      <w:marLeft w:val="0"/>
      <w:marRight w:val="0"/>
      <w:marTop w:val="0"/>
      <w:marBottom w:val="0"/>
      <w:divBdr>
        <w:top w:val="none" w:sz="0" w:space="0" w:color="auto"/>
        <w:left w:val="none" w:sz="0" w:space="0" w:color="auto"/>
        <w:bottom w:val="none" w:sz="0" w:space="0" w:color="auto"/>
        <w:right w:val="none" w:sz="0" w:space="0" w:color="auto"/>
      </w:divBdr>
    </w:div>
    <w:div w:id="1671908095">
      <w:bodyDiv w:val="1"/>
      <w:marLeft w:val="0"/>
      <w:marRight w:val="0"/>
      <w:marTop w:val="0"/>
      <w:marBottom w:val="0"/>
      <w:divBdr>
        <w:top w:val="none" w:sz="0" w:space="0" w:color="auto"/>
        <w:left w:val="none" w:sz="0" w:space="0" w:color="auto"/>
        <w:bottom w:val="none" w:sz="0" w:space="0" w:color="auto"/>
        <w:right w:val="none" w:sz="0" w:space="0" w:color="auto"/>
      </w:divBdr>
    </w:div>
    <w:div w:id="1699349076">
      <w:bodyDiv w:val="1"/>
      <w:marLeft w:val="0"/>
      <w:marRight w:val="0"/>
      <w:marTop w:val="0"/>
      <w:marBottom w:val="0"/>
      <w:divBdr>
        <w:top w:val="none" w:sz="0" w:space="0" w:color="auto"/>
        <w:left w:val="none" w:sz="0" w:space="0" w:color="auto"/>
        <w:bottom w:val="none" w:sz="0" w:space="0" w:color="auto"/>
        <w:right w:val="none" w:sz="0" w:space="0" w:color="auto"/>
      </w:divBdr>
    </w:div>
    <w:div w:id="1743982696">
      <w:bodyDiv w:val="1"/>
      <w:marLeft w:val="0"/>
      <w:marRight w:val="0"/>
      <w:marTop w:val="0"/>
      <w:marBottom w:val="0"/>
      <w:divBdr>
        <w:top w:val="none" w:sz="0" w:space="0" w:color="auto"/>
        <w:left w:val="none" w:sz="0" w:space="0" w:color="auto"/>
        <w:bottom w:val="none" w:sz="0" w:space="0" w:color="auto"/>
        <w:right w:val="none" w:sz="0" w:space="0" w:color="auto"/>
      </w:divBdr>
    </w:div>
    <w:div w:id="1754471390">
      <w:bodyDiv w:val="1"/>
      <w:marLeft w:val="0"/>
      <w:marRight w:val="0"/>
      <w:marTop w:val="0"/>
      <w:marBottom w:val="0"/>
      <w:divBdr>
        <w:top w:val="none" w:sz="0" w:space="0" w:color="auto"/>
        <w:left w:val="none" w:sz="0" w:space="0" w:color="auto"/>
        <w:bottom w:val="none" w:sz="0" w:space="0" w:color="auto"/>
        <w:right w:val="none" w:sz="0" w:space="0" w:color="auto"/>
      </w:divBdr>
    </w:div>
    <w:div w:id="1774323640">
      <w:bodyDiv w:val="1"/>
      <w:marLeft w:val="0"/>
      <w:marRight w:val="0"/>
      <w:marTop w:val="0"/>
      <w:marBottom w:val="0"/>
      <w:divBdr>
        <w:top w:val="none" w:sz="0" w:space="0" w:color="auto"/>
        <w:left w:val="none" w:sz="0" w:space="0" w:color="auto"/>
        <w:bottom w:val="none" w:sz="0" w:space="0" w:color="auto"/>
        <w:right w:val="none" w:sz="0" w:space="0" w:color="auto"/>
      </w:divBdr>
    </w:div>
    <w:div w:id="1783842797">
      <w:bodyDiv w:val="1"/>
      <w:marLeft w:val="0"/>
      <w:marRight w:val="0"/>
      <w:marTop w:val="0"/>
      <w:marBottom w:val="0"/>
      <w:divBdr>
        <w:top w:val="none" w:sz="0" w:space="0" w:color="auto"/>
        <w:left w:val="none" w:sz="0" w:space="0" w:color="auto"/>
        <w:bottom w:val="none" w:sz="0" w:space="0" w:color="auto"/>
        <w:right w:val="none" w:sz="0" w:space="0" w:color="auto"/>
      </w:divBdr>
    </w:div>
    <w:div w:id="1801066361">
      <w:bodyDiv w:val="1"/>
      <w:marLeft w:val="0"/>
      <w:marRight w:val="0"/>
      <w:marTop w:val="0"/>
      <w:marBottom w:val="0"/>
      <w:divBdr>
        <w:top w:val="none" w:sz="0" w:space="0" w:color="auto"/>
        <w:left w:val="none" w:sz="0" w:space="0" w:color="auto"/>
        <w:bottom w:val="none" w:sz="0" w:space="0" w:color="auto"/>
        <w:right w:val="none" w:sz="0" w:space="0" w:color="auto"/>
      </w:divBdr>
    </w:div>
    <w:div w:id="1906254394">
      <w:bodyDiv w:val="1"/>
      <w:marLeft w:val="0"/>
      <w:marRight w:val="0"/>
      <w:marTop w:val="0"/>
      <w:marBottom w:val="0"/>
      <w:divBdr>
        <w:top w:val="none" w:sz="0" w:space="0" w:color="auto"/>
        <w:left w:val="none" w:sz="0" w:space="0" w:color="auto"/>
        <w:bottom w:val="none" w:sz="0" w:space="0" w:color="auto"/>
        <w:right w:val="none" w:sz="0" w:space="0" w:color="auto"/>
      </w:divBdr>
      <w:divsChild>
        <w:div w:id="1889951950">
          <w:marLeft w:val="0"/>
          <w:marRight w:val="0"/>
          <w:marTop w:val="0"/>
          <w:marBottom w:val="0"/>
          <w:divBdr>
            <w:top w:val="none" w:sz="0" w:space="0" w:color="auto"/>
            <w:left w:val="none" w:sz="0" w:space="0" w:color="auto"/>
            <w:bottom w:val="none" w:sz="0" w:space="0" w:color="auto"/>
            <w:right w:val="none" w:sz="0" w:space="0" w:color="auto"/>
          </w:divBdr>
          <w:divsChild>
            <w:div w:id="1728721336">
              <w:marLeft w:val="0"/>
              <w:marRight w:val="0"/>
              <w:marTop w:val="0"/>
              <w:marBottom w:val="0"/>
              <w:divBdr>
                <w:top w:val="none" w:sz="0" w:space="0" w:color="auto"/>
                <w:left w:val="none" w:sz="0" w:space="0" w:color="auto"/>
                <w:bottom w:val="none" w:sz="0" w:space="0" w:color="auto"/>
                <w:right w:val="none" w:sz="0" w:space="0" w:color="auto"/>
              </w:divBdr>
              <w:divsChild>
                <w:div w:id="1687093724">
                  <w:marLeft w:val="0"/>
                  <w:marRight w:val="0"/>
                  <w:marTop w:val="0"/>
                  <w:marBottom w:val="0"/>
                  <w:divBdr>
                    <w:top w:val="none" w:sz="0" w:space="0" w:color="auto"/>
                    <w:left w:val="none" w:sz="0" w:space="0" w:color="auto"/>
                    <w:bottom w:val="none" w:sz="0" w:space="0" w:color="auto"/>
                    <w:right w:val="none" w:sz="0" w:space="0" w:color="auto"/>
                  </w:divBdr>
                  <w:divsChild>
                    <w:div w:id="641228023">
                      <w:marLeft w:val="0"/>
                      <w:marRight w:val="0"/>
                      <w:marTop w:val="0"/>
                      <w:marBottom w:val="0"/>
                      <w:divBdr>
                        <w:top w:val="none" w:sz="0" w:space="0" w:color="auto"/>
                        <w:left w:val="none" w:sz="0" w:space="0" w:color="auto"/>
                        <w:bottom w:val="none" w:sz="0" w:space="0" w:color="auto"/>
                        <w:right w:val="none" w:sz="0" w:space="0" w:color="auto"/>
                      </w:divBdr>
                      <w:divsChild>
                        <w:div w:id="358434608">
                          <w:marLeft w:val="0"/>
                          <w:marRight w:val="0"/>
                          <w:marTop w:val="0"/>
                          <w:marBottom w:val="0"/>
                          <w:divBdr>
                            <w:top w:val="none" w:sz="0" w:space="0" w:color="auto"/>
                            <w:left w:val="none" w:sz="0" w:space="0" w:color="auto"/>
                            <w:bottom w:val="none" w:sz="0" w:space="0" w:color="auto"/>
                            <w:right w:val="none" w:sz="0" w:space="0" w:color="auto"/>
                          </w:divBdr>
                          <w:divsChild>
                            <w:div w:id="1087733422">
                              <w:marLeft w:val="0"/>
                              <w:marRight w:val="0"/>
                              <w:marTop w:val="0"/>
                              <w:marBottom w:val="0"/>
                              <w:divBdr>
                                <w:top w:val="none" w:sz="0" w:space="0" w:color="auto"/>
                                <w:left w:val="none" w:sz="0" w:space="0" w:color="auto"/>
                                <w:bottom w:val="none" w:sz="0" w:space="0" w:color="auto"/>
                                <w:right w:val="none" w:sz="0" w:space="0" w:color="auto"/>
                              </w:divBdr>
                              <w:divsChild>
                                <w:div w:id="537397687">
                                  <w:marLeft w:val="0"/>
                                  <w:marRight w:val="0"/>
                                  <w:marTop w:val="0"/>
                                  <w:marBottom w:val="0"/>
                                  <w:divBdr>
                                    <w:top w:val="none" w:sz="0" w:space="0" w:color="auto"/>
                                    <w:left w:val="none" w:sz="0" w:space="0" w:color="auto"/>
                                    <w:bottom w:val="none" w:sz="0" w:space="0" w:color="auto"/>
                                    <w:right w:val="none" w:sz="0" w:space="0" w:color="auto"/>
                                  </w:divBdr>
                                </w:div>
                              </w:divsChild>
                            </w:div>
                            <w:div w:id="1970622503">
                              <w:marLeft w:val="0"/>
                              <w:marRight w:val="0"/>
                              <w:marTop w:val="0"/>
                              <w:marBottom w:val="0"/>
                              <w:divBdr>
                                <w:top w:val="none" w:sz="0" w:space="0" w:color="auto"/>
                                <w:left w:val="none" w:sz="0" w:space="0" w:color="auto"/>
                                <w:bottom w:val="none" w:sz="0" w:space="0" w:color="auto"/>
                                <w:right w:val="none" w:sz="0" w:space="0" w:color="auto"/>
                              </w:divBdr>
                              <w:divsChild>
                                <w:div w:id="550657641">
                                  <w:marLeft w:val="0"/>
                                  <w:marRight w:val="0"/>
                                  <w:marTop w:val="0"/>
                                  <w:marBottom w:val="0"/>
                                  <w:divBdr>
                                    <w:top w:val="none" w:sz="0" w:space="0" w:color="auto"/>
                                    <w:left w:val="none" w:sz="0" w:space="0" w:color="auto"/>
                                    <w:bottom w:val="none" w:sz="0" w:space="0" w:color="auto"/>
                                    <w:right w:val="none" w:sz="0" w:space="0" w:color="auto"/>
                                  </w:divBdr>
                                  <w:divsChild>
                                    <w:div w:id="752971341">
                                      <w:marLeft w:val="0"/>
                                      <w:marRight w:val="0"/>
                                      <w:marTop w:val="0"/>
                                      <w:marBottom w:val="0"/>
                                      <w:divBdr>
                                        <w:top w:val="none" w:sz="0" w:space="0" w:color="auto"/>
                                        <w:left w:val="none" w:sz="0" w:space="0" w:color="auto"/>
                                        <w:bottom w:val="none" w:sz="0" w:space="0" w:color="auto"/>
                                        <w:right w:val="none" w:sz="0" w:space="0" w:color="auto"/>
                                      </w:divBdr>
                                      <w:divsChild>
                                        <w:div w:id="679042429">
                                          <w:marLeft w:val="0"/>
                                          <w:marRight w:val="0"/>
                                          <w:marTop w:val="0"/>
                                          <w:marBottom w:val="0"/>
                                          <w:divBdr>
                                            <w:top w:val="none" w:sz="0" w:space="0" w:color="auto"/>
                                            <w:left w:val="none" w:sz="0" w:space="0" w:color="auto"/>
                                            <w:bottom w:val="none" w:sz="0" w:space="0" w:color="auto"/>
                                            <w:right w:val="none" w:sz="0" w:space="0" w:color="auto"/>
                                          </w:divBdr>
                                          <w:divsChild>
                                            <w:div w:id="1797871663">
                                              <w:marLeft w:val="0"/>
                                              <w:marRight w:val="0"/>
                                              <w:marTop w:val="0"/>
                                              <w:marBottom w:val="0"/>
                                              <w:divBdr>
                                                <w:top w:val="none" w:sz="0" w:space="0" w:color="auto"/>
                                                <w:left w:val="none" w:sz="0" w:space="0" w:color="auto"/>
                                                <w:bottom w:val="none" w:sz="0" w:space="0" w:color="auto"/>
                                                <w:right w:val="none" w:sz="0" w:space="0" w:color="auto"/>
                                              </w:divBdr>
                                              <w:divsChild>
                                                <w:div w:id="162864323">
                                                  <w:marLeft w:val="0"/>
                                                  <w:marRight w:val="0"/>
                                                  <w:marTop w:val="0"/>
                                                  <w:marBottom w:val="0"/>
                                                  <w:divBdr>
                                                    <w:top w:val="none" w:sz="0" w:space="0" w:color="auto"/>
                                                    <w:left w:val="none" w:sz="0" w:space="0" w:color="auto"/>
                                                    <w:bottom w:val="none" w:sz="0" w:space="0" w:color="auto"/>
                                                    <w:right w:val="none" w:sz="0" w:space="0" w:color="auto"/>
                                                  </w:divBdr>
                                                  <w:divsChild>
                                                    <w:div w:id="1485971328">
                                                      <w:marLeft w:val="0"/>
                                                      <w:marRight w:val="0"/>
                                                      <w:marTop w:val="0"/>
                                                      <w:marBottom w:val="0"/>
                                                      <w:divBdr>
                                                        <w:top w:val="none" w:sz="0" w:space="0" w:color="auto"/>
                                                        <w:left w:val="none" w:sz="0" w:space="0" w:color="auto"/>
                                                        <w:bottom w:val="none" w:sz="0" w:space="0" w:color="auto"/>
                                                        <w:right w:val="none" w:sz="0" w:space="0" w:color="auto"/>
                                                      </w:divBdr>
                                                      <w:divsChild>
                                                        <w:div w:id="1342316008">
                                                          <w:marLeft w:val="0"/>
                                                          <w:marRight w:val="0"/>
                                                          <w:marTop w:val="0"/>
                                                          <w:marBottom w:val="0"/>
                                                          <w:divBdr>
                                                            <w:top w:val="none" w:sz="0" w:space="0" w:color="auto"/>
                                                            <w:left w:val="none" w:sz="0" w:space="0" w:color="auto"/>
                                                            <w:bottom w:val="none" w:sz="0" w:space="0" w:color="auto"/>
                                                            <w:right w:val="none" w:sz="0" w:space="0" w:color="auto"/>
                                                          </w:divBdr>
                                                          <w:divsChild>
                                                            <w:div w:id="261188127">
                                                              <w:marLeft w:val="0"/>
                                                              <w:marRight w:val="0"/>
                                                              <w:marTop w:val="0"/>
                                                              <w:marBottom w:val="0"/>
                                                              <w:divBdr>
                                                                <w:top w:val="none" w:sz="0" w:space="0" w:color="auto"/>
                                                                <w:left w:val="none" w:sz="0" w:space="0" w:color="auto"/>
                                                                <w:bottom w:val="none" w:sz="0" w:space="0" w:color="auto"/>
                                                                <w:right w:val="none" w:sz="0" w:space="0" w:color="auto"/>
                                                              </w:divBdr>
                                                              <w:divsChild>
                                                                <w:div w:id="45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754768">
                      <w:marLeft w:val="0"/>
                      <w:marRight w:val="0"/>
                      <w:marTop w:val="0"/>
                      <w:marBottom w:val="0"/>
                      <w:divBdr>
                        <w:top w:val="none" w:sz="0" w:space="0" w:color="auto"/>
                        <w:left w:val="none" w:sz="0" w:space="0" w:color="auto"/>
                        <w:bottom w:val="none" w:sz="0" w:space="0" w:color="auto"/>
                        <w:right w:val="none" w:sz="0" w:space="0" w:color="auto"/>
                      </w:divBdr>
                      <w:divsChild>
                        <w:div w:id="651175577">
                          <w:marLeft w:val="0"/>
                          <w:marRight w:val="0"/>
                          <w:marTop w:val="0"/>
                          <w:marBottom w:val="0"/>
                          <w:divBdr>
                            <w:top w:val="none" w:sz="0" w:space="0" w:color="auto"/>
                            <w:left w:val="none" w:sz="0" w:space="0" w:color="auto"/>
                            <w:bottom w:val="none" w:sz="0" w:space="0" w:color="auto"/>
                            <w:right w:val="none" w:sz="0" w:space="0" w:color="auto"/>
                          </w:divBdr>
                          <w:divsChild>
                            <w:div w:id="29923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331852">
      <w:bodyDiv w:val="1"/>
      <w:marLeft w:val="0"/>
      <w:marRight w:val="0"/>
      <w:marTop w:val="0"/>
      <w:marBottom w:val="0"/>
      <w:divBdr>
        <w:top w:val="none" w:sz="0" w:space="0" w:color="auto"/>
        <w:left w:val="none" w:sz="0" w:space="0" w:color="auto"/>
        <w:bottom w:val="none" w:sz="0" w:space="0" w:color="auto"/>
        <w:right w:val="none" w:sz="0" w:space="0" w:color="auto"/>
      </w:divBdr>
      <w:divsChild>
        <w:div w:id="146745223">
          <w:marLeft w:val="0"/>
          <w:marRight w:val="0"/>
          <w:marTop w:val="0"/>
          <w:marBottom w:val="0"/>
          <w:divBdr>
            <w:top w:val="none" w:sz="0" w:space="0" w:color="auto"/>
            <w:left w:val="none" w:sz="0" w:space="0" w:color="auto"/>
            <w:bottom w:val="none" w:sz="0" w:space="0" w:color="auto"/>
            <w:right w:val="none" w:sz="0" w:space="0" w:color="auto"/>
          </w:divBdr>
          <w:divsChild>
            <w:div w:id="1854759853">
              <w:marLeft w:val="0"/>
              <w:marRight w:val="0"/>
              <w:marTop w:val="0"/>
              <w:marBottom w:val="0"/>
              <w:divBdr>
                <w:top w:val="none" w:sz="0" w:space="0" w:color="auto"/>
                <w:left w:val="none" w:sz="0" w:space="0" w:color="auto"/>
                <w:bottom w:val="none" w:sz="0" w:space="0" w:color="auto"/>
                <w:right w:val="none" w:sz="0" w:space="0" w:color="auto"/>
              </w:divBdr>
              <w:divsChild>
                <w:div w:id="171379092">
                  <w:marLeft w:val="0"/>
                  <w:marRight w:val="0"/>
                  <w:marTop w:val="0"/>
                  <w:marBottom w:val="0"/>
                  <w:divBdr>
                    <w:top w:val="none" w:sz="0" w:space="0" w:color="auto"/>
                    <w:left w:val="none" w:sz="0" w:space="0" w:color="auto"/>
                    <w:bottom w:val="none" w:sz="0" w:space="0" w:color="auto"/>
                    <w:right w:val="none" w:sz="0" w:space="0" w:color="auto"/>
                  </w:divBdr>
                  <w:divsChild>
                    <w:div w:id="1183402363">
                      <w:marLeft w:val="0"/>
                      <w:marRight w:val="0"/>
                      <w:marTop w:val="0"/>
                      <w:marBottom w:val="0"/>
                      <w:divBdr>
                        <w:top w:val="none" w:sz="0" w:space="0" w:color="auto"/>
                        <w:left w:val="none" w:sz="0" w:space="0" w:color="auto"/>
                        <w:bottom w:val="none" w:sz="0" w:space="0" w:color="auto"/>
                        <w:right w:val="none" w:sz="0" w:space="0" w:color="auto"/>
                      </w:divBdr>
                      <w:divsChild>
                        <w:div w:id="2105879710">
                          <w:marLeft w:val="0"/>
                          <w:marRight w:val="0"/>
                          <w:marTop w:val="0"/>
                          <w:marBottom w:val="0"/>
                          <w:divBdr>
                            <w:top w:val="none" w:sz="0" w:space="0" w:color="auto"/>
                            <w:left w:val="none" w:sz="0" w:space="0" w:color="auto"/>
                            <w:bottom w:val="none" w:sz="0" w:space="0" w:color="auto"/>
                            <w:right w:val="none" w:sz="0" w:space="0" w:color="auto"/>
                          </w:divBdr>
                          <w:divsChild>
                            <w:div w:id="1303803742">
                              <w:marLeft w:val="0"/>
                              <w:marRight w:val="0"/>
                              <w:marTop w:val="0"/>
                              <w:marBottom w:val="0"/>
                              <w:divBdr>
                                <w:top w:val="none" w:sz="0" w:space="0" w:color="auto"/>
                                <w:left w:val="none" w:sz="0" w:space="0" w:color="auto"/>
                                <w:bottom w:val="none" w:sz="0" w:space="0" w:color="auto"/>
                                <w:right w:val="none" w:sz="0" w:space="0" w:color="auto"/>
                              </w:divBdr>
                              <w:divsChild>
                                <w:div w:id="1529029423">
                                  <w:marLeft w:val="0"/>
                                  <w:marRight w:val="0"/>
                                  <w:marTop w:val="0"/>
                                  <w:marBottom w:val="0"/>
                                  <w:divBdr>
                                    <w:top w:val="none" w:sz="0" w:space="0" w:color="auto"/>
                                    <w:left w:val="none" w:sz="0" w:space="0" w:color="auto"/>
                                    <w:bottom w:val="none" w:sz="0" w:space="0" w:color="auto"/>
                                    <w:right w:val="none" w:sz="0" w:space="0" w:color="auto"/>
                                  </w:divBdr>
                                  <w:divsChild>
                                    <w:div w:id="196457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96428">
      <w:bodyDiv w:val="1"/>
      <w:marLeft w:val="0"/>
      <w:marRight w:val="0"/>
      <w:marTop w:val="0"/>
      <w:marBottom w:val="0"/>
      <w:divBdr>
        <w:top w:val="none" w:sz="0" w:space="0" w:color="auto"/>
        <w:left w:val="none" w:sz="0" w:space="0" w:color="auto"/>
        <w:bottom w:val="none" w:sz="0" w:space="0" w:color="auto"/>
        <w:right w:val="none" w:sz="0" w:space="0" w:color="auto"/>
      </w:divBdr>
    </w:div>
    <w:div w:id="1992589146">
      <w:bodyDiv w:val="1"/>
      <w:marLeft w:val="0"/>
      <w:marRight w:val="0"/>
      <w:marTop w:val="0"/>
      <w:marBottom w:val="0"/>
      <w:divBdr>
        <w:top w:val="none" w:sz="0" w:space="0" w:color="auto"/>
        <w:left w:val="none" w:sz="0" w:space="0" w:color="auto"/>
        <w:bottom w:val="none" w:sz="0" w:space="0" w:color="auto"/>
        <w:right w:val="none" w:sz="0" w:space="0" w:color="auto"/>
      </w:divBdr>
    </w:div>
    <w:div w:id="1997300647">
      <w:bodyDiv w:val="1"/>
      <w:marLeft w:val="0"/>
      <w:marRight w:val="0"/>
      <w:marTop w:val="0"/>
      <w:marBottom w:val="0"/>
      <w:divBdr>
        <w:top w:val="none" w:sz="0" w:space="0" w:color="auto"/>
        <w:left w:val="none" w:sz="0" w:space="0" w:color="auto"/>
        <w:bottom w:val="none" w:sz="0" w:space="0" w:color="auto"/>
        <w:right w:val="none" w:sz="0" w:space="0" w:color="auto"/>
      </w:divBdr>
    </w:div>
    <w:div w:id="2034766120">
      <w:bodyDiv w:val="1"/>
      <w:marLeft w:val="0"/>
      <w:marRight w:val="0"/>
      <w:marTop w:val="0"/>
      <w:marBottom w:val="0"/>
      <w:divBdr>
        <w:top w:val="none" w:sz="0" w:space="0" w:color="auto"/>
        <w:left w:val="none" w:sz="0" w:space="0" w:color="auto"/>
        <w:bottom w:val="none" w:sz="0" w:space="0" w:color="auto"/>
        <w:right w:val="none" w:sz="0" w:space="0" w:color="auto"/>
      </w:divBdr>
    </w:div>
    <w:div w:id="2050031911">
      <w:bodyDiv w:val="1"/>
      <w:marLeft w:val="0"/>
      <w:marRight w:val="0"/>
      <w:marTop w:val="0"/>
      <w:marBottom w:val="0"/>
      <w:divBdr>
        <w:top w:val="none" w:sz="0" w:space="0" w:color="auto"/>
        <w:left w:val="none" w:sz="0" w:space="0" w:color="auto"/>
        <w:bottom w:val="none" w:sz="0" w:space="0" w:color="auto"/>
        <w:right w:val="none" w:sz="0" w:space="0" w:color="auto"/>
      </w:divBdr>
      <w:divsChild>
        <w:div w:id="557783500">
          <w:marLeft w:val="0"/>
          <w:marRight w:val="0"/>
          <w:marTop w:val="0"/>
          <w:marBottom w:val="0"/>
          <w:divBdr>
            <w:top w:val="none" w:sz="0" w:space="0" w:color="auto"/>
            <w:left w:val="none" w:sz="0" w:space="0" w:color="auto"/>
            <w:bottom w:val="none" w:sz="0" w:space="0" w:color="auto"/>
            <w:right w:val="none" w:sz="0" w:space="0" w:color="auto"/>
          </w:divBdr>
          <w:divsChild>
            <w:div w:id="384640387">
              <w:marLeft w:val="0"/>
              <w:marRight w:val="0"/>
              <w:marTop w:val="0"/>
              <w:marBottom w:val="0"/>
              <w:divBdr>
                <w:top w:val="none" w:sz="0" w:space="0" w:color="auto"/>
                <w:left w:val="none" w:sz="0" w:space="0" w:color="auto"/>
                <w:bottom w:val="none" w:sz="0" w:space="0" w:color="auto"/>
                <w:right w:val="none" w:sz="0" w:space="0" w:color="auto"/>
              </w:divBdr>
              <w:divsChild>
                <w:div w:id="195048926">
                  <w:marLeft w:val="0"/>
                  <w:marRight w:val="0"/>
                  <w:marTop w:val="0"/>
                  <w:marBottom w:val="0"/>
                  <w:divBdr>
                    <w:top w:val="none" w:sz="0" w:space="0" w:color="auto"/>
                    <w:left w:val="none" w:sz="0" w:space="0" w:color="auto"/>
                    <w:bottom w:val="none" w:sz="0" w:space="0" w:color="auto"/>
                    <w:right w:val="none" w:sz="0" w:space="0" w:color="auto"/>
                  </w:divBdr>
                  <w:divsChild>
                    <w:div w:id="130083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8520">
          <w:marLeft w:val="0"/>
          <w:marRight w:val="0"/>
          <w:marTop w:val="0"/>
          <w:marBottom w:val="0"/>
          <w:divBdr>
            <w:top w:val="none" w:sz="0" w:space="0" w:color="auto"/>
            <w:left w:val="none" w:sz="0" w:space="0" w:color="auto"/>
            <w:bottom w:val="none" w:sz="0" w:space="0" w:color="auto"/>
            <w:right w:val="none" w:sz="0" w:space="0" w:color="auto"/>
          </w:divBdr>
          <w:divsChild>
            <w:div w:id="1650860069">
              <w:marLeft w:val="0"/>
              <w:marRight w:val="0"/>
              <w:marTop w:val="0"/>
              <w:marBottom w:val="0"/>
              <w:divBdr>
                <w:top w:val="none" w:sz="0" w:space="0" w:color="auto"/>
                <w:left w:val="none" w:sz="0" w:space="0" w:color="auto"/>
                <w:bottom w:val="none" w:sz="0" w:space="0" w:color="auto"/>
                <w:right w:val="none" w:sz="0" w:space="0" w:color="auto"/>
              </w:divBdr>
              <w:divsChild>
                <w:div w:id="368074384">
                  <w:marLeft w:val="0"/>
                  <w:marRight w:val="0"/>
                  <w:marTop w:val="0"/>
                  <w:marBottom w:val="0"/>
                  <w:divBdr>
                    <w:top w:val="none" w:sz="0" w:space="0" w:color="auto"/>
                    <w:left w:val="none" w:sz="0" w:space="0" w:color="auto"/>
                    <w:bottom w:val="none" w:sz="0" w:space="0" w:color="auto"/>
                    <w:right w:val="none" w:sz="0" w:space="0" w:color="auto"/>
                  </w:divBdr>
                  <w:divsChild>
                    <w:div w:id="12305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891943">
      <w:bodyDiv w:val="1"/>
      <w:marLeft w:val="0"/>
      <w:marRight w:val="0"/>
      <w:marTop w:val="0"/>
      <w:marBottom w:val="0"/>
      <w:divBdr>
        <w:top w:val="none" w:sz="0" w:space="0" w:color="auto"/>
        <w:left w:val="none" w:sz="0" w:space="0" w:color="auto"/>
        <w:bottom w:val="none" w:sz="0" w:space="0" w:color="auto"/>
        <w:right w:val="none" w:sz="0" w:space="0" w:color="auto"/>
      </w:divBdr>
    </w:div>
    <w:div w:id="2092503580">
      <w:bodyDiv w:val="1"/>
      <w:marLeft w:val="0"/>
      <w:marRight w:val="0"/>
      <w:marTop w:val="0"/>
      <w:marBottom w:val="0"/>
      <w:divBdr>
        <w:top w:val="none" w:sz="0" w:space="0" w:color="auto"/>
        <w:left w:val="none" w:sz="0" w:space="0" w:color="auto"/>
        <w:bottom w:val="none" w:sz="0" w:space="0" w:color="auto"/>
        <w:right w:val="none" w:sz="0" w:space="0" w:color="auto"/>
      </w:divBdr>
    </w:div>
    <w:div w:id="2108621171">
      <w:bodyDiv w:val="1"/>
      <w:marLeft w:val="0"/>
      <w:marRight w:val="0"/>
      <w:marTop w:val="0"/>
      <w:marBottom w:val="0"/>
      <w:divBdr>
        <w:top w:val="none" w:sz="0" w:space="0" w:color="auto"/>
        <w:left w:val="none" w:sz="0" w:space="0" w:color="auto"/>
        <w:bottom w:val="none" w:sz="0" w:space="0" w:color="auto"/>
        <w:right w:val="none" w:sz="0" w:space="0" w:color="auto"/>
      </w:divBdr>
      <w:divsChild>
        <w:div w:id="2019457956">
          <w:marLeft w:val="0"/>
          <w:marRight w:val="0"/>
          <w:marTop w:val="0"/>
          <w:marBottom w:val="0"/>
          <w:divBdr>
            <w:top w:val="none" w:sz="0" w:space="0" w:color="auto"/>
            <w:left w:val="none" w:sz="0" w:space="0" w:color="auto"/>
            <w:bottom w:val="none" w:sz="0" w:space="0" w:color="auto"/>
            <w:right w:val="none" w:sz="0" w:space="0" w:color="auto"/>
          </w:divBdr>
        </w:div>
      </w:divsChild>
    </w:div>
    <w:div w:id="213190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cenbank-my.sharepoint.com/personal/laniran26079_cbn_gov_ng/Documents/Desktop/New%20folder/cape/2026/bulletin%20dat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580927384076991E-2"/>
          <c:y val="2.5428331875182269E-2"/>
          <c:w val="0.90286351706036749"/>
          <c:h val="0.87928988043161271"/>
        </c:manualLayout>
      </c:layout>
      <c:barChart>
        <c:barDir val="col"/>
        <c:grouping val="clustered"/>
        <c:varyColors val="0"/>
        <c:ser>
          <c:idx val="0"/>
          <c:order val="0"/>
          <c:tx>
            <c:strRef>
              <c:f>Sheet2!$C$13</c:f>
              <c:strCache>
                <c:ptCount val="1"/>
                <c:pt idx="0">
                  <c:v>Feb-26</c:v>
                </c:pt>
              </c:strCache>
            </c:strRef>
          </c:tx>
          <c:spPr>
            <a:solidFill>
              <a:schemeClr val="accent1"/>
            </a:solidFill>
            <a:ln>
              <a:noFill/>
            </a:ln>
            <a:effectLst/>
            <a:scene3d>
              <a:camera prst="orthographicFront"/>
              <a:lightRig rig="threePt" dir="t"/>
            </a:scene3d>
            <a:sp3d>
              <a:bevelT w="139700" h="139700" prst="divo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Sheet2!$C$14:$C$21</c:f>
              <c:numCache>
                <c:formatCode>General</c:formatCode>
                <c:ptCount val="8"/>
                <c:pt idx="0">
                  <c:v>1.3</c:v>
                </c:pt>
                <c:pt idx="1">
                  <c:v>3</c:v>
                </c:pt>
                <c:pt idx="2">
                  <c:v>2.4</c:v>
                </c:pt>
                <c:pt idx="3">
                  <c:v>1.9</c:v>
                </c:pt>
                <c:pt idx="4">
                  <c:v>3</c:v>
                </c:pt>
                <c:pt idx="5">
                  <c:v>13.4</c:v>
                </c:pt>
                <c:pt idx="6">
                  <c:v>15.06</c:v>
                </c:pt>
                <c:pt idx="7">
                  <c:v>3.3</c:v>
                </c:pt>
              </c:numCache>
            </c:numRef>
          </c:val>
          <c:extLst>
            <c:ext xmlns:c16="http://schemas.microsoft.com/office/drawing/2014/chart" uri="{C3380CC4-5D6E-409C-BE32-E72D297353CC}">
              <c16:uniqueId val="{00000000-2D54-4321-A409-EF0009FC250E}"/>
            </c:ext>
          </c:extLst>
        </c:ser>
        <c:ser>
          <c:idx val="1"/>
          <c:order val="1"/>
          <c:tx>
            <c:strRef>
              <c:f>Sheet2!$D$13</c:f>
              <c:strCache>
                <c:ptCount val="1"/>
                <c:pt idx="0">
                  <c:v>Jan-26</c:v>
                </c:pt>
              </c:strCache>
            </c:strRef>
          </c:tx>
          <c:spPr>
            <a:solidFill>
              <a:srgbClr val="C00000"/>
            </a:solidFill>
            <a:ln>
              <a:noFill/>
            </a:ln>
            <a:effectLst/>
            <a:scene3d>
              <a:camera prst="orthographicFront"/>
              <a:lightRig rig="threePt" dir="t"/>
            </a:scene3d>
            <a:sp3d>
              <a:bevelT/>
            </a:sp3d>
          </c:spPr>
          <c:invertIfNegative val="0"/>
          <c:cat>
            <c:strRef>
              <c:f>Sheet2!$B$14:$B$21</c:f>
              <c:strCache>
                <c:ptCount val="8"/>
                <c:pt idx="0">
                  <c:v>China</c:v>
                </c:pt>
                <c:pt idx="1">
                  <c:v>S.A</c:v>
                </c:pt>
                <c:pt idx="2">
                  <c:v>U.S</c:v>
                </c:pt>
                <c:pt idx="3">
                  <c:v>E.U</c:v>
                </c:pt>
                <c:pt idx="4">
                  <c:v>U.K</c:v>
                </c:pt>
                <c:pt idx="5">
                  <c:v>Egypt</c:v>
                </c:pt>
                <c:pt idx="6">
                  <c:v>Nigeria</c:v>
                </c:pt>
                <c:pt idx="7">
                  <c:v>Ghana</c:v>
                </c:pt>
              </c:strCache>
            </c:strRef>
          </c:cat>
          <c:val>
            <c:numRef>
              <c:f>Sheet2!$D$14:$D$21</c:f>
              <c:numCache>
                <c:formatCode>General</c:formatCode>
                <c:ptCount val="8"/>
                <c:pt idx="0">
                  <c:v>0.2</c:v>
                </c:pt>
                <c:pt idx="1">
                  <c:v>3.5</c:v>
                </c:pt>
                <c:pt idx="2">
                  <c:v>2.4</c:v>
                </c:pt>
                <c:pt idx="3">
                  <c:v>1.7</c:v>
                </c:pt>
                <c:pt idx="4">
                  <c:v>3</c:v>
                </c:pt>
                <c:pt idx="5">
                  <c:v>11.9</c:v>
                </c:pt>
                <c:pt idx="6">
                  <c:v>15.1</c:v>
                </c:pt>
                <c:pt idx="7">
                  <c:v>3.8</c:v>
                </c:pt>
              </c:numCache>
            </c:numRef>
          </c:val>
          <c:extLst>
            <c:ext xmlns:c16="http://schemas.microsoft.com/office/drawing/2014/chart" uri="{C3380CC4-5D6E-409C-BE32-E72D297353CC}">
              <c16:uniqueId val="{00000001-2D54-4321-A409-EF0009FC250E}"/>
            </c:ext>
          </c:extLst>
        </c:ser>
        <c:dLbls>
          <c:showLegendKey val="0"/>
          <c:showVal val="0"/>
          <c:showCatName val="0"/>
          <c:showSerName val="0"/>
          <c:showPercent val="0"/>
          <c:showBubbleSize val="0"/>
        </c:dLbls>
        <c:gapWidth val="199"/>
        <c:axId val="1794116800"/>
        <c:axId val="1824792512"/>
      </c:barChart>
      <c:catAx>
        <c:axId val="1794116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1" i="0" u="none" strike="noStrike" kern="1200" cap="none" spc="0" normalizeH="0" baseline="0">
                <a:solidFill>
                  <a:sysClr val="windowText" lastClr="000000"/>
                </a:solidFill>
                <a:latin typeface="+mn-lt"/>
                <a:ea typeface="+mn-ea"/>
                <a:cs typeface="+mn-cs"/>
              </a:defRPr>
            </a:pPr>
            <a:endParaRPr lang="en-NG"/>
          </a:p>
        </c:txPr>
        <c:crossAx val="1824792512"/>
        <c:crosses val="autoZero"/>
        <c:auto val="1"/>
        <c:lblAlgn val="ctr"/>
        <c:lblOffset val="100"/>
        <c:noMultiLvlLbl val="0"/>
      </c:catAx>
      <c:valAx>
        <c:axId val="1824792512"/>
        <c:scaling>
          <c:orientation val="minMax"/>
        </c:scaling>
        <c:delete val="0"/>
        <c:axPos val="l"/>
        <c:title>
          <c:tx>
            <c:rich>
              <a:bodyPr rot="-5400000" spcFirstLastPara="1" vertOverflow="ellipsis" vert="horz" wrap="square" anchor="ctr" anchorCtr="1"/>
              <a:lstStyle/>
              <a:p>
                <a:pPr>
                  <a:defRPr sz="600" b="1" i="0" u="none" strike="noStrike" kern="1200" cap="all" baseline="0">
                    <a:solidFill>
                      <a:sysClr val="windowText" lastClr="000000"/>
                    </a:solidFill>
                    <a:latin typeface="+mn-lt"/>
                    <a:ea typeface="+mn-ea"/>
                    <a:cs typeface="+mn-cs"/>
                  </a:defRPr>
                </a:pPr>
                <a:r>
                  <a:rPr lang="en-GB"/>
                  <a:t>INFLATION (%)</a:t>
                </a:r>
              </a:p>
            </c:rich>
          </c:tx>
          <c:overlay val="0"/>
          <c:spPr>
            <a:noFill/>
            <a:ln>
              <a:noFill/>
            </a:ln>
            <a:effectLst/>
          </c:spPr>
          <c:txPr>
            <a:bodyPr rot="-5400000" spcFirstLastPara="1" vertOverflow="ellipsis" vert="horz" wrap="square" anchor="ctr" anchorCtr="1"/>
            <a:lstStyle/>
            <a:p>
              <a:pPr>
                <a:defRPr sz="600" b="1" i="0" u="none" strike="noStrike" kern="1200" cap="all" baseline="0">
                  <a:solidFill>
                    <a:sysClr val="windowText" lastClr="000000"/>
                  </a:solidFill>
                  <a:latin typeface="+mn-lt"/>
                  <a:ea typeface="+mn-ea"/>
                  <a:cs typeface="+mn-cs"/>
                </a:defRPr>
              </a:pPr>
              <a:endParaRPr lang="en-NG"/>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endParaRPr lang="en-NG"/>
          </a:p>
        </c:txPr>
        <c:crossAx val="17941168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1" i="0" u="none" strike="noStrike" kern="1200" baseline="0">
              <a:solidFill>
                <a:sysClr val="windowText" lastClr="000000"/>
              </a:solidFill>
              <a:latin typeface="+mn-lt"/>
              <a:ea typeface="+mn-ea"/>
              <a:cs typeface="+mn-cs"/>
            </a:defRPr>
          </a:pPr>
          <a:endParaRPr lang="en-NG"/>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b="1">
          <a:solidFill>
            <a:sysClr val="windowText" lastClr="000000"/>
          </a:solidFill>
        </a:defRPr>
      </a:pPr>
      <a:endParaRPr lang="en-N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TBClassification>
  <attrValue xml:space="preserve">Public</attrValue>
  <customPropName>Classification</customPropName>
  <timestamp>05/09/2022 17:14:15</timestamp>
  <userName>CENBANK\LANIRAN26079</userName>
  <computerName>MPDLTPA26079.cenbank.net</computerName>
  <guid>{528e43bb-cdf0-4d1e-833a-fd14e6776c05}</guid>
</GTBClassification>
</file>

<file path=customXml/itemProps1.xml><?xml version="1.0" encoding="utf-8"?>
<ds:datastoreItem xmlns:ds="http://schemas.openxmlformats.org/officeDocument/2006/customXml" ds:itemID="{8BBF37B7-993C-4C5D-88C9-780EC30EEAB7}">
  <ds:schemaRefs/>
</ds:datastoreItem>
</file>

<file path=docMetadata/LabelInfo.xml><?xml version="1.0" encoding="utf-8"?>
<clbl:labelList xmlns:clbl="http://schemas.microsoft.com/office/2020/mipLabelMetadata">
  <clbl:label id="{56a3f9de-d7f5-4481-ad90-6d032fa2cd3a}" enabled="1" method="Privileged" siteId="{9cdc7dd5-9dd6-4fbb-9a68-bcb9021721d0}" removed="0"/>
</clbl:labelList>
</file>

<file path=docProps/app.xml><?xml version="1.0" encoding="utf-8"?>
<Properties xmlns="http://schemas.openxmlformats.org/officeDocument/2006/extended-properties" xmlns:vt="http://schemas.openxmlformats.org/officeDocument/2006/docPropsVTypes">
  <Template>Normal</Template>
  <TotalTime>11</TotalTime>
  <Pages>8</Pages>
  <Words>4177</Words>
  <Characters>23813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LANIRAN, TEMITOPE JOSEPH</dc:creator>
  <cp:keywords/>
  <dc:description/>
  <cp:lastModifiedBy>Oyedamola Taiwo</cp:lastModifiedBy>
  <cp:revision>3</cp:revision>
  <cp:lastPrinted>2022-11-09T11:59:00Z</cp:lastPrinted>
  <dcterms:created xsi:type="dcterms:W3CDTF">2026-04-08T19:25:00Z</dcterms:created>
  <dcterms:modified xsi:type="dcterms:W3CDTF">2026-04-09T17:32:00Z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c88eb2-eb2d-44c8-912e-96a8f22df436_Enabled">
    <vt:lpwstr>True</vt:lpwstr>
  </property>
  <property fmtid="{D5CDD505-2E9C-101B-9397-08002B2CF9AE}" pid="3" name="MSIP_Label_a6c88eb2-eb2d-44c8-912e-96a8f22df436_SiteId">
    <vt:lpwstr>9cdc7dd5-9dd6-4fbb-9a68-bcb9021721d0</vt:lpwstr>
  </property>
  <property fmtid="{D5CDD505-2E9C-101B-9397-08002B2CF9AE}" pid="4" name="MSIP_Label_a6c88eb2-eb2d-44c8-912e-96a8f22df436_Owner">
    <vt:lpwstr>LANIRAN26079@cbn.gov.ng</vt:lpwstr>
  </property>
  <property fmtid="{D5CDD505-2E9C-101B-9397-08002B2CF9AE}" pid="5" name="MSIP_Label_a6c88eb2-eb2d-44c8-912e-96a8f22df436_SetDate">
    <vt:lpwstr>2022-08-18T14:34:27.9583406Z</vt:lpwstr>
  </property>
  <property fmtid="{D5CDD505-2E9C-101B-9397-08002B2CF9AE}" pid="6" name="MSIP_Label_a6c88eb2-eb2d-44c8-912e-96a8f22df436_Name">
    <vt:lpwstr>Confidential</vt:lpwstr>
  </property>
  <property fmtid="{D5CDD505-2E9C-101B-9397-08002B2CF9AE}" pid="7" name="MSIP_Label_a6c88eb2-eb2d-44c8-912e-96a8f22df436_Application">
    <vt:lpwstr>Microsoft Azure Information Protection</vt:lpwstr>
  </property>
  <property fmtid="{D5CDD505-2E9C-101B-9397-08002B2CF9AE}" pid="8" name="MSIP_Label_a6c88eb2-eb2d-44c8-912e-96a8f22df436_Extended_MSFT_Method">
    <vt:lpwstr>Automatic</vt:lpwstr>
  </property>
  <property fmtid="{D5CDD505-2E9C-101B-9397-08002B2CF9AE}" pid="9" name="MSIP_Label_56a3f9de-d7f5-4481-ad90-6d032fa2cd3a_Enabled">
    <vt:lpwstr>True</vt:lpwstr>
  </property>
  <property fmtid="{D5CDD505-2E9C-101B-9397-08002B2CF9AE}" pid="10" name="MSIP_Label_56a3f9de-d7f5-4481-ad90-6d032fa2cd3a_SiteId">
    <vt:lpwstr>9cdc7dd5-9dd6-4fbb-9a68-bcb9021721d0</vt:lpwstr>
  </property>
  <property fmtid="{D5CDD505-2E9C-101B-9397-08002B2CF9AE}" pid="11" name="MSIP_Label_56a3f9de-d7f5-4481-ad90-6d032fa2cd3a_Owner">
    <vt:lpwstr>LANIRAN26079@cbn.gov.ng</vt:lpwstr>
  </property>
  <property fmtid="{D5CDD505-2E9C-101B-9397-08002B2CF9AE}" pid="12" name="MSIP_Label_56a3f9de-d7f5-4481-ad90-6d032fa2cd3a_SetDate">
    <vt:lpwstr>2022-08-18T14:34:27.9583406Z</vt:lpwstr>
  </property>
  <property fmtid="{D5CDD505-2E9C-101B-9397-08002B2CF9AE}" pid="13" name="MSIP_Label_56a3f9de-d7f5-4481-ad90-6d032fa2cd3a_Name">
    <vt:lpwstr>Anyone (not protected)</vt:lpwstr>
  </property>
  <property fmtid="{D5CDD505-2E9C-101B-9397-08002B2CF9AE}" pid="14" name="MSIP_Label_56a3f9de-d7f5-4481-ad90-6d032fa2cd3a_Application">
    <vt:lpwstr>Microsoft Azure Information Protection</vt:lpwstr>
  </property>
  <property fmtid="{D5CDD505-2E9C-101B-9397-08002B2CF9AE}" pid="15" name="MSIP_Label_56a3f9de-d7f5-4481-ad90-6d032fa2cd3a_Parent">
    <vt:lpwstr>a6c88eb2-eb2d-44c8-912e-96a8f22df436</vt:lpwstr>
  </property>
  <property fmtid="{D5CDD505-2E9C-101B-9397-08002B2CF9AE}" pid="16" name="MSIP_Label_56a3f9de-d7f5-4481-ad90-6d032fa2cd3a_Extended_MSFT_Method">
    <vt:lpwstr>Automatic</vt:lpwstr>
  </property>
  <property fmtid="{D5CDD505-2E9C-101B-9397-08002B2CF9AE}" pid="17" name="Sensitivity">
    <vt:lpwstr>Confidential Anyone (not protected)</vt:lpwstr>
  </property>
  <property fmtid="{D5CDD505-2E9C-101B-9397-08002B2CF9AE}" pid="18" name="Classification">
    <vt:lpwstr>Public</vt:lpwstr>
  </property>
  <property fmtid="{D5CDD505-2E9C-101B-9397-08002B2CF9AE}" pid="19" name="ClassifiedBy">
    <vt:lpwstr>CENBANK\LANIRAN26079</vt:lpwstr>
  </property>
  <property fmtid="{D5CDD505-2E9C-101B-9397-08002B2CF9AE}" pid="20" name="ClassificationHost">
    <vt:lpwstr>MPDLTPA26079.cenbank.net</vt:lpwstr>
  </property>
  <property fmtid="{D5CDD505-2E9C-101B-9397-08002B2CF9AE}" pid="21" name="ClassificationDate">
    <vt:lpwstr>05/09/2022 17:14:15</vt:lpwstr>
  </property>
  <property fmtid="{D5CDD505-2E9C-101B-9397-08002B2CF9AE}" pid="22" name="ClassificationGUID">
    <vt:lpwstr>{528e43bb-cdf0-4d1e-833a-fd14e6776c05}</vt:lpwstr>
  </property>
  <property fmtid="{D5CDD505-2E9C-101B-9397-08002B2CF9AE}" pid="23" name="GrammarlyDocumentId">
    <vt:lpwstr>dfac30b43ab051f1c0fe405626e5c39e9b605bb48f2cd706e1783e03fa17b067</vt:lpwstr>
  </property>
</Properties>
</file>