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8CC200" w14:textId="27F9A9FD" w:rsidR="00AE43C5" w:rsidRPr="00984583" w:rsidRDefault="00B76D04" w:rsidP="0016538D">
      <w:pPr>
        <w:pStyle w:val="Title"/>
        <w:rPr>
          <w:sz w:val="32"/>
          <w:szCs w:val="32"/>
          <w:lang w:val="en-GB"/>
        </w:rPr>
      </w:pPr>
      <w:bookmarkStart w:id="0" w:name="_Hlk234412071"/>
      <w:bookmarkStart w:id="1" w:name="_Hlk121436281"/>
      <w:bookmarkEnd w:id="0"/>
      <w:r w:rsidRPr="00984583">
        <w:rPr>
          <w:sz w:val="32"/>
          <w:szCs w:val="32"/>
          <w:lang w:val="en-GB"/>
        </w:rPr>
        <w:t xml:space="preserve">Cape </w:t>
      </w:r>
      <w:r w:rsidR="008101DE" w:rsidRPr="00984583">
        <w:rPr>
          <w:sz w:val="32"/>
          <w:szCs w:val="32"/>
          <w:lang w:val="en-GB"/>
        </w:rPr>
        <w:t>Economic Performance and Prospect</w:t>
      </w:r>
      <w:r w:rsidRPr="00984583">
        <w:rPr>
          <w:sz w:val="32"/>
          <w:szCs w:val="32"/>
          <w:lang w:val="en-GB"/>
        </w:rPr>
        <w:t xml:space="preserve"> </w:t>
      </w:r>
      <w:r w:rsidR="0031763F" w:rsidRPr="00984583">
        <w:rPr>
          <w:sz w:val="32"/>
          <w:szCs w:val="32"/>
          <w:lang w:val="en-GB"/>
        </w:rPr>
        <w:t xml:space="preserve">Bulletin </w:t>
      </w:r>
      <w:r w:rsidR="007E630B" w:rsidRPr="00984583">
        <w:rPr>
          <w:sz w:val="32"/>
          <w:szCs w:val="32"/>
          <w:lang w:val="en-GB"/>
        </w:rPr>
        <w:t>–</w:t>
      </w:r>
      <w:r w:rsidR="0031763F" w:rsidRPr="00984583">
        <w:rPr>
          <w:sz w:val="32"/>
          <w:szCs w:val="32"/>
          <w:lang w:val="en-GB"/>
        </w:rPr>
        <w:t xml:space="preserve"> </w:t>
      </w:r>
      <w:r w:rsidR="0075352F" w:rsidRPr="00984583">
        <w:rPr>
          <w:sz w:val="32"/>
          <w:szCs w:val="32"/>
          <w:lang w:val="en-GB"/>
        </w:rPr>
        <w:t>Ju</w:t>
      </w:r>
      <w:r w:rsidR="00131007" w:rsidRPr="00984583">
        <w:rPr>
          <w:sz w:val="32"/>
          <w:szCs w:val="32"/>
          <w:lang w:val="en-GB"/>
        </w:rPr>
        <w:t>ly</w:t>
      </w:r>
      <w:r w:rsidR="006D3BC3" w:rsidRPr="00984583">
        <w:rPr>
          <w:sz w:val="32"/>
          <w:szCs w:val="32"/>
          <w:lang w:val="en-GB"/>
        </w:rPr>
        <w:t xml:space="preserve"> </w:t>
      </w:r>
      <w:r w:rsidR="0031763F" w:rsidRPr="00984583">
        <w:rPr>
          <w:sz w:val="32"/>
          <w:szCs w:val="32"/>
          <w:lang w:val="en-GB"/>
        </w:rPr>
        <w:t>202</w:t>
      </w:r>
      <w:r w:rsidR="000E5A2A" w:rsidRPr="00984583">
        <w:rPr>
          <w:sz w:val="32"/>
          <w:szCs w:val="32"/>
          <w:lang w:val="en-GB"/>
        </w:rPr>
        <w:t>6</w:t>
      </w:r>
    </w:p>
    <w:p w14:paraId="1A01D438" w14:textId="2DD0543F" w:rsidR="00DE54B1" w:rsidRPr="00984583" w:rsidRDefault="00DE54B1" w:rsidP="0016538D">
      <w:pPr>
        <w:spacing w:before="240"/>
        <w:jc w:val="both"/>
        <w:rPr>
          <w:b/>
          <w:bCs/>
          <w:lang w:val="en-GB"/>
        </w:rPr>
      </w:pPr>
      <w:r w:rsidRPr="00984583">
        <w:rPr>
          <w:b/>
          <w:bCs/>
          <w:lang w:val="en-GB"/>
        </w:rPr>
        <w:t>Highlights</w:t>
      </w:r>
    </w:p>
    <w:p w14:paraId="05635A6C" w14:textId="4FA7B21A" w:rsidR="00772A7F" w:rsidRPr="00984583" w:rsidRDefault="00772A7F" w:rsidP="0016538D">
      <w:pPr>
        <w:numPr>
          <w:ilvl w:val="0"/>
          <w:numId w:val="1"/>
        </w:numPr>
        <w:ind w:left="142"/>
        <w:contextualSpacing/>
        <w:jc w:val="both"/>
        <w:rPr>
          <w:i/>
          <w:iCs/>
          <w:sz w:val="18"/>
          <w:szCs w:val="18"/>
          <w:lang w:val="en-GB"/>
        </w:rPr>
      </w:pPr>
      <w:r w:rsidRPr="00984583">
        <w:rPr>
          <w:i/>
          <w:iCs/>
          <w:sz w:val="18"/>
          <w:szCs w:val="18"/>
          <w:lang w:val="en-GB"/>
        </w:rPr>
        <w:t xml:space="preserve">Price pressures expected to </w:t>
      </w:r>
      <w:r w:rsidR="006918C4" w:rsidRPr="00984583">
        <w:rPr>
          <w:i/>
          <w:iCs/>
          <w:sz w:val="18"/>
          <w:szCs w:val="18"/>
          <w:lang w:val="en-GB"/>
        </w:rPr>
        <w:t xml:space="preserve">sustain moderation in 2026 </w:t>
      </w:r>
      <w:r w:rsidR="00DB1453" w:rsidRPr="00984583">
        <w:rPr>
          <w:i/>
          <w:iCs/>
          <w:sz w:val="18"/>
          <w:szCs w:val="18"/>
          <w:lang w:val="en-GB"/>
        </w:rPr>
        <w:t xml:space="preserve">although this is highly threatened by ongoing crisis in the middle east. </w:t>
      </w:r>
    </w:p>
    <w:p w14:paraId="4F908D24" w14:textId="2E8872AA" w:rsidR="00772A7F" w:rsidRPr="00984583" w:rsidRDefault="00772A7F" w:rsidP="0016538D">
      <w:pPr>
        <w:numPr>
          <w:ilvl w:val="0"/>
          <w:numId w:val="1"/>
        </w:numPr>
        <w:ind w:left="142"/>
        <w:contextualSpacing/>
        <w:jc w:val="both"/>
        <w:rPr>
          <w:i/>
          <w:iCs/>
          <w:sz w:val="18"/>
          <w:szCs w:val="18"/>
          <w:lang w:val="en-GB"/>
        </w:rPr>
      </w:pPr>
      <w:r w:rsidRPr="00984583">
        <w:rPr>
          <w:i/>
          <w:iCs/>
          <w:sz w:val="18"/>
          <w:szCs w:val="18"/>
          <w:lang w:val="en-GB"/>
        </w:rPr>
        <w:t>Nigeria’s</w:t>
      </w:r>
      <w:r w:rsidR="005357D4" w:rsidRPr="00984583">
        <w:rPr>
          <w:i/>
          <w:iCs/>
          <w:sz w:val="18"/>
          <w:szCs w:val="18"/>
          <w:lang w:val="en-GB"/>
        </w:rPr>
        <w:t xml:space="preserve"> </w:t>
      </w:r>
      <w:r w:rsidRPr="00984583">
        <w:rPr>
          <w:i/>
          <w:iCs/>
          <w:sz w:val="18"/>
          <w:szCs w:val="18"/>
          <w:lang w:val="en-GB"/>
        </w:rPr>
        <w:t xml:space="preserve">output growth </w:t>
      </w:r>
      <w:r w:rsidR="005357D4" w:rsidRPr="00984583">
        <w:rPr>
          <w:i/>
          <w:iCs/>
          <w:sz w:val="18"/>
          <w:szCs w:val="18"/>
          <w:lang w:val="en-GB"/>
        </w:rPr>
        <w:t xml:space="preserve">in 2026 is </w:t>
      </w:r>
      <w:r w:rsidRPr="00984583">
        <w:rPr>
          <w:i/>
          <w:iCs/>
          <w:sz w:val="18"/>
          <w:szCs w:val="18"/>
          <w:lang w:val="en-GB"/>
        </w:rPr>
        <w:t>expected to</w:t>
      </w:r>
      <w:r w:rsidR="000C1347" w:rsidRPr="00984583">
        <w:rPr>
          <w:i/>
          <w:iCs/>
          <w:sz w:val="18"/>
          <w:szCs w:val="18"/>
          <w:lang w:val="en-GB"/>
        </w:rPr>
        <w:t xml:space="preserve"> remain positive</w:t>
      </w:r>
      <w:r w:rsidR="00C505B4" w:rsidRPr="00984583">
        <w:rPr>
          <w:i/>
          <w:iCs/>
          <w:sz w:val="18"/>
          <w:szCs w:val="18"/>
          <w:lang w:val="en-GB"/>
        </w:rPr>
        <w:t xml:space="preserve"> </w:t>
      </w:r>
      <w:r w:rsidR="0025657A" w:rsidRPr="00984583">
        <w:rPr>
          <w:i/>
          <w:iCs/>
          <w:sz w:val="18"/>
          <w:szCs w:val="18"/>
          <w:lang w:val="en-GB"/>
        </w:rPr>
        <w:t>as economy</w:t>
      </w:r>
      <w:r w:rsidR="001406B4">
        <w:rPr>
          <w:i/>
          <w:iCs/>
          <w:sz w:val="18"/>
          <w:szCs w:val="18"/>
          <w:lang w:val="en-GB"/>
        </w:rPr>
        <w:t xml:space="preserve"> the</w:t>
      </w:r>
      <w:r w:rsidR="0025657A" w:rsidRPr="00984583">
        <w:rPr>
          <w:i/>
          <w:iCs/>
          <w:sz w:val="18"/>
          <w:szCs w:val="18"/>
          <w:lang w:val="en-GB"/>
        </w:rPr>
        <w:t xml:space="preserve"> stabilises</w:t>
      </w:r>
      <w:r w:rsidR="00FB7BB3" w:rsidRPr="00984583">
        <w:rPr>
          <w:i/>
          <w:iCs/>
          <w:sz w:val="18"/>
          <w:szCs w:val="18"/>
          <w:lang w:val="en-GB"/>
        </w:rPr>
        <w:t xml:space="preserve"> and consolidates </w:t>
      </w:r>
      <w:r w:rsidR="0025657A" w:rsidRPr="00984583">
        <w:rPr>
          <w:i/>
          <w:iCs/>
          <w:sz w:val="18"/>
          <w:szCs w:val="18"/>
          <w:lang w:val="en-GB"/>
        </w:rPr>
        <w:t>reforms</w:t>
      </w:r>
      <w:r w:rsidRPr="00984583">
        <w:rPr>
          <w:i/>
          <w:iCs/>
          <w:sz w:val="18"/>
          <w:szCs w:val="18"/>
          <w:lang w:val="en-GB"/>
        </w:rPr>
        <w:t xml:space="preserve">. </w:t>
      </w:r>
    </w:p>
    <w:p w14:paraId="63DD1885" w14:textId="7FA8AE39" w:rsidR="006A0E79" w:rsidRPr="00984583" w:rsidRDefault="006A0E79" w:rsidP="0016538D">
      <w:pPr>
        <w:jc w:val="both"/>
        <w:rPr>
          <w:lang w:val="en-GB"/>
        </w:rPr>
        <w:sectPr w:rsidR="006A0E79" w:rsidRPr="00984583" w:rsidSect="00DE54B1">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849" w:bottom="1440" w:left="1440" w:header="708" w:footer="708" w:gutter="0"/>
          <w:cols w:space="708"/>
          <w:docGrid w:linePitch="360"/>
        </w:sectPr>
      </w:pPr>
    </w:p>
    <w:p w14:paraId="226BF8D0" w14:textId="399DA10B" w:rsidR="00DE54B1" w:rsidRPr="00984583" w:rsidRDefault="00A73157" w:rsidP="0016538D">
      <w:pPr>
        <w:pStyle w:val="Heading1"/>
        <w:rPr>
          <w:b/>
          <w:bCs/>
          <w:lang w:val="en-GB"/>
        </w:rPr>
        <w:sectPr w:rsidR="00DE54B1" w:rsidRPr="00984583" w:rsidSect="00DE54B1">
          <w:type w:val="continuous"/>
          <w:pgSz w:w="11906" w:h="16838"/>
          <w:pgMar w:top="1440" w:right="849" w:bottom="1440" w:left="1440" w:header="708" w:footer="708" w:gutter="0"/>
          <w:cols w:space="708"/>
          <w:docGrid w:linePitch="360"/>
        </w:sectPr>
      </w:pPr>
      <w:r w:rsidRPr="00984583">
        <w:rPr>
          <w:b/>
          <w:bCs/>
          <w:lang w:val="en-GB"/>
        </w:rPr>
        <w:t xml:space="preserve">Global Economic Update   </w:t>
      </w:r>
    </w:p>
    <w:p w14:paraId="1F71492D" w14:textId="77777777" w:rsidR="0058781C" w:rsidRPr="0058781C" w:rsidRDefault="0058781C" w:rsidP="0058781C">
      <w:pPr>
        <w:spacing w:after="160" w:line="259" w:lineRule="auto"/>
        <w:jc w:val="both"/>
        <w:rPr>
          <w:rFonts w:asciiTheme="minorHAnsi" w:hAnsiTheme="minorHAnsi"/>
          <w:sz w:val="22"/>
          <w:szCs w:val="22"/>
          <w:lang w:val="en-GB" w:eastAsia="en-US"/>
        </w:rPr>
      </w:pPr>
      <w:r w:rsidRPr="0058781C">
        <w:rPr>
          <w:rFonts w:asciiTheme="minorHAnsi" w:hAnsiTheme="minorHAnsi"/>
          <w:sz w:val="22"/>
          <w:szCs w:val="22"/>
          <w:lang w:val="en-GB" w:eastAsia="en-US"/>
        </w:rPr>
        <w:t xml:space="preserve">Global economic activity remained resilient through the first half of 2026.  While growth momentum strengthened at the beginning of the year, the global economy subsequently faced renewed pressures arising from the Middle East conflict, elevated commodity prices, persistent geopolitical tensions, and tighter financial conditions. These developments increased uncertainty, weakened trade prospects, and heightened downside risks to the global outlook. Nevertheless, the mid-June agreement between the United States and Iran, which paved the way for a ceasefire and the reopening of critical energy transit routes, significantly reduced immediate risks to global energy supply and improved market sentiment toward the end of June. </w:t>
      </w:r>
    </w:p>
    <w:p w14:paraId="581117CA" w14:textId="77777777" w:rsidR="0058781C" w:rsidRPr="0058781C" w:rsidRDefault="0058781C" w:rsidP="0058781C">
      <w:pPr>
        <w:spacing w:after="160" w:line="259" w:lineRule="auto"/>
        <w:jc w:val="both"/>
        <w:rPr>
          <w:rFonts w:asciiTheme="minorHAnsi" w:hAnsiTheme="minorHAnsi"/>
          <w:sz w:val="22"/>
          <w:szCs w:val="22"/>
          <w:lang w:val="en-GB" w:eastAsia="en-US"/>
        </w:rPr>
      </w:pPr>
      <w:r w:rsidRPr="0058781C">
        <w:rPr>
          <w:rFonts w:asciiTheme="minorHAnsi" w:hAnsiTheme="minorHAnsi"/>
          <w:sz w:val="22"/>
          <w:szCs w:val="22"/>
          <w:lang w:val="en-GB" w:eastAsia="en-US"/>
        </w:rPr>
        <w:t xml:space="preserve">Among advanced economies, the United States continued to provide the principal support to global growth. Economic activity remained underpinned by relatively robust household spending, a resilient labour market, and sustained investment in artificial intelligence, advanced manufacturing, and digital infrastructure. These factors have continued to support productivity growth and investment despite the persistence of restrictive monetary conditions. In contrast, economic performance in the euro area remained comparatively subdued, reflecting weak industrial activity, lingering competitiveness challenges, and the adverse effects of elevated energy costs earlier in the quarter. Although fiscal support measures and easing supply constraints provided some relief, the pace of recovery remained modest. </w:t>
      </w:r>
    </w:p>
    <w:p w14:paraId="22CA956C" w14:textId="77777777" w:rsidR="0058781C" w:rsidRPr="0058781C" w:rsidRDefault="0058781C" w:rsidP="0058781C">
      <w:pPr>
        <w:spacing w:after="160" w:line="259" w:lineRule="auto"/>
        <w:jc w:val="both"/>
        <w:rPr>
          <w:rFonts w:asciiTheme="minorHAnsi" w:hAnsiTheme="minorHAnsi"/>
          <w:sz w:val="22"/>
          <w:szCs w:val="22"/>
          <w:lang w:val="en-GB" w:eastAsia="en-US"/>
        </w:rPr>
      </w:pPr>
      <w:r w:rsidRPr="0058781C">
        <w:rPr>
          <w:rFonts w:asciiTheme="minorHAnsi" w:hAnsiTheme="minorHAnsi"/>
          <w:sz w:val="22"/>
          <w:szCs w:val="22"/>
          <w:lang w:val="en-GB" w:eastAsia="en-US"/>
        </w:rPr>
        <w:t xml:space="preserve">Growth in emerging market and developing economies (EMDEs) continued to outpace that of advanced economies, supported by relatively strong domestic demand and ongoing public and private investment. India and several Southeast Asian economies maintained robust growth </w:t>
      </w:r>
      <w:r w:rsidRPr="0058781C">
        <w:rPr>
          <w:rFonts w:asciiTheme="minorHAnsi" w:hAnsiTheme="minorHAnsi"/>
          <w:sz w:val="22"/>
          <w:szCs w:val="22"/>
          <w:lang w:val="en-GB" w:eastAsia="en-US"/>
        </w:rPr>
        <w:t xml:space="preserve">trajectories, benefiting from infrastructure spending, expanding services sectors, and resilient consumer demand. However, these economies became increasingly exposed to risks associated with geopolitical fragmentation, disruptions to trade routes, and higher shipping and logistics costs during the quarter. In China, economic conditions showed gradual improvement as the effects of earlier policy support measures continued to filter through the economy. While structural weaknesses in the property sector persisted, improvements in investment activity and business confidence contributed to a cautious recovery. Nonetheless, uncertainties surrounding external demand and the global trade environment continued to weigh on the outlook. </w:t>
      </w:r>
    </w:p>
    <w:p w14:paraId="50D31F6F" w14:textId="77777777" w:rsidR="0058781C" w:rsidRPr="0058781C" w:rsidRDefault="0058781C" w:rsidP="0058781C">
      <w:pPr>
        <w:spacing w:after="160" w:line="259" w:lineRule="auto"/>
        <w:jc w:val="both"/>
        <w:rPr>
          <w:rFonts w:asciiTheme="minorHAnsi" w:hAnsiTheme="minorHAnsi"/>
          <w:sz w:val="22"/>
          <w:szCs w:val="22"/>
          <w:lang w:val="en-GB" w:eastAsia="en-US"/>
        </w:rPr>
      </w:pPr>
      <w:r w:rsidRPr="0058781C">
        <w:rPr>
          <w:rFonts w:asciiTheme="minorHAnsi" w:hAnsiTheme="minorHAnsi"/>
          <w:sz w:val="22"/>
          <w:szCs w:val="22"/>
          <w:lang w:val="en-GB" w:eastAsia="en-US"/>
        </w:rPr>
        <w:t xml:space="preserve">The global disinflation process lost momentum during the second quarter. After moderating through much of 2025 and early 2026, inflationary pressures re-emerged as energy prices increased sharply following disruptions to Middle Eastern energy supplies. Supply-chain bottlenecks and higher transportation costs also contributed to renewed price pressures across several economies. In major advanced economies—including the United States, the United Kingdom, and the euro area—headline inflation recorded intermittent increases during the quarter, largely reflecting higher energy and commodity prices. Although inflation rates generally remained well below the peaks observed in previous years, the improvement seen earlier in the year became less pronounced. </w:t>
      </w:r>
    </w:p>
    <w:p w14:paraId="4E69BEF0" w14:textId="77777777" w:rsidR="0058781C" w:rsidRPr="0058781C" w:rsidRDefault="0058781C" w:rsidP="0058781C">
      <w:pPr>
        <w:spacing w:after="160" w:line="259" w:lineRule="auto"/>
        <w:jc w:val="both"/>
        <w:rPr>
          <w:rFonts w:asciiTheme="minorHAnsi" w:hAnsiTheme="minorHAnsi"/>
          <w:sz w:val="22"/>
          <w:szCs w:val="22"/>
          <w:lang w:val="en-GB" w:eastAsia="en-US"/>
        </w:rPr>
      </w:pPr>
      <w:r w:rsidRPr="0058781C">
        <w:rPr>
          <w:rFonts w:asciiTheme="minorHAnsi" w:hAnsiTheme="minorHAnsi"/>
          <w:sz w:val="22"/>
          <w:szCs w:val="22"/>
          <w:lang w:val="en-GB" w:eastAsia="en-US"/>
        </w:rPr>
        <w:t xml:space="preserve">Despite these developments, underlying inflation trends in most advanced economies remained broadly consistent with medium-term disinflation objectives. Medium-term inflation expectations have generally remained anchored, reflecting continued confidence in central banks’ commitment to price stability. However, the </w:t>
      </w:r>
      <w:r w:rsidRPr="0058781C">
        <w:rPr>
          <w:rFonts w:asciiTheme="minorHAnsi" w:hAnsiTheme="minorHAnsi"/>
          <w:sz w:val="22"/>
          <w:szCs w:val="22"/>
          <w:lang w:val="en-GB" w:eastAsia="en-US"/>
        </w:rPr>
        <w:lastRenderedPageBreak/>
        <w:t xml:space="preserve">balance of risks has become less favourable, with inflation increasingly sensitive to geopolitical events, commodity price movements, and labour market tightness. Consequently, major central banks have maintained a cautious and data-dependent policy stance, with expectations of a slower pace of monetary easing than previously anticipated. </w:t>
      </w:r>
    </w:p>
    <w:p w14:paraId="6C0A6EAA" w14:textId="7AE0943F" w:rsidR="008618D2" w:rsidRPr="00226279" w:rsidRDefault="0058781C" w:rsidP="0058781C">
      <w:pPr>
        <w:spacing w:after="160" w:line="259" w:lineRule="auto"/>
        <w:jc w:val="both"/>
        <w:rPr>
          <w:rFonts w:asciiTheme="minorHAnsi" w:hAnsiTheme="minorHAnsi"/>
          <w:sz w:val="22"/>
          <w:szCs w:val="22"/>
          <w:highlight w:val="green"/>
          <w:lang w:val="en-GB" w:eastAsia="en-US"/>
        </w:rPr>
      </w:pPr>
      <w:r w:rsidRPr="0058781C">
        <w:rPr>
          <w:rFonts w:asciiTheme="minorHAnsi" w:hAnsiTheme="minorHAnsi"/>
          <w:sz w:val="22"/>
          <w:szCs w:val="22"/>
          <w:lang w:val="en-GB" w:eastAsia="en-US"/>
        </w:rPr>
        <w:t>Inflation dynamics across EMDEs remained uneven. Several Sub-Saharan African economies experienced further moderation in inflation during the first half of the year, supported by improved agricultural production, earlier monetary policy tightening, and relative exchange-rate stability. However, these gains became increasingly vulnerable following the sharp rise in global energy prices during the second quarter. In a number of commodity-importing economies, higher fuel and transportation costs have begun to reverse earlier disinflation trends, while inflation in several countries remains in double digits. The impact has been particularly pronounced in economies with limited fiscal space and high dependence on imported energy products.</w:t>
      </w:r>
    </w:p>
    <w:p w14:paraId="1857ACA3" w14:textId="14747CC4" w:rsidR="00C51E16" w:rsidRPr="00984583" w:rsidRDefault="00C51E16" w:rsidP="0016538D">
      <w:pPr>
        <w:ind w:left="851" w:hanging="851"/>
        <w:jc w:val="both"/>
        <w:rPr>
          <w:rFonts w:ascii="Calibri" w:hAnsi="Calibri"/>
          <w:i/>
          <w:iCs/>
          <w:color w:val="2F5496" w:themeColor="accent1" w:themeShade="BF"/>
          <w:sz w:val="18"/>
          <w:szCs w:val="16"/>
          <w:lang w:val="en-GB"/>
        </w:rPr>
      </w:pPr>
      <w:r w:rsidRPr="00984583">
        <w:rPr>
          <w:rFonts w:ascii="Calibri" w:hAnsi="Calibri"/>
          <w:i/>
          <w:iCs/>
          <w:color w:val="2F5496" w:themeColor="accent1" w:themeShade="BF"/>
          <w:sz w:val="18"/>
          <w:szCs w:val="16"/>
        </w:rPr>
        <w:t xml:space="preserve">Figure </w:t>
      </w:r>
      <w:r w:rsidRPr="00984583">
        <w:rPr>
          <w:rFonts w:ascii="Calibri" w:hAnsi="Calibri"/>
          <w:i/>
          <w:iCs/>
          <w:color w:val="2F5496" w:themeColor="accent1" w:themeShade="BF"/>
          <w:sz w:val="18"/>
          <w:szCs w:val="16"/>
          <w:lang w:val="en-GB"/>
        </w:rPr>
        <w:t>1</w:t>
      </w:r>
      <w:r w:rsidRPr="00984583">
        <w:rPr>
          <w:rFonts w:ascii="Calibri" w:hAnsi="Calibri"/>
          <w:i/>
          <w:iCs/>
          <w:color w:val="2F5496" w:themeColor="accent1" w:themeShade="BF"/>
          <w:sz w:val="18"/>
          <w:szCs w:val="16"/>
        </w:rPr>
        <w:t xml:space="preserve">: Year-on-Year </w:t>
      </w:r>
      <w:r w:rsidRPr="00984583">
        <w:rPr>
          <w:rFonts w:ascii="Calibri" w:hAnsi="Calibri"/>
          <w:i/>
          <w:iCs/>
          <w:color w:val="2F5496" w:themeColor="accent1" w:themeShade="BF"/>
          <w:sz w:val="18"/>
          <w:szCs w:val="16"/>
          <w:lang w:val="en-GB"/>
        </w:rPr>
        <w:t>Inflation in Selected Economies (</w:t>
      </w:r>
      <w:r w:rsidR="00C371F8" w:rsidRPr="00984583">
        <w:rPr>
          <w:rFonts w:ascii="Calibri" w:hAnsi="Calibri"/>
          <w:i/>
          <w:iCs/>
          <w:color w:val="2F5496" w:themeColor="accent1" w:themeShade="BF"/>
          <w:sz w:val="18"/>
          <w:szCs w:val="16"/>
          <w:lang w:val="en-GB"/>
        </w:rPr>
        <w:t>April</w:t>
      </w:r>
      <w:r w:rsidR="00A85C6B" w:rsidRPr="00984583">
        <w:rPr>
          <w:rFonts w:ascii="Calibri" w:hAnsi="Calibri"/>
          <w:i/>
          <w:iCs/>
          <w:color w:val="2F5496" w:themeColor="accent1" w:themeShade="BF"/>
          <w:sz w:val="18"/>
          <w:szCs w:val="16"/>
          <w:lang w:val="en-GB"/>
        </w:rPr>
        <w:t xml:space="preserve"> </w:t>
      </w:r>
      <w:r w:rsidRPr="00984583">
        <w:rPr>
          <w:rFonts w:ascii="Calibri" w:hAnsi="Calibri"/>
          <w:i/>
          <w:iCs/>
          <w:color w:val="2F5496" w:themeColor="accent1" w:themeShade="BF"/>
          <w:sz w:val="18"/>
          <w:szCs w:val="16"/>
          <w:lang w:val="en-GB"/>
        </w:rPr>
        <w:t>202</w:t>
      </w:r>
      <w:r w:rsidR="002343CC" w:rsidRPr="00984583">
        <w:rPr>
          <w:rFonts w:ascii="Calibri" w:hAnsi="Calibri"/>
          <w:i/>
          <w:iCs/>
          <w:color w:val="2F5496" w:themeColor="accent1" w:themeShade="BF"/>
          <w:sz w:val="18"/>
          <w:szCs w:val="16"/>
          <w:lang w:val="en-GB"/>
        </w:rPr>
        <w:t>6</w:t>
      </w:r>
      <w:r w:rsidRPr="00984583">
        <w:rPr>
          <w:rFonts w:ascii="Calibri" w:hAnsi="Calibri"/>
          <w:i/>
          <w:iCs/>
          <w:color w:val="2F5496" w:themeColor="accent1" w:themeShade="BF"/>
          <w:sz w:val="18"/>
          <w:szCs w:val="16"/>
          <w:lang w:val="en-GB"/>
        </w:rPr>
        <w:t xml:space="preserve"> – </w:t>
      </w:r>
      <w:r w:rsidR="00C371F8" w:rsidRPr="00984583">
        <w:rPr>
          <w:rFonts w:ascii="Calibri" w:hAnsi="Calibri"/>
          <w:i/>
          <w:iCs/>
          <w:color w:val="2F5496" w:themeColor="accent1" w:themeShade="BF"/>
          <w:sz w:val="18"/>
          <w:szCs w:val="16"/>
          <w:lang w:val="en-GB"/>
        </w:rPr>
        <w:t>May</w:t>
      </w:r>
      <w:r w:rsidRPr="00984583">
        <w:rPr>
          <w:rFonts w:ascii="Calibri" w:hAnsi="Calibri"/>
          <w:i/>
          <w:iCs/>
          <w:color w:val="2F5496" w:themeColor="accent1" w:themeShade="BF"/>
          <w:sz w:val="18"/>
          <w:szCs w:val="16"/>
          <w:lang w:val="en-GB"/>
        </w:rPr>
        <w:t xml:space="preserve"> </w:t>
      </w:r>
      <w:r w:rsidRPr="00984583">
        <w:rPr>
          <w:rFonts w:ascii="Calibri" w:hAnsi="Calibri"/>
          <w:i/>
          <w:iCs/>
          <w:color w:val="2F5496" w:themeColor="accent1" w:themeShade="BF"/>
          <w:sz w:val="18"/>
          <w:szCs w:val="16"/>
        </w:rPr>
        <w:t>202</w:t>
      </w:r>
      <w:r w:rsidR="00B40CE6" w:rsidRPr="00984583">
        <w:rPr>
          <w:rFonts w:ascii="Calibri" w:hAnsi="Calibri"/>
          <w:i/>
          <w:iCs/>
          <w:color w:val="2F5496" w:themeColor="accent1" w:themeShade="BF"/>
          <w:sz w:val="18"/>
          <w:szCs w:val="16"/>
          <w:lang w:val="en-GB"/>
        </w:rPr>
        <w:t>6</w:t>
      </w:r>
      <w:r w:rsidRPr="00984583">
        <w:rPr>
          <w:rFonts w:ascii="Calibri" w:hAnsi="Calibri"/>
          <w:i/>
          <w:iCs/>
          <w:color w:val="2F5496" w:themeColor="accent1" w:themeShade="BF"/>
          <w:sz w:val="18"/>
          <w:szCs w:val="16"/>
        </w:rPr>
        <w:t xml:space="preserve">) in </w:t>
      </w:r>
      <w:r w:rsidRPr="00984583">
        <w:rPr>
          <w:rFonts w:ascii="Calibri" w:hAnsi="Calibri"/>
          <w:i/>
          <w:iCs/>
          <w:color w:val="2F5496" w:themeColor="accent1" w:themeShade="BF"/>
          <w:sz w:val="18"/>
          <w:szCs w:val="16"/>
          <w:lang w:val="en-GB"/>
        </w:rPr>
        <w:t>percent</w:t>
      </w:r>
    </w:p>
    <w:p w14:paraId="5435BAAD" w14:textId="10F83586" w:rsidR="005B4906" w:rsidRPr="00226279" w:rsidRDefault="009C33F1" w:rsidP="0016538D">
      <w:pPr>
        <w:ind w:left="851" w:hanging="851"/>
        <w:jc w:val="both"/>
        <w:rPr>
          <w:rFonts w:ascii="Calibri" w:hAnsi="Calibri"/>
          <w:i/>
          <w:iCs/>
          <w:sz w:val="18"/>
          <w:szCs w:val="16"/>
          <w:highlight w:val="green"/>
          <w:lang w:val="en-GB"/>
        </w:rPr>
      </w:pPr>
      <w:r>
        <w:rPr>
          <w:noProof/>
        </w:rPr>
        <w:drawing>
          <wp:inline distT="0" distB="0" distL="0" distR="0" wp14:anchorId="1D2A1346" wp14:editId="2C041AC5">
            <wp:extent cx="2828290" cy="1696720"/>
            <wp:effectExtent l="0" t="0" r="10160" b="17780"/>
            <wp:docPr id="1" name="Chart 1">
              <a:extLst xmlns:a="http://schemas.openxmlformats.org/drawingml/2006/main">
                <a:ext uri="{FF2B5EF4-FFF2-40B4-BE49-F238E27FC236}">
                  <a16:creationId xmlns:a16="http://schemas.microsoft.com/office/drawing/2014/main" id="{F4437155-71A6-4FCD-8CF3-7056735D45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707AF06" w14:textId="77777777" w:rsidR="00C51E16" w:rsidRPr="00984583" w:rsidRDefault="00C51E16" w:rsidP="0016538D">
      <w:pPr>
        <w:jc w:val="both"/>
        <w:rPr>
          <w:color w:val="2F5496" w:themeColor="accent1" w:themeShade="BF"/>
          <w:lang w:val="en-GB"/>
        </w:rPr>
      </w:pPr>
      <w:r w:rsidRPr="00984583">
        <w:rPr>
          <w:rFonts w:ascii="Calibri" w:hAnsi="Calibri"/>
          <w:b/>
          <w:bCs/>
          <w:color w:val="2F5496" w:themeColor="accent1" w:themeShade="BF"/>
          <w:sz w:val="18"/>
          <w:szCs w:val="16"/>
        </w:rPr>
        <w:t xml:space="preserve">Source: </w:t>
      </w:r>
      <w:r w:rsidRPr="00984583">
        <w:rPr>
          <w:rFonts w:ascii="Calibri" w:hAnsi="Calibri"/>
          <w:color w:val="2F5496" w:themeColor="accent1" w:themeShade="BF"/>
          <w:sz w:val="18"/>
          <w:szCs w:val="16"/>
        </w:rPr>
        <w:t>Various National Statistics Offices</w:t>
      </w:r>
    </w:p>
    <w:p w14:paraId="6585FF61" w14:textId="77777777" w:rsidR="00BA5503" w:rsidRPr="00BA5503" w:rsidRDefault="00BA5503" w:rsidP="00BA5503">
      <w:pPr>
        <w:spacing w:after="160" w:line="259" w:lineRule="auto"/>
        <w:jc w:val="both"/>
        <w:rPr>
          <w:rFonts w:asciiTheme="minorHAnsi" w:hAnsiTheme="minorHAnsi"/>
          <w:sz w:val="22"/>
          <w:szCs w:val="22"/>
          <w:lang w:val="en-GB" w:eastAsia="en-US"/>
        </w:rPr>
      </w:pPr>
      <w:r w:rsidRPr="00BA5503">
        <w:rPr>
          <w:rFonts w:asciiTheme="minorHAnsi" w:hAnsiTheme="minorHAnsi"/>
          <w:sz w:val="22"/>
          <w:szCs w:val="22"/>
          <w:lang w:val="en-GB" w:eastAsia="en-US"/>
        </w:rPr>
        <w:t xml:space="preserve">Monetary policy across major economies became increasingly divergent during the second quarter of 2026 as central banks responded differently to the inflationary consequences of the Middle East conflict, elevated energy prices, and varying domestic growth conditions. While concerns regarding inflation persistence and energy-related shocks have strengthened the case for caution globally, policy responses have become less synchronized than previously anticipated. </w:t>
      </w:r>
    </w:p>
    <w:p w14:paraId="60A319C8" w14:textId="77777777" w:rsidR="00BA5503" w:rsidRPr="00BA5503" w:rsidRDefault="00BA5503" w:rsidP="00BA5503">
      <w:pPr>
        <w:spacing w:after="160" w:line="259" w:lineRule="auto"/>
        <w:jc w:val="both"/>
        <w:rPr>
          <w:rFonts w:asciiTheme="minorHAnsi" w:hAnsiTheme="minorHAnsi"/>
          <w:sz w:val="22"/>
          <w:szCs w:val="22"/>
          <w:lang w:val="en-GB" w:eastAsia="en-US"/>
        </w:rPr>
      </w:pPr>
      <w:r w:rsidRPr="00BA5503">
        <w:rPr>
          <w:rFonts w:asciiTheme="minorHAnsi" w:hAnsiTheme="minorHAnsi"/>
          <w:sz w:val="22"/>
          <w:szCs w:val="22"/>
          <w:lang w:val="en-GB" w:eastAsia="en-US"/>
        </w:rPr>
        <w:t xml:space="preserve">In the United States, the Federal Reserve maintained its target policy rate at 3.50–3.75 percent at its June meeting, citing solid economic growth, strong investment activity, and inflation that remains above the 2 percent objective. While labour market conditions remain relatively stable, policymakers emphasized that elevated uncertainty, particularly arising from the Middle East conflict and resulting energy price increases, warrants a cautious approach. Consequently, the Federal Reserve has signalled that any future policy adjustments will remain highly dependent on incoming data and the evolution of inflation risks. </w:t>
      </w:r>
    </w:p>
    <w:p w14:paraId="6C20FCEC" w14:textId="77777777" w:rsidR="00BA5503" w:rsidRPr="00BA5503" w:rsidRDefault="00BA5503" w:rsidP="00BA5503">
      <w:pPr>
        <w:spacing w:after="160" w:line="259" w:lineRule="auto"/>
        <w:jc w:val="both"/>
        <w:rPr>
          <w:rFonts w:asciiTheme="minorHAnsi" w:hAnsiTheme="minorHAnsi"/>
          <w:sz w:val="22"/>
          <w:szCs w:val="22"/>
          <w:lang w:val="en-GB" w:eastAsia="en-US"/>
        </w:rPr>
      </w:pPr>
      <w:r w:rsidRPr="00BA5503">
        <w:rPr>
          <w:rFonts w:asciiTheme="minorHAnsi" w:hAnsiTheme="minorHAnsi"/>
          <w:sz w:val="22"/>
          <w:szCs w:val="22"/>
          <w:lang w:val="en-GB" w:eastAsia="en-US"/>
        </w:rPr>
        <w:t>By contrast, the European Central Bank (ECB) adopted a more restrictive stance in June, raising its key policy rates by 25 basis points. The ECB cited renewed inflationary pressures stemming from higher energy prices and the risk of broader second-round effects on prices and wages. Although euro-area growth remains weak and is projected to slow further in 2026, policymakers judged that maintaining price stability required a firm policy response. The ECB also reiterated its commitment to a meeting-by-meeting, data-dependent approach amid exceptionally high uncertainty.  Elsewhere among advanced economies, policy decisions have reflected differing domestic conditions. The Bank of Japan continued its gradual normalization process, raising interest rates further as inflation became more firmly established around target levels. In contrast, the Bank of England maintained a cautious stance amid signs of slowing economic activity and lingering inflation pressures. These differing policy trajectories underscore the growing fragmentation of the global monetary policy landscape.</w:t>
      </w:r>
    </w:p>
    <w:p w14:paraId="4893DFD2" w14:textId="77777777" w:rsidR="00BA5503" w:rsidRPr="00BA5503" w:rsidRDefault="00BA5503" w:rsidP="00BA5503">
      <w:pPr>
        <w:spacing w:after="160" w:line="259" w:lineRule="auto"/>
        <w:jc w:val="both"/>
        <w:rPr>
          <w:rFonts w:asciiTheme="minorHAnsi" w:hAnsiTheme="minorHAnsi"/>
          <w:sz w:val="22"/>
          <w:szCs w:val="22"/>
          <w:lang w:val="en-GB" w:eastAsia="en-US"/>
        </w:rPr>
      </w:pPr>
      <w:r w:rsidRPr="00BA5503">
        <w:rPr>
          <w:rFonts w:asciiTheme="minorHAnsi" w:hAnsiTheme="minorHAnsi"/>
          <w:sz w:val="22"/>
          <w:szCs w:val="22"/>
          <w:lang w:val="en-GB" w:eastAsia="en-US"/>
        </w:rPr>
        <w:t xml:space="preserve">In emerging market and developing economies (EMDEs), central banks continue to face a more complex set of policy trade-offs. The combination of elevated global uncertainty, volatile capital flows, exchange-rate pressures, and higher imported inflation has limited the scope for monetary easing in many jurisdictions. Policymakers remain focused on preserving </w:t>
      </w:r>
      <w:r w:rsidRPr="00BA5503">
        <w:rPr>
          <w:rFonts w:asciiTheme="minorHAnsi" w:hAnsiTheme="minorHAnsi"/>
          <w:sz w:val="22"/>
          <w:szCs w:val="22"/>
          <w:lang w:val="en-GB" w:eastAsia="en-US"/>
        </w:rPr>
        <w:lastRenderedPageBreak/>
        <w:t xml:space="preserve">macroeconomic stability, anchoring inflation expectations, and safeguarding external balances, particularly in economies with constrained fiscal space and limited foreign exchange buffers. </w:t>
      </w:r>
    </w:p>
    <w:p w14:paraId="377CB529" w14:textId="6BFE5F51" w:rsidR="0004774F" w:rsidRDefault="00BA5503" w:rsidP="00BA5503">
      <w:pPr>
        <w:spacing w:after="160" w:line="259" w:lineRule="auto"/>
        <w:jc w:val="both"/>
        <w:rPr>
          <w:rFonts w:asciiTheme="minorHAnsi" w:hAnsiTheme="minorHAnsi"/>
          <w:sz w:val="22"/>
          <w:szCs w:val="22"/>
          <w:lang w:val="en-GB" w:eastAsia="en-US"/>
        </w:rPr>
      </w:pPr>
      <w:r w:rsidRPr="00BA5503">
        <w:rPr>
          <w:rFonts w:asciiTheme="minorHAnsi" w:hAnsiTheme="minorHAnsi"/>
          <w:sz w:val="22"/>
          <w:szCs w:val="22"/>
          <w:lang w:val="en-GB" w:eastAsia="en-US"/>
        </w:rPr>
        <w:t>The resurgence of energy-related inflation has reinforced concerns that progress toward price stability may be slower than previously expected. As a result, central banks are increasingly emphasizing flexibility, caution, and data dependence in their decision-making frameworks. Expectations of a rapid and synchronized global easing cycle have therefore given way to a more gradual and conditional policy normalization path, with interest rates likely to remain restrictive in many economies for an extended period.</w:t>
      </w:r>
    </w:p>
    <w:p w14:paraId="6E09BB17" w14:textId="46B7E9C2" w:rsidR="0004774F" w:rsidRDefault="003F1C5C" w:rsidP="00BC61BC">
      <w:pPr>
        <w:spacing w:after="160" w:line="259" w:lineRule="auto"/>
        <w:jc w:val="both"/>
        <w:rPr>
          <w:rFonts w:asciiTheme="minorHAnsi" w:hAnsiTheme="minorHAnsi"/>
          <w:sz w:val="22"/>
          <w:szCs w:val="22"/>
          <w:lang w:val="en-GB" w:eastAsia="en-US"/>
        </w:rPr>
      </w:pPr>
      <w:r w:rsidRPr="003F1C5C">
        <w:rPr>
          <w:rFonts w:asciiTheme="minorHAnsi" w:hAnsiTheme="minorHAnsi"/>
          <w:sz w:val="22"/>
          <w:szCs w:val="22"/>
          <w:lang w:val="en-GB" w:eastAsia="en-US"/>
        </w:rPr>
        <w:t>Overall, the global monetary policy environment at end-June 2026 is characterized by heightened uncertainty, divergent policy trajectories, and persistent inflation risks. While the recent easing of geopolitical tensions has reduced immediate threats to energy markets, central banks remain vigilant to the possibility of renewed shocks and continue to prioritize price stability alongside financial and macroeconomic resilience.</w:t>
      </w:r>
    </w:p>
    <w:p w14:paraId="47FFC8ED" w14:textId="77777777" w:rsidR="004D481B" w:rsidRPr="004D481B" w:rsidRDefault="004D481B" w:rsidP="004D481B">
      <w:pPr>
        <w:spacing w:after="160" w:line="259" w:lineRule="auto"/>
        <w:jc w:val="both"/>
        <w:rPr>
          <w:rFonts w:asciiTheme="minorHAnsi" w:hAnsiTheme="minorHAnsi"/>
          <w:sz w:val="22"/>
          <w:szCs w:val="22"/>
          <w:lang w:val="en-GB" w:eastAsia="en-US"/>
        </w:rPr>
      </w:pPr>
      <w:r w:rsidRPr="004D481B">
        <w:rPr>
          <w:rFonts w:asciiTheme="minorHAnsi" w:hAnsiTheme="minorHAnsi"/>
          <w:sz w:val="22"/>
          <w:szCs w:val="22"/>
          <w:lang w:val="en-GB" w:eastAsia="en-US"/>
        </w:rPr>
        <w:t xml:space="preserve">Global equity markets experienced a more volatile performance in June 2026 following the exceptional gains recorded during April and May. Although major indices reached new record highs early in the month, investor sentiment became increasingly cautious amid concerns over elevated valuations in artificial intelligence (AI)-related stocks, persistent inflationary pressures, and evolving monetary policy expectations. Nevertheless, market performance remained broadly positive on a quarterly basis, supported by strong corporate earnings, continued AI-related investment, and improving geopolitical prospects following the US-Iran ceasefire agreement. </w:t>
      </w:r>
    </w:p>
    <w:p w14:paraId="3ACC0051" w14:textId="77777777" w:rsidR="004D481B" w:rsidRPr="004D481B" w:rsidRDefault="004D481B" w:rsidP="004D481B">
      <w:pPr>
        <w:spacing w:after="160" w:line="259" w:lineRule="auto"/>
        <w:jc w:val="both"/>
        <w:rPr>
          <w:rFonts w:asciiTheme="minorHAnsi" w:hAnsiTheme="minorHAnsi"/>
          <w:sz w:val="22"/>
          <w:szCs w:val="22"/>
          <w:lang w:val="en-GB" w:eastAsia="en-US"/>
        </w:rPr>
      </w:pPr>
      <w:r w:rsidRPr="004D481B">
        <w:rPr>
          <w:rFonts w:asciiTheme="minorHAnsi" w:hAnsiTheme="minorHAnsi"/>
          <w:sz w:val="22"/>
          <w:szCs w:val="22"/>
          <w:lang w:val="en-GB" w:eastAsia="en-US"/>
        </w:rPr>
        <w:t xml:space="preserve">In the United States, the S&amp;P 500 briefly surpassed the 7,600 mark at the beginning of June before retreating during a mid-month technology-led correction. By month-end, the index closed at approximately 7,499, representing a modest decline of about 1 percent for June but still recording its strongest quarterly performance </w:t>
      </w:r>
      <w:r w:rsidRPr="004D481B">
        <w:rPr>
          <w:rFonts w:asciiTheme="minorHAnsi" w:hAnsiTheme="minorHAnsi"/>
          <w:sz w:val="22"/>
          <w:szCs w:val="22"/>
          <w:lang w:val="en-GB" w:eastAsia="en-US"/>
        </w:rPr>
        <w:t>since 2020. The Nasdaq Composite experienced a sharper pullback as investors reassessed AI-related valuations, ending the month at 26,214. In contrast, the Dow Jones Industrial Average continued to benefit from sector rotation into industrials, healthcare, and financial stocks, reaching a new record close above 52,300 by the end of June. Market breadth improved despite weakness in several mega-cap technology stocks, suggesting a broadening of investor participation beyond the AI sector.</w:t>
      </w:r>
    </w:p>
    <w:p w14:paraId="3F35038F" w14:textId="22973901" w:rsidR="004D481B" w:rsidRPr="004D481B" w:rsidRDefault="004D481B" w:rsidP="004D481B">
      <w:pPr>
        <w:spacing w:after="160" w:line="259" w:lineRule="auto"/>
        <w:jc w:val="both"/>
        <w:rPr>
          <w:rFonts w:asciiTheme="minorHAnsi" w:hAnsiTheme="minorHAnsi"/>
          <w:sz w:val="22"/>
          <w:szCs w:val="22"/>
          <w:lang w:val="en-GB" w:eastAsia="en-US"/>
        </w:rPr>
      </w:pPr>
      <w:r w:rsidRPr="004D481B">
        <w:rPr>
          <w:rFonts w:asciiTheme="minorHAnsi" w:hAnsiTheme="minorHAnsi"/>
          <w:sz w:val="22"/>
          <w:szCs w:val="22"/>
          <w:lang w:val="en-GB" w:eastAsia="en-US"/>
        </w:rPr>
        <w:t xml:space="preserve">Market dynamics during the month reflected a transition from the highly concentrated AI-driven rally that characterized earlier periods. Concerns about the sustainability of large-scale AI infrastructure spending, reports of delays to major technology listings, and rising financing costs prompted a correction in semiconductor and technology stocks. However, capital largely rotated into defensive and cyclical sectors rather than exiting equity markets altogether. As </w:t>
      </w:r>
      <w:proofErr w:type="gramStart"/>
      <w:r w:rsidR="001406B4">
        <w:rPr>
          <w:rFonts w:asciiTheme="minorHAnsi" w:hAnsiTheme="minorHAnsi"/>
          <w:sz w:val="22"/>
          <w:szCs w:val="22"/>
          <w:lang w:val="en-GB" w:eastAsia="en-US"/>
        </w:rPr>
        <w:t xml:space="preserve">a </w:t>
      </w:r>
      <w:r w:rsidRPr="004D481B">
        <w:rPr>
          <w:rFonts w:asciiTheme="minorHAnsi" w:hAnsiTheme="minorHAnsi"/>
          <w:sz w:val="22"/>
          <w:szCs w:val="22"/>
          <w:lang w:val="en-GB" w:eastAsia="en-US"/>
        </w:rPr>
        <w:t>result, healthcare, biotechnology, industrials, and financials</w:t>
      </w:r>
      <w:proofErr w:type="gramEnd"/>
      <w:r w:rsidRPr="004D481B">
        <w:rPr>
          <w:rFonts w:asciiTheme="minorHAnsi" w:hAnsiTheme="minorHAnsi"/>
          <w:sz w:val="22"/>
          <w:szCs w:val="22"/>
          <w:lang w:val="en-GB" w:eastAsia="en-US"/>
        </w:rPr>
        <w:t xml:space="preserve"> emerged as notable beneficiaries of changing investor preferences. </w:t>
      </w:r>
    </w:p>
    <w:p w14:paraId="6FD66082" w14:textId="77777777" w:rsidR="004D481B" w:rsidRPr="004D481B" w:rsidRDefault="004D481B" w:rsidP="004D481B">
      <w:pPr>
        <w:spacing w:after="160" w:line="259" w:lineRule="auto"/>
        <w:jc w:val="both"/>
        <w:rPr>
          <w:rFonts w:asciiTheme="minorHAnsi" w:hAnsiTheme="minorHAnsi"/>
          <w:sz w:val="22"/>
          <w:szCs w:val="22"/>
          <w:lang w:val="en-GB" w:eastAsia="en-US"/>
        </w:rPr>
      </w:pPr>
      <w:r w:rsidRPr="004D481B">
        <w:rPr>
          <w:rFonts w:asciiTheme="minorHAnsi" w:hAnsiTheme="minorHAnsi"/>
          <w:sz w:val="22"/>
          <w:szCs w:val="22"/>
          <w:lang w:val="en-GB" w:eastAsia="en-US"/>
        </w:rPr>
        <w:t xml:space="preserve">Financial markets also remained sensitive to monetary policy developments. The Federal Reserve maintained its policy rate at 3.50–3.75 percent in June, but stronger-than-expected inflation data and a more hawkish policy outlook led investors to scale back expectations of near-term rate cuts. Treasury yields remained elevated, reflecting concerns that inflation could prove more persistent than previously anticipated. Consequently, market participants increasingly shifted from pricing in policy easing toward the possibility that interest rates could remain restrictive for longer. </w:t>
      </w:r>
    </w:p>
    <w:p w14:paraId="0E415A15" w14:textId="77777777" w:rsidR="004D481B" w:rsidRPr="004D481B" w:rsidRDefault="004D481B" w:rsidP="004D481B">
      <w:pPr>
        <w:spacing w:after="160" w:line="259" w:lineRule="auto"/>
        <w:jc w:val="both"/>
        <w:rPr>
          <w:rFonts w:asciiTheme="minorHAnsi" w:hAnsiTheme="minorHAnsi"/>
          <w:sz w:val="22"/>
          <w:szCs w:val="22"/>
          <w:lang w:val="en-GB" w:eastAsia="en-US"/>
        </w:rPr>
      </w:pPr>
      <w:r w:rsidRPr="004D481B">
        <w:rPr>
          <w:rFonts w:asciiTheme="minorHAnsi" w:hAnsiTheme="minorHAnsi"/>
          <w:sz w:val="22"/>
          <w:szCs w:val="22"/>
          <w:lang w:val="en-GB" w:eastAsia="en-US"/>
        </w:rPr>
        <w:t xml:space="preserve">Geopolitical developments continued to shape global market sentiment throughout June. The most significant development was the signing of the US-Iran ceasefire arrangement and the reopening of the Strait of Hormuz to commercial shipping. This reduced immediate concerns regarding energy supply disruptions and contributed to an improvement in global risk sentiment toward the end of the month. However, </w:t>
      </w:r>
      <w:r w:rsidRPr="004D481B">
        <w:rPr>
          <w:rFonts w:asciiTheme="minorHAnsi" w:hAnsiTheme="minorHAnsi"/>
          <w:sz w:val="22"/>
          <w:szCs w:val="22"/>
          <w:lang w:val="en-GB" w:eastAsia="en-US"/>
        </w:rPr>
        <w:lastRenderedPageBreak/>
        <w:t xml:space="preserve">broader geopolitical risks—including continuing tensions in Eastern Europe and ongoing global trade fragmentation—continued to generate uncertainty for investors and businesses alike. </w:t>
      </w:r>
    </w:p>
    <w:p w14:paraId="7C299F08" w14:textId="77777777" w:rsidR="004D481B" w:rsidRPr="004D481B" w:rsidRDefault="004D481B" w:rsidP="004D481B">
      <w:pPr>
        <w:spacing w:after="160" w:line="259" w:lineRule="auto"/>
        <w:jc w:val="both"/>
        <w:rPr>
          <w:rFonts w:asciiTheme="minorHAnsi" w:hAnsiTheme="minorHAnsi"/>
          <w:sz w:val="22"/>
          <w:szCs w:val="22"/>
          <w:lang w:val="en-GB" w:eastAsia="en-US"/>
        </w:rPr>
      </w:pPr>
      <w:r w:rsidRPr="004D481B">
        <w:rPr>
          <w:rFonts w:asciiTheme="minorHAnsi" w:hAnsiTheme="minorHAnsi"/>
          <w:sz w:val="22"/>
          <w:szCs w:val="22"/>
          <w:lang w:val="en-GB" w:eastAsia="en-US"/>
        </w:rPr>
        <w:t xml:space="preserve">Commodity markets reacted strongly to the easing of tensions in the Middle East. Crude oil prices declined substantially during the second half of June as concerns over disruptions to Gulf energy supplies diminished. Brent crude, which had traded at elevated levels earlier in the conflict, retreated to around US$73 per barrel by month-end, while WTI crude fell to near US$71 per barrel. The sharp decline in energy prices helped alleviate some inflation concerns globally and provided relief to energy-importing economies. However, weaker oil prices also raised concerns regarding revenue prospects among major hydrocarbon-exporting countries. </w:t>
      </w:r>
    </w:p>
    <w:p w14:paraId="63C6FA14" w14:textId="77777777" w:rsidR="004D481B" w:rsidRPr="004D481B" w:rsidRDefault="004D481B" w:rsidP="004D481B">
      <w:pPr>
        <w:spacing w:after="160" w:line="259" w:lineRule="auto"/>
        <w:jc w:val="both"/>
        <w:rPr>
          <w:rFonts w:asciiTheme="minorHAnsi" w:hAnsiTheme="minorHAnsi"/>
          <w:sz w:val="22"/>
          <w:szCs w:val="22"/>
          <w:lang w:val="en-GB" w:eastAsia="en-US"/>
        </w:rPr>
      </w:pPr>
      <w:r w:rsidRPr="004D481B">
        <w:rPr>
          <w:rFonts w:asciiTheme="minorHAnsi" w:hAnsiTheme="minorHAnsi"/>
          <w:sz w:val="22"/>
          <w:szCs w:val="22"/>
          <w:lang w:val="en-GB" w:eastAsia="en-US"/>
        </w:rPr>
        <w:t xml:space="preserve">In precious metals markets, gold prices exhibited mixed performance during June. While lower oil prices and easing geopolitical concerns reduced safe-haven demand, lingering inflation risks and policy uncertainty provided underlying support. Gold remained elevated by historical standards, supported by continued central bank purchases and investor demand for portfolio diversification amid heightened macroeconomic uncertainty. </w:t>
      </w:r>
    </w:p>
    <w:p w14:paraId="6374BAFD" w14:textId="77777777" w:rsidR="004D481B" w:rsidRPr="004D481B" w:rsidRDefault="004D481B" w:rsidP="004D481B">
      <w:pPr>
        <w:spacing w:after="160" w:line="259" w:lineRule="auto"/>
        <w:jc w:val="both"/>
        <w:rPr>
          <w:rFonts w:asciiTheme="minorHAnsi" w:hAnsiTheme="minorHAnsi"/>
          <w:sz w:val="22"/>
          <w:szCs w:val="22"/>
          <w:lang w:val="en-GB" w:eastAsia="en-US"/>
        </w:rPr>
      </w:pPr>
      <w:r w:rsidRPr="004D481B">
        <w:rPr>
          <w:rFonts w:asciiTheme="minorHAnsi" w:hAnsiTheme="minorHAnsi"/>
          <w:sz w:val="22"/>
          <w:szCs w:val="22"/>
          <w:lang w:val="en-GB" w:eastAsia="en-US"/>
        </w:rPr>
        <w:t xml:space="preserve">Cryptocurrency markets experienced heightened volatility during June as shifting expectations regarding interest rates and fluctuations in broader risk sentiment influenced investor behaviour. Bitcoin and other major digital assets benefited initially from strong institutional interest and improving risk appetite. However, volatility increased later in the month as investors responded to changing monetary policy expectations, technology sector weakness, and broader market uncertainty. Despite periodic selloffs, institutional participation in digital assets remained significant, supported by continued regulatory developments and sustained venture capital investment across the digital asset ecosystem. </w:t>
      </w:r>
    </w:p>
    <w:p w14:paraId="41EE30AF" w14:textId="00AB3AE7" w:rsidR="006572C3" w:rsidRPr="0089406D" w:rsidRDefault="004D481B" w:rsidP="00380B88">
      <w:pPr>
        <w:spacing w:after="160" w:line="259" w:lineRule="auto"/>
        <w:jc w:val="both"/>
        <w:rPr>
          <w:rFonts w:asciiTheme="minorHAnsi" w:hAnsiTheme="minorHAnsi"/>
          <w:sz w:val="22"/>
          <w:szCs w:val="22"/>
          <w:lang w:val="en-GB" w:eastAsia="en-US"/>
        </w:rPr>
      </w:pPr>
      <w:r w:rsidRPr="004D481B">
        <w:rPr>
          <w:rFonts w:asciiTheme="minorHAnsi" w:hAnsiTheme="minorHAnsi"/>
          <w:sz w:val="22"/>
          <w:szCs w:val="22"/>
          <w:lang w:val="en-GB" w:eastAsia="en-US"/>
        </w:rPr>
        <w:t xml:space="preserve">Overall, developments during June 2026 highlighted the increasingly interconnected </w:t>
      </w:r>
      <w:r w:rsidRPr="004D481B">
        <w:rPr>
          <w:rFonts w:asciiTheme="minorHAnsi" w:hAnsiTheme="minorHAnsi"/>
          <w:sz w:val="22"/>
          <w:szCs w:val="22"/>
          <w:lang w:val="en-GB" w:eastAsia="en-US"/>
        </w:rPr>
        <w:t>nature of global financial markets, monetary policy, geopolitics, and commodity prices. While the easing of Middle East tensions improved market sentiment and reduced energy-related risks, investors remained cautious amid persistent inflation pressures, elevated asset valuations, and uncertainty surrounding the future path of interest rates. As a result, financial markets entered the third quarter with improved confidence but continued sensitivity to economic, policy, and geopolitical developments</w:t>
      </w:r>
      <w:r w:rsidR="0089406D">
        <w:rPr>
          <w:rFonts w:asciiTheme="minorHAnsi" w:hAnsiTheme="minorHAnsi"/>
          <w:sz w:val="22"/>
          <w:szCs w:val="22"/>
          <w:lang w:val="en-GB" w:eastAsia="en-US"/>
        </w:rPr>
        <w:t>.</w:t>
      </w:r>
    </w:p>
    <w:p w14:paraId="31F78F40" w14:textId="77777777" w:rsidR="001F6FF4" w:rsidRPr="00984583" w:rsidRDefault="001F6FF4" w:rsidP="0016538D">
      <w:pPr>
        <w:pStyle w:val="Heading1"/>
        <w:rPr>
          <w:b/>
          <w:bCs/>
          <w:color w:val="002060"/>
          <w:lang w:val="en-GB"/>
        </w:rPr>
      </w:pPr>
      <w:r w:rsidRPr="00984583">
        <w:rPr>
          <w:b/>
          <w:bCs/>
          <w:color w:val="002060"/>
          <w:lang w:val="en-GB"/>
        </w:rPr>
        <w:t>Global Economic Outlook</w:t>
      </w:r>
    </w:p>
    <w:p w14:paraId="611C06DB" w14:textId="77777777" w:rsidR="00F83CE0" w:rsidRPr="00F83CE0" w:rsidRDefault="00F83CE0" w:rsidP="00F83CE0">
      <w:pPr>
        <w:spacing w:after="160" w:line="259" w:lineRule="auto"/>
        <w:jc w:val="both"/>
        <w:rPr>
          <w:rFonts w:asciiTheme="minorHAnsi" w:hAnsiTheme="minorHAnsi"/>
          <w:sz w:val="22"/>
          <w:szCs w:val="22"/>
          <w:lang w:val="en-GB" w:eastAsia="en-US"/>
        </w:rPr>
      </w:pPr>
      <w:r w:rsidRPr="00F83CE0">
        <w:rPr>
          <w:rFonts w:asciiTheme="minorHAnsi" w:hAnsiTheme="minorHAnsi"/>
          <w:sz w:val="22"/>
          <w:szCs w:val="22"/>
          <w:lang w:val="en-GB" w:eastAsia="en-US"/>
        </w:rPr>
        <w:t xml:space="preserve">Looking ahead to the second half of 2026, the global economy is expected to remain resilient but increasingly vulnerable to geopolitical, financial, and inflation-related risks. The significant easing of tensions between the United States and Iran through the June ceasefire agreement has reduced the immediate threat to global energy supplies and maritime trade routes. Nonetheless, the international economic environment remains highly uncertain, as lingering geopolitical tensions, elevated commodity prices, trade fragmentation, and tighter financial conditions continue to weigh on the outlook. </w:t>
      </w:r>
    </w:p>
    <w:p w14:paraId="0B3FFC8B" w14:textId="77777777" w:rsidR="00F83CE0" w:rsidRPr="00F83CE0" w:rsidRDefault="00F83CE0" w:rsidP="00F83CE0">
      <w:pPr>
        <w:spacing w:after="160" w:line="259" w:lineRule="auto"/>
        <w:jc w:val="both"/>
        <w:rPr>
          <w:rFonts w:asciiTheme="minorHAnsi" w:hAnsiTheme="minorHAnsi"/>
          <w:sz w:val="22"/>
          <w:szCs w:val="22"/>
          <w:lang w:val="en-GB" w:eastAsia="en-US"/>
        </w:rPr>
      </w:pPr>
      <w:r w:rsidRPr="00F83CE0">
        <w:rPr>
          <w:rFonts w:asciiTheme="minorHAnsi" w:hAnsiTheme="minorHAnsi"/>
          <w:sz w:val="22"/>
          <w:szCs w:val="22"/>
          <w:lang w:val="en-GB" w:eastAsia="en-US"/>
        </w:rPr>
        <w:t xml:space="preserve">Global growth is projected to moderate but remain positive over the remainder of the year. While the world economy has thus far demonstrated considerable resilience in the face of energy market disruptions and geopolitical shocks, downside risks remain elevated. According to recent assessments by international institutions, growth prospects continue to be constrained by high energy costs, weaker external demand, and tighter financing conditions. Although the ceasefire has helped improve sentiment and reduce the likelihood of a severe global downturn, any renewed disruption to energy flows or escalation of geopolitical tensions could significantly weaken economic activity and reignite inflationary pressures. </w:t>
      </w:r>
    </w:p>
    <w:p w14:paraId="30C81313" w14:textId="77777777" w:rsidR="00F83CE0" w:rsidRPr="00F83CE0" w:rsidRDefault="00F83CE0" w:rsidP="00F83CE0">
      <w:pPr>
        <w:spacing w:after="160" w:line="259" w:lineRule="auto"/>
        <w:jc w:val="both"/>
        <w:rPr>
          <w:rFonts w:asciiTheme="minorHAnsi" w:hAnsiTheme="minorHAnsi"/>
          <w:sz w:val="22"/>
          <w:szCs w:val="22"/>
          <w:lang w:val="en-GB" w:eastAsia="en-US"/>
        </w:rPr>
      </w:pPr>
      <w:r w:rsidRPr="00F83CE0">
        <w:rPr>
          <w:rFonts w:asciiTheme="minorHAnsi" w:hAnsiTheme="minorHAnsi"/>
          <w:sz w:val="22"/>
          <w:szCs w:val="22"/>
          <w:lang w:val="en-GB" w:eastAsia="en-US"/>
        </w:rPr>
        <w:t xml:space="preserve">Among advanced economies, the United States is expected to remain the principal contributor to global growth, supported by resilient consumer spending, continued productivity gains, and </w:t>
      </w:r>
      <w:r w:rsidRPr="00F83CE0">
        <w:rPr>
          <w:rFonts w:asciiTheme="minorHAnsi" w:hAnsiTheme="minorHAnsi"/>
          <w:sz w:val="22"/>
          <w:szCs w:val="22"/>
          <w:lang w:val="en-GB" w:eastAsia="en-US"/>
        </w:rPr>
        <w:lastRenderedPageBreak/>
        <w:t xml:space="preserve">ongoing investment in artificial intelligence and digital infrastructure. However, elevated borrowing costs and a more cautious monetary policy stance are likely to moderate the pace of expansion. The euro area is expected to record only modest growth, reflecting subdued industrial activity, weak business confidence, and the lingering effects of higher energy prices. While fiscal support measures and easing supply constraints should provide some support, the region's recovery is expected to remain gradual and uneven. </w:t>
      </w:r>
    </w:p>
    <w:p w14:paraId="06908AAF" w14:textId="77777777" w:rsidR="00F83CE0" w:rsidRPr="00F83CE0" w:rsidRDefault="00F83CE0" w:rsidP="00F83CE0">
      <w:pPr>
        <w:spacing w:after="160" w:line="259" w:lineRule="auto"/>
        <w:jc w:val="both"/>
        <w:rPr>
          <w:rFonts w:asciiTheme="minorHAnsi" w:hAnsiTheme="minorHAnsi"/>
          <w:sz w:val="22"/>
          <w:szCs w:val="22"/>
          <w:lang w:val="en-GB" w:eastAsia="en-US"/>
        </w:rPr>
      </w:pPr>
      <w:r w:rsidRPr="00F83CE0">
        <w:rPr>
          <w:rFonts w:asciiTheme="minorHAnsi" w:hAnsiTheme="minorHAnsi"/>
          <w:sz w:val="22"/>
          <w:szCs w:val="22"/>
          <w:lang w:val="en-GB" w:eastAsia="en-US"/>
        </w:rPr>
        <w:t xml:space="preserve">Emerging market and developing economies (EMDEs) are expected to continue driving global growth, particularly in Asia. India and several Southeast Asian economies remain well positioned to benefit from strong domestic demand, infrastructure investment, and expanding services sectors. However, growth prospects across EMDEs have become more vulnerable to external shocks, including commodity price volatility, exchange-rate pressures, and tighter global financial conditions. In China, policy support measures are expected to sustain the ongoing recovery, though challenges in the property sector and uncertainty surrounding global demand are likely to temper growth momentum. </w:t>
      </w:r>
    </w:p>
    <w:p w14:paraId="722519B0" w14:textId="77777777" w:rsidR="00F83CE0" w:rsidRPr="00F83CE0" w:rsidRDefault="00F83CE0" w:rsidP="00F83CE0">
      <w:pPr>
        <w:spacing w:after="160" w:line="259" w:lineRule="auto"/>
        <w:jc w:val="both"/>
        <w:rPr>
          <w:rFonts w:asciiTheme="minorHAnsi" w:hAnsiTheme="minorHAnsi"/>
          <w:sz w:val="22"/>
          <w:szCs w:val="22"/>
          <w:lang w:val="en-GB" w:eastAsia="en-US"/>
        </w:rPr>
      </w:pPr>
      <w:r w:rsidRPr="00F83CE0">
        <w:rPr>
          <w:rFonts w:asciiTheme="minorHAnsi" w:hAnsiTheme="minorHAnsi"/>
          <w:sz w:val="22"/>
          <w:szCs w:val="22"/>
          <w:lang w:val="en-GB" w:eastAsia="en-US"/>
        </w:rPr>
        <w:t xml:space="preserve">Global trade is expected to expand more slowly than previously anticipated. Although some trade-related tensions have eased, geopolitical fragmentation continues to reshape international commerce and investment patterns. Businesses are increasingly prioritizing supply-chain security, diversification, and geopolitical alignment, contributing to higher transaction costs and reduced efficiency. The ongoing shift toward regionalized production networks may improve resilience over time but is likely to weigh on productivity growth and trade expansion in the near term. </w:t>
      </w:r>
    </w:p>
    <w:p w14:paraId="14576509" w14:textId="77777777" w:rsidR="00F83CE0" w:rsidRPr="00F83CE0" w:rsidRDefault="00F83CE0" w:rsidP="00F83CE0">
      <w:pPr>
        <w:spacing w:after="160" w:line="259" w:lineRule="auto"/>
        <w:jc w:val="both"/>
        <w:rPr>
          <w:rFonts w:asciiTheme="minorHAnsi" w:hAnsiTheme="minorHAnsi"/>
          <w:sz w:val="22"/>
          <w:szCs w:val="22"/>
          <w:lang w:val="en-GB" w:eastAsia="en-US"/>
        </w:rPr>
      </w:pPr>
      <w:r w:rsidRPr="00F83CE0">
        <w:rPr>
          <w:rFonts w:asciiTheme="minorHAnsi" w:hAnsiTheme="minorHAnsi"/>
          <w:sz w:val="22"/>
          <w:szCs w:val="22"/>
          <w:lang w:val="en-GB" w:eastAsia="en-US"/>
        </w:rPr>
        <w:t xml:space="preserve">Inflation is expected to remain a key policy challenge through the remainder of the year. While most advanced economies have made substantial progress in reducing inflation from previous peaks, recent energy-related shocks </w:t>
      </w:r>
      <w:r w:rsidRPr="00F83CE0">
        <w:rPr>
          <w:rFonts w:asciiTheme="minorHAnsi" w:hAnsiTheme="minorHAnsi"/>
          <w:sz w:val="22"/>
          <w:szCs w:val="22"/>
          <w:lang w:val="en-GB" w:eastAsia="en-US"/>
        </w:rPr>
        <w:t>have slowed the disinflation process. Inflation expectations generally remain anchored, but the risk of renewed price pressures from commodity markets, transportation costs, and labour market tightness remains significant. Consequently, central banks are expected to maintain a cautious and highly data-dependent approach to policy, with the pace of monetary easing likely to be slower and more conditional than previously envisaged.</w:t>
      </w:r>
    </w:p>
    <w:p w14:paraId="77CBB38D" w14:textId="77777777" w:rsidR="00F83CE0" w:rsidRPr="00F83CE0" w:rsidRDefault="00F83CE0" w:rsidP="00F83CE0">
      <w:pPr>
        <w:spacing w:after="160" w:line="259" w:lineRule="auto"/>
        <w:jc w:val="both"/>
        <w:rPr>
          <w:rFonts w:asciiTheme="minorHAnsi" w:hAnsiTheme="minorHAnsi"/>
          <w:sz w:val="22"/>
          <w:szCs w:val="22"/>
          <w:lang w:val="en-GB" w:eastAsia="en-US"/>
        </w:rPr>
      </w:pPr>
      <w:r w:rsidRPr="00F83CE0">
        <w:rPr>
          <w:rFonts w:asciiTheme="minorHAnsi" w:hAnsiTheme="minorHAnsi"/>
          <w:sz w:val="22"/>
          <w:szCs w:val="22"/>
          <w:lang w:val="en-GB" w:eastAsia="en-US"/>
        </w:rPr>
        <w:t xml:space="preserve">Commodity markets are likely to remain volatile despite the recent decline in oil prices following the US-Iran ceasefire. While easing geopolitical tensions have reduced immediate supply concerns, energy prices remain vulnerable to renewed disruptions and uncertainty surrounding future production levels. Commodity-importing economies could benefit from lower energy costs, whereas exporting countries may face fiscal pressures from weaker hydrocarbon revenues. These developments will continue to influence inflation trends, exchange rates, and fiscal policy outcomes across both advanced and developing economies. </w:t>
      </w:r>
    </w:p>
    <w:p w14:paraId="5CB42BA5" w14:textId="77777777" w:rsidR="00F83CE0" w:rsidRPr="00F83CE0" w:rsidRDefault="00F83CE0" w:rsidP="00F83CE0">
      <w:pPr>
        <w:spacing w:after="160" w:line="259" w:lineRule="auto"/>
        <w:jc w:val="both"/>
        <w:rPr>
          <w:rFonts w:asciiTheme="minorHAnsi" w:hAnsiTheme="minorHAnsi"/>
          <w:sz w:val="22"/>
          <w:szCs w:val="22"/>
          <w:lang w:val="en-GB" w:eastAsia="en-US"/>
        </w:rPr>
      </w:pPr>
      <w:r w:rsidRPr="00F83CE0">
        <w:rPr>
          <w:rFonts w:asciiTheme="minorHAnsi" w:hAnsiTheme="minorHAnsi"/>
          <w:sz w:val="22"/>
          <w:szCs w:val="22"/>
          <w:lang w:val="en-GB" w:eastAsia="en-US"/>
        </w:rPr>
        <w:t xml:space="preserve">The global monetary policy environment is also expected to remain characterized by divergence. The Federal Reserve has maintained a restrictive stance amid persistent inflation concerns, while the European Central Bank and the Bank of Japan have recently tightened policy in response to rising price pressures. Across many EMDEs, central banks are expected to continue prioritizing macroeconomic stability, inflation control, and exchange-rate management, limiting the scope for aggressive monetary easing. As a result, global financial conditions are likely to remain relatively tight, particularly for economies with significant external financing needs. </w:t>
      </w:r>
    </w:p>
    <w:p w14:paraId="4CDAD61B" w14:textId="714D4C7E" w:rsidR="00517025" w:rsidRPr="00226279" w:rsidRDefault="00F83CE0" w:rsidP="00F83CE0">
      <w:pPr>
        <w:spacing w:after="160" w:line="259" w:lineRule="auto"/>
        <w:jc w:val="both"/>
        <w:rPr>
          <w:rFonts w:asciiTheme="minorHAnsi" w:hAnsiTheme="minorHAnsi"/>
          <w:sz w:val="22"/>
          <w:szCs w:val="22"/>
          <w:highlight w:val="green"/>
          <w:lang w:val="en-GB" w:eastAsia="en-US"/>
        </w:rPr>
      </w:pPr>
      <w:r w:rsidRPr="00F83CE0">
        <w:rPr>
          <w:rFonts w:asciiTheme="minorHAnsi" w:hAnsiTheme="minorHAnsi"/>
          <w:sz w:val="22"/>
          <w:szCs w:val="22"/>
          <w:lang w:val="en-GB" w:eastAsia="en-US"/>
        </w:rPr>
        <w:t xml:space="preserve">Overall, the global outlook for the remainder of 2026 can best be described as one of cautious resilience amid elevated uncertainty. Economic growth is expected to continue, but at a moderating pace and with increasingly pronounced downside risks. The recent de-escalation of Middle East tensions has improved near-term prospects and reduced immediate </w:t>
      </w:r>
      <w:r w:rsidRPr="00F83CE0">
        <w:rPr>
          <w:rFonts w:asciiTheme="minorHAnsi" w:hAnsiTheme="minorHAnsi"/>
          <w:sz w:val="22"/>
          <w:szCs w:val="22"/>
          <w:lang w:val="en-GB" w:eastAsia="en-US"/>
        </w:rPr>
        <w:lastRenderedPageBreak/>
        <w:t>energy supply risks; however, vulnerabilities related to geopolitics, inflation, trade fragmentation, and financial conditions remain substantial. In this environment, prudent macroeconomic management, strengthened policy credibility, and enhanced international cooperation will be critical to preserving stability and supporting sustainable growth.</w:t>
      </w:r>
    </w:p>
    <w:p w14:paraId="7590F235" w14:textId="4461B515" w:rsidR="00D55E8A" w:rsidRPr="00984583" w:rsidRDefault="00D55E8A" w:rsidP="0016538D">
      <w:pPr>
        <w:pStyle w:val="Heading1"/>
        <w:rPr>
          <w:b/>
          <w:bCs/>
          <w:lang w:val="en-GB"/>
        </w:rPr>
      </w:pPr>
      <w:r w:rsidRPr="00984583">
        <w:rPr>
          <w:b/>
          <w:bCs/>
          <w:lang w:val="en-GB"/>
        </w:rPr>
        <w:t xml:space="preserve">Nigeria’s Output Growth </w:t>
      </w:r>
    </w:p>
    <w:p w14:paraId="65E57AC1" w14:textId="77777777" w:rsidR="00F1413E" w:rsidRDefault="00F1413E" w:rsidP="00F1413E">
      <w:pPr>
        <w:jc w:val="both"/>
        <w:rPr>
          <w:rFonts w:ascii="Calibri" w:hAnsi="Calibri" w:cs="Calibri"/>
          <w:sz w:val="22"/>
          <w:szCs w:val="22"/>
          <w:lang w:val="en-GB"/>
        </w:rPr>
      </w:pPr>
      <w:r>
        <w:rPr>
          <w:rFonts w:ascii="Calibri" w:hAnsi="Calibri" w:cs="Calibri"/>
          <w:sz w:val="22"/>
          <w:szCs w:val="22"/>
          <w:lang w:val="en-GB"/>
        </w:rPr>
        <w:t>Nigeria’s output growth remained resilient through the second quarter of 2026, supported by sustained expansion in private sector activity and improving business confidence despite persistent cost pressures and global uncertainties. Although the pace of expansion moderated slightly in June relative to the preceding month, the underlying drivers of growth remained broadly favourable, reflecting continued strength in domestic demand and business activity rather than any fundamental weakening of economic conditions.</w:t>
      </w:r>
    </w:p>
    <w:p w14:paraId="2FA3328E" w14:textId="77777777" w:rsidR="00F1413E" w:rsidRDefault="00F1413E" w:rsidP="00F1413E">
      <w:pPr>
        <w:jc w:val="both"/>
        <w:rPr>
          <w:rFonts w:ascii="Calibri" w:hAnsi="Calibri" w:cs="Calibri"/>
          <w:sz w:val="22"/>
          <w:szCs w:val="22"/>
          <w:lang w:val="en-GB"/>
        </w:rPr>
      </w:pPr>
    </w:p>
    <w:p w14:paraId="22D72F67" w14:textId="11DB3363" w:rsidR="00F1413E" w:rsidRDefault="00F1413E" w:rsidP="00F1413E">
      <w:pPr>
        <w:jc w:val="both"/>
        <w:rPr>
          <w:rFonts w:ascii="Calibri" w:hAnsi="Calibri" w:cs="Calibri"/>
          <w:sz w:val="22"/>
          <w:szCs w:val="22"/>
          <w:lang w:val="en-GB"/>
        </w:rPr>
      </w:pPr>
      <w:r>
        <w:rPr>
          <w:rFonts w:ascii="Calibri" w:hAnsi="Calibri" w:cs="Calibri"/>
          <w:sz w:val="22"/>
          <w:szCs w:val="22"/>
          <w:lang w:val="en-GB"/>
        </w:rPr>
        <w:t>The Stanbic IBTC Purchasing Managers’ Index (PMI) eased marginally to 53.4 points in June 2026 from 54.1 points in May, but remained comfortably above the 50.0-point threshold for the fifth consecutive month, signalling sustained improvement in private sector business conditions. The moderation reflected slower, though still solid, increases in output and new orders following the stronger expansion recorded in May. Improved customer demand, rising sales volumes and new product offerings continued to support business activity, while firms expanded employment, purchasing activity and inventory holdings in response to stronger production requirements and favourable business expectations. Business confidence also strengthened to its highest level in one year, underpinned by business expansion plans, advertising efforts and expectations of sustained demand over the next twelve months. Furthermore, the PMI assessment suggests that economic growth may have strengthened modestly in the second quarter relative to the first quarter of 2026.</w:t>
      </w:r>
    </w:p>
    <w:p w14:paraId="214F2054" w14:textId="7397F54D" w:rsidR="001E6AD8" w:rsidRDefault="001E6AD8" w:rsidP="00F1413E">
      <w:pPr>
        <w:jc w:val="both"/>
        <w:rPr>
          <w:rFonts w:ascii="Calibri" w:hAnsi="Calibri" w:cs="Calibri"/>
          <w:sz w:val="22"/>
          <w:szCs w:val="22"/>
          <w:lang w:val="en-GB"/>
        </w:rPr>
      </w:pPr>
    </w:p>
    <w:p w14:paraId="27AA936B" w14:textId="55E640DE" w:rsidR="001E6AD8" w:rsidRDefault="001E6AD8" w:rsidP="00F1413E">
      <w:pPr>
        <w:jc w:val="both"/>
        <w:rPr>
          <w:rFonts w:ascii="Calibri" w:hAnsi="Calibri" w:cs="Calibri"/>
          <w:sz w:val="22"/>
          <w:szCs w:val="22"/>
          <w:lang w:val="en-GB"/>
        </w:rPr>
      </w:pPr>
    </w:p>
    <w:p w14:paraId="7D536C0C" w14:textId="77777777" w:rsidR="001E6AD8" w:rsidRDefault="001E6AD8" w:rsidP="00F1413E">
      <w:pPr>
        <w:jc w:val="both"/>
        <w:rPr>
          <w:rFonts w:ascii="Calibri" w:hAnsi="Calibri" w:cs="Calibri"/>
          <w:sz w:val="22"/>
          <w:szCs w:val="22"/>
          <w:lang w:val="en-GB"/>
        </w:rPr>
      </w:pPr>
    </w:p>
    <w:p w14:paraId="344256A3" w14:textId="77777777" w:rsidR="00F1413E" w:rsidRDefault="00F1413E" w:rsidP="00F1413E">
      <w:pPr>
        <w:jc w:val="both"/>
        <w:rPr>
          <w:rFonts w:ascii="Calibri" w:hAnsi="Calibri" w:cs="Calibri"/>
          <w:sz w:val="22"/>
          <w:szCs w:val="22"/>
          <w:lang w:val="en-GB"/>
        </w:rPr>
      </w:pPr>
    </w:p>
    <w:p w14:paraId="70028B58" w14:textId="718F5FBA" w:rsidR="00F1413E" w:rsidRDefault="00F1413E" w:rsidP="00F1413E">
      <w:pPr>
        <w:jc w:val="both"/>
        <w:rPr>
          <w:rFonts w:ascii="Calibri" w:hAnsi="Calibri" w:cs="Calibri"/>
          <w:i/>
          <w:iCs/>
          <w:color w:val="2F5496"/>
          <w:sz w:val="20"/>
          <w:szCs w:val="18"/>
        </w:rPr>
      </w:pPr>
      <w:r>
        <w:rPr>
          <w:rFonts w:ascii="Calibri" w:hAnsi="Calibri" w:cs="Calibri"/>
          <w:i/>
          <w:iCs/>
          <w:color w:val="2F5496"/>
          <w:sz w:val="20"/>
          <w:szCs w:val="18"/>
        </w:rPr>
        <w:t>Figure</w:t>
      </w:r>
      <w:r w:rsidR="00984583">
        <w:rPr>
          <w:rFonts w:ascii="Calibri" w:hAnsi="Calibri" w:cs="Calibri"/>
          <w:i/>
          <w:iCs/>
          <w:color w:val="2F5496"/>
          <w:sz w:val="20"/>
          <w:szCs w:val="18"/>
          <w:lang w:val="en-GB"/>
        </w:rPr>
        <w:t xml:space="preserve"> 2</w:t>
      </w:r>
      <w:r>
        <w:rPr>
          <w:rFonts w:ascii="Calibri" w:hAnsi="Calibri" w:cs="Calibri"/>
          <w:i/>
          <w:iCs/>
          <w:color w:val="2F5496"/>
          <w:sz w:val="20"/>
          <w:szCs w:val="18"/>
        </w:rPr>
        <w:t>: Trend of Nigeria’s PMI (</w:t>
      </w:r>
      <w:r>
        <w:rPr>
          <w:rFonts w:ascii="Calibri" w:hAnsi="Calibri" w:cs="Calibri"/>
          <w:i/>
          <w:iCs/>
          <w:color w:val="2F5496"/>
          <w:sz w:val="20"/>
          <w:szCs w:val="18"/>
          <w:lang w:val="en-GB"/>
        </w:rPr>
        <w:t>Jun 2025</w:t>
      </w:r>
      <w:r>
        <w:rPr>
          <w:rFonts w:ascii="Calibri" w:hAnsi="Calibri" w:cs="Calibri"/>
          <w:i/>
          <w:iCs/>
          <w:color w:val="2F5496"/>
          <w:sz w:val="20"/>
          <w:szCs w:val="18"/>
        </w:rPr>
        <w:t>–</w:t>
      </w:r>
      <w:r>
        <w:rPr>
          <w:rFonts w:ascii="Calibri" w:hAnsi="Calibri" w:cs="Calibri"/>
          <w:i/>
          <w:iCs/>
          <w:color w:val="2F5496"/>
          <w:sz w:val="20"/>
          <w:szCs w:val="18"/>
          <w:lang w:val="en-GB"/>
        </w:rPr>
        <w:t xml:space="preserve"> Jun.</w:t>
      </w:r>
      <w:r>
        <w:rPr>
          <w:rFonts w:ascii="Calibri" w:hAnsi="Calibri" w:cs="Calibri"/>
          <w:i/>
          <w:iCs/>
          <w:color w:val="2F5496"/>
          <w:sz w:val="20"/>
          <w:szCs w:val="18"/>
        </w:rPr>
        <w:t xml:space="preserve"> 202</w:t>
      </w:r>
      <w:r>
        <w:rPr>
          <w:rFonts w:ascii="Calibri" w:hAnsi="Calibri" w:cs="Calibri"/>
          <w:i/>
          <w:iCs/>
          <w:color w:val="2F5496"/>
          <w:sz w:val="20"/>
          <w:szCs w:val="18"/>
          <w:lang w:val="en-GB"/>
        </w:rPr>
        <w:t>6</w:t>
      </w:r>
      <w:r>
        <w:rPr>
          <w:rFonts w:ascii="Calibri" w:hAnsi="Calibri" w:cs="Calibri"/>
          <w:i/>
          <w:iCs/>
          <w:color w:val="2F5496"/>
          <w:sz w:val="20"/>
          <w:szCs w:val="18"/>
        </w:rPr>
        <w:t>)</w:t>
      </w:r>
    </w:p>
    <w:p w14:paraId="2CA8B0E5" w14:textId="6857F8C0" w:rsidR="00F1413E" w:rsidRDefault="001E6AD8" w:rsidP="00F1413E">
      <w:pPr>
        <w:jc w:val="both"/>
        <w:rPr>
          <w:rFonts w:ascii="Calibri" w:hAnsi="Calibri" w:cs="Calibri"/>
          <w:i/>
          <w:iCs/>
          <w:color w:val="2F5496"/>
          <w:sz w:val="20"/>
          <w:szCs w:val="18"/>
          <w:lang w:val="en-GB"/>
        </w:rPr>
      </w:pPr>
      <w:r>
        <w:rPr>
          <w:noProof/>
        </w:rPr>
        <w:drawing>
          <wp:inline distT="0" distB="0" distL="114300" distR="114300" wp14:anchorId="11EECC6C" wp14:editId="04DD77CB">
            <wp:extent cx="2828290" cy="179730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stretch>
                      <a:fillRect/>
                    </a:stretch>
                  </pic:blipFill>
                  <pic:spPr>
                    <a:xfrm>
                      <a:off x="0" y="0"/>
                      <a:ext cx="2828290" cy="1797306"/>
                    </a:xfrm>
                    <a:prstGeom prst="rect">
                      <a:avLst/>
                    </a:prstGeom>
                    <a:noFill/>
                    <a:ln>
                      <a:noFill/>
                    </a:ln>
                  </pic:spPr>
                </pic:pic>
              </a:graphicData>
            </a:graphic>
          </wp:inline>
        </w:drawing>
      </w:r>
    </w:p>
    <w:p w14:paraId="65C6D5A5" w14:textId="77777777" w:rsidR="00F1413E" w:rsidRDefault="00F1413E" w:rsidP="00F1413E">
      <w:pPr>
        <w:jc w:val="both"/>
        <w:rPr>
          <w:rFonts w:ascii="Calibri" w:hAnsi="Calibri" w:cs="Calibri"/>
          <w:sz w:val="22"/>
          <w:szCs w:val="22"/>
          <w:lang w:val="en-GB"/>
        </w:rPr>
      </w:pPr>
      <w:r>
        <w:rPr>
          <w:rFonts w:ascii="Calibri" w:hAnsi="Calibri" w:cs="Calibri"/>
          <w:color w:val="2F5496"/>
          <w:sz w:val="18"/>
          <w:szCs w:val="16"/>
        </w:rPr>
        <w:t>Source: Stanbic-IBC</w:t>
      </w:r>
    </w:p>
    <w:p w14:paraId="17FF0FE8" w14:textId="77777777" w:rsidR="00F1413E" w:rsidRPr="001E6AD8" w:rsidRDefault="00F1413E" w:rsidP="00F1413E">
      <w:pPr>
        <w:jc w:val="both"/>
        <w:rPr>
          <w:rFonts w:ascii="Calibri" w:hAnsi="Calibri" w:cs="Calibri"/>
          <w:sz w:val="10"/>
          <w:szCs w:val="10"/>
          <w:lang w:val="en-GB"/>
        </w:rPr>
      </w:pPr>
    </w:p>
    <w:p w14:paraId="2F11FF83" w14:textId="77777777" w:rsidR="00F1413E" w:rsidRDefault="00F1413E" w:rsidP="00F1413E">
      <w:pPr>
        <w:jc w:val="both"/>
        <w:rPr>
          <w:rFonts w:ascii="Calibri" w:hAnsi="Calibri" w:cs="Calibri"/>
          <w:sz w:val="22"/>
          <w:szCs w:val="22"/>
          <w:lang w:val="en-GB"/>
        </w:rPr>
      </w:pPr>
      <w:r>
        <w:rPr>
          <w:rFonts w:ascii="Calibri" w:hAnsi="Calibri" w:cs="Calibri"/>
          <w:sz w:val="22"/>
          <w:szCs w:val="22"/>
          <w:lang w:val="en-GB"/>
        </w:rPr>
        <w:t>Nonetheless, the growth outlook remains subject to several downside risks. Inflationary pressures, although easing gradually, continue to weigh on household purchasing power and business operating costs. In addition, persistent insecurity in key food-producing areas, exchange rate pressures, adverse weather conditions, rising fertiliser costs and continued volatility in the global economic environment could constrain agricultural production, investment activity, capital inflows and overall growth performance.</w:t>
      </w:r>
    </w:p>
    <w:p w14:paraId="60842253" w14:textId="77777777" w:rsidR="00F1413E" w:rsidRDefault="00F1413E" w:rsidP="00F1413E">
      <w:pPr>
        <w:jc w:val="both"/>
        <w:rPr>
          <w:rFonts w:ascii="Calibri" w:hAnsi="Calibri" w:cs="Calibri"/>
          <w:sz w:val="22"/>
          <w:szCs w:val="22"/>
          <w:lang w:val="en-GB"/>
        </w:rPr>
      </w:pPr>
    </w:p>
    <w:p w14:paraId="6F17CB2B" w14:textId="6C36EAD1" w:rsidR="00F1413E" w:rsidRPr="001E6AD8" w:rsidRDefault="00F1413E" w:rsidP="001E6AD8">
      <w:pPr>
        <w:jc w:val="both"/>
        <w:rPr>
          <w:rFonts w:ascii="Calibri" w:hAnsi="Calibri" w:cs="Calibri"/>
          <w:sz w:val="22"/>
          <w:szCs w:val="22"/>
          <w:lang w:val="en-GB"/>
        </w:rPr>
      </w:pPr>
      <w:r>
        <w:rPr>
          <w:rFonts w:ascii="Calibri" w:hAnsi="Calibri" w:cs="Calibri"/>
          <w:sz w:val="22"/>
          <w:szCs w:val="22"/>
          <w:lang w:val="en-GB"/>
        </w:rPr>
        <w:t>Overall, the available high frequency indicators point to sustained economic resilience, supported by robust domestic demand, improving private sector confidence and ongoing macroeconomic reforms. Preserving this momentum will require continued commitment to macroeconomic stability, accelerated implementation of structural reforms, improved infrastructure, enhanced access to finance, higher agricultural productivity and sustained investment in human capital to foster broad-based, inclusive and durable economic growth</w:t>
      </w:r>
    </w:p>
    <w:p w14:paraId="3FD05057" w14:textId="6C4B2943" w:rsidR="001E6AD8" w:rsidRDefault="001E6AD8" w:rsidP="001E6AD8">
      <w:pPr>
        <w:spacing w:after="160" w:line="259" w:lineRule="auto"/>
        <w:jc w:val="both"/>
        <w:rPr>
          <w:rFonts w:ascii="Calibri" w:hAnsi="Calibri" w:cs="Calibri"/>
          <w:i/>
          <w:iCs/>
          <w:color w:val="2F5496"/>
          <w:sz w:val="20"/>
          <w:szCs w:val="18"/>
          <w:lang w:val="en-GB"/>
        </w:rPr>
      </w:pPr>
      <w:r>
        <w:rPr>
          <w:noProof/>
        </w:rPr>
        <w:drawing>
          <wp:anchor distT="0" distB="0" distL="114300" distR="114300" simplePos="0" relativeHeight="251659264" behindDoc="0" locked="0" layoutInCell="1" allowOverlap="1" wp14:anchorId="3ED37D5A" wp14:editId="527CB365">
            <wp:simplePos x="0" y="0"/>
            <wp:positionH relativeFrom="column">
              <wp:posOffset>-35560</wp:posOffset>
            </wp:positionH>
            <wp:positionV relativeFrom="paragraph">
              <wp:posOffset>346075</wp:posOffset>
            </wp:positionV>
            <wp:extent cx="3133725" cy="1911350"/>
            <wp:effectExtent l="0" t="0" r="3175" b="6350"/>
            <wp:wrapNone/>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16"/>
                    <a:stretch>
                      <a:fillRect/>
                    </a:stretch>
                  </pic:blipFill>
                  <pic:spPr>
                    <a:xfrm>
                      <a:off x="0" y="0"/>
                      <a:ext cx="3133725" cy="1911350"/>
                    </a:xfrm>
                    <a:prstGeom prst="rect">
                      <a:avLst/>
                    </a:prstGeom>
                    <a:noFill/>
                    <a:ln>
                      <a:noFill/>
                    </a:ln>
                  </pic:spPr>
                </pic:pic>
              </a:graphicData>
            </a:graphic>
          </wp:anchor>
        </w:drawing>
      </w:r>
      <w:r>
        <w:rPr>
          <w:rFonts w:ascii="Calibri" w:hAnsi="Calibri" w:cs="Calibri"/>
          <w:i/>
          <w:iCs/>
          <w:color w:val="2F5496"/>
          <w:sz w:val="20"/>
          <w:szCs w:val="18"/>
        </w:rPr>
        <w:t xml:space="preserve">Figure </w:t>
      </w:r>
      <w:r w:rsidR="00984583">
        <w:rPr>
          <w:rFonts w:ascii="Calibri" w:hAnsi="Calibri" w:cs="Calibri"/>
          <w:i/>
          <w:iCs/>
          <w:color w:val="2F5496"/>
          <w:sz w:val="20"/>
          <w:szCs w:val="18"/>
          <w:lang w:val="en-GB"/>
        </w:rPr>
        <w:t>3</w:t>
      </w:r>
      <w:r>
        <w:rPr>
          <w:rFonts w:ascii="Calibri" w:hAnsi="Calibri" w:cs="Calibri"/>
          <w:i/>
          <w:iCs/>
          <w:color w:val="2F5496"/>
          <w:sz w:val="20"/>
          <w:szCs w:val="18"/>
        </w:rPr>
        <w:t>: Real GDP Growth Rate in Nigeria (Q</w:t>
      </w:r>
      <w:r>
        <w:rPr>
          <w:rFonts w:ascii="Calibri" w:hAnsi="Calibri" w:cs="Calibri"/>
          <w:i/>
          <w:iCs/>
          <w:color w:val="2F5496"/>
          <w:sz w:val="20"/>
          <w:szCs w:val="18"/>
          <w:lang w:val="en-GB"/>
        </w:rPr>
        <w:t>3</w:t>
      </w:r>
      <w:r>
        <w:rPr>
          <w:rFonts w:ascii="Calibri" w:hAnsi="Calibri" w:cs="Calibri"/>
          <w:i/>
          <w:iCs/>
          <w:color w:val="2F5496"/>
          <w:sz w:val="20"/>
          <w:szCs w:val="18"/>
        </w:rPr>
        <w:t>202</w:t>
      </w:r>
      <w:r>
        <w:rPr>
          <w:rFonts w:ascii="Calibri" w:hAnsi="Calibri" w:cs="Calibri"/>
          <w:i/>
          <w:iCs/>
          <w:color w:val="2F5496"/>
          <w:sz w:val="20"/>
          <w:szCs w:val="18"/>
          <w:lang w:val="en-GB"/>
        </w:rPr>
        <w:t>4</w:t>
      </w:r>
      <w:r>
        <w:rPr>
          <w:rFonts w:ascii="Calibri" w:hAnsi="Calibri" w:cs="Calibri"/>
          <w:i/>
          <w:iCs/>
          <w:color w:val="2F5496"/>
          <w:sz w:val="20"/>
          <w:szCs w:val="18"/>
        </w:rPr>
        <w:t xml:space="preserve"> – Q</w:t>
      </w:r>
      <w:r>
        <w:rPr>
          <w:rFonts w:ascii="Calibri" w:hAnsi="Calibri" w:cs="Calibri"/>
          <w:i/>
          <w:iCs/>
          <w:color w:val="2F5496"/>
          <w:sz w:val="20"/>
          <w:szCs w:val="18"/>
          <w:lang w:val="en-GB"/>
        </w:rPr>
        <w:t>1</w:t>
      </w:r>
      <w:r>
        <w:rPr>
          <w:rFonts w:ascii="Calibri" w:hAnsi="Calibri" w:cs="Calibri"/>
          <w:i/>
          <w:iCs/>
          <w:color w:val="2F5496"/>
          <w:sz w:val="20"/>
          <w:szCs w:val="18"/>
        </w:rPr>
        <w:t>202</w:t>
      </w:r>
      <w:r>
        <w:rPr>
          <w:rFonts w:ascii="Calibri" w:hAnsi="Calibri" w:cs="Calibri"/>
          <w:i/>
          <w:iCs/>
          <w:color w:val="2F5496"/>
          <w:sz w:val="20"/>
          <w:szCs w:val="18"/>
          <w:lang w:val="en-GB"/>
        </w:rPr>
        <w:t>6</w:t>
      </w:r>
      <w:r>
        <w:rPr>
          <w:rFonts w:ascii="Calibri" w:hAnsi="Calibri" w:cs="Calibri"/>
          <w:i/>
          <w:iCs/>
          <w:color w:val="2F5496"/>
          <w:sz w:val="20"/>
          <w:szCs w:val="18"/>
        </w:rPr>
        <w:t>) in percent</w:t>
      </w:r>
    </w:p>
    <w:p w14:paraId="35A6F757" w14:textId="77777777" w:rsidR="001E6AD8" w:rsidRDefault="001E6AD8" w:rsidP="001E6AD8">
      <w:pPr>
        <w:jc w:val="both"/>
        <w:rPr>
          <w:rFonts w:ascii="Calibri" w:hAnsi="Calibri" w:cs="Calibri"/>
          <w:lang w:val="en-GB"/>
        </w:rPr>
      </w:pPr>
    </w:p>
    <w:p w14:paraId="616BA75C" w14:textId="77777777" w:rsidR="001E6AD8" w:rsidRDefault="001E6AD8" w:rsidP="001E6AD8">
      <w:pPr>
        <w:jc w:val="both"/>
        <w:rPr>
          <w:rFonts w:ascii="Calibri" w:hAnsi="Calibri" w:cs="Calibri"/>
          <w:lang w:val="en-GB"/>
        </w:rPr>
      </w:pPr>
    </w:p>
    <w:p w14:paraId="7A005DB1" w14:textId="77777777" w:rsidR="001E6AD8" w:rsidRDefault="001E6AD8" w:rsidP="001E6AD8">
      <w:pPr>
        <w:jc w:val="both"/>
        <w:rPr>
          <w:rFonts w:ascii="Calibri" w:hAnsi="Calibri" w:cs="Calibri"/>
          <w:lang w:val="en-GB"/>
        </w:rPr>
      </w:pPr>
    </w:p>
    <w:p w14:paraId="7B17575E" w14:textId="77777777" w:rsidR="001E6AD8" w:rsidRDefault="001E6AD8" w:rsidP="001E6AD8">
      <w:pPr>
        <w:jc w:val="both"/>
        <w:rPr>
          <w:rFonts w:ascii="Calibri" w:hAnsi="Calibri" w:cs="Calibri"/>
          <w:lang w:val="en-GB"/>
        </w:rPr>
      </w:pPr>
    </w:p>
    <w:p w14:paraId="497FABF5" w14:textId="77777777" w:rsidR="001E6AD8" w:rsidRDefault="001E6AD8" w:rsidP="001E6AD8">
      <w:pPr>
        <w:jc w:val="both"/>
        <w:rPr>
          <w:rFonts w:ascii="Calibri" w:hAnsi="Calibri" w:cs="Calibri"/>
          <w:lang w:val="en-GB"/>
        </w:rPr>
      </w:pPr>
    </w:p>
    <w:p w14:paraId="41F4A4C1" w14:textId="77777777" w:rsidR="001E6AD8" w:rsidRDefault="001E6AD8" w:rsidP="001E6AD8">
      <w:pPr>
        <w:jc w:val="both"/>
        <w:rPr>
          <w:rFonts w:ascii="Calibri" w:hAnsi="Calibri" w:cs="Calibri"/>
          <w:lang w:val="en-GB"/>
        </w:rPr>
      </w:pPr>
    </w:p>
    <w:p w14:paraId="61615647" w14:textId="77777777" w:rsidR="001E6AD8" w:rsidRDefault="001E6AD8" w:rsidP="001E6AD8">
      <w:pPr>
        <w:jc w:val="both"/>
        <w:rPr>
          <w:rFonts w:ascii="Calibri" w:hAnsi="Calibri" w:cs="Calibri"/>
          <w:lang w:val="en-GB"/>
        </w:rPr>
      </w:pPr>
    </w:p>
    <w:p w14:paraId="6E37DDA6" w14:textId="77777777" w:rsidR="001E6AD8" w:rsidRDefault="001E6AD8" w:rsidP="001E6AD8">
      <w:pPr>
        <w:jc w:val="both"/>
        <w:rPr>
          <w:rFonts w:ascii="Calibri" w:hAnsi="Calibri" w:cs="Calibri"/>
          <w:lang w:val="en-GB"/>
        </w:rPr>
      </w:pPr>
    </w:p>
    <w:p w14:paraId="703F0CCF" w14:textId="77777777" w:rsidR="001E6AD8" w:rsidRDefault="001E6AD8" w:rsidP="001E6AD8">
      <w:pPr>
        <w:jc w:val="both"/>
        <w:rPr>
          <w:rFonts w:ascii="Calibri" w:hAnsi="Calibri" w:cs="Calibri"/>
          <w:lang w:val="en-GB"/>
        </w:rPr>
      </w:pPr>
    </w:p>
    <w:p w14:paraId="3DDB436E" w14:textId="77777777" w:rsidR="001E6AD8" w:rsidRDefault="001E6AD8" w:rsidP="001E6AD8">
      <w:pPr>
        <w:jc w:val="both"/>
        <w:rPr>
          <w:rFonts w:ascii="Calibri" w:hAnsi="Calibri" w:cs="Calibri"/>
          <w:lang w:val="en-GB"/>
        </w:rPr>
      </w:pPr>
    </w:p>
    <w:p w14:paraId="1FB6B1E6" w14:textId="77777777" w:rsidR="001E6AD8" w:rsidRDefault="001E6AD8" w:rsidP="001E6AD8">
      <w:pPr>
        <w:jc w:val="both"/>
        <w:rPr>
          <w:rFonts w:ascii="Calibri" w:hAnsi="Calibri" w:cs="Calibri"/>
          <w:lang w:val="en-GB"/>
        </w:rPr>
      </w:pPr>
      <w:r>
        <w:rPr>
          <w:rFonts w:ascii="Calibri" w:hAnsi="Calibri" w:cs="Calibri"/>
          <w:b/>
          <w:bCs/>
          <w:color w:val="2F5496"/>
          <w:sz w:val="18"/>
          <w:szCs w:val="16"/>
        </w:rPr>
        <w:t xml:space="preserve">Source: </w:t>
      </w:r>
      <w:r>
        <w:rPr>
          <w:rFonts w:ascii="Calibri" w:hAnsi="Calibri" w:cs="Calibri"/>
          <w:color w:val="2F5496"/>
          <w:sz w:val="18"/>
          <w:szCs w:val="16"/>
        </w:rPr>
        <w:t>National Bureau of Statistics (NBS)</w:t>
      </w:r>
    </w:p>
    <w:p w14:paraId="1A7BD384" w14:textId="4EDA48CF" w:rsidR="00D55E8A" w:rsidRPr="00984583" w:rsidRDefault="00D55E8A" w:rsidP="0016538D">
      <w:pPr>
        <w:pStyle w:val="Heading1"/>
        <w:rPr>
          <w:b/>
          <w:bCs/>
          <w:lang w:val="en-GB"/>
        </w:rPr>
      </w:pPr>
      <w:r w:rsidRPr="00984583">
        <w:rPr>
          <w:b/>
          <w:bCs/>
          <w:lang w:val="en-GB"/>
        </w:rPr>
        <w:lastRenderedPageBreak/>
        <w:t>Output Growth Outlook</w:t>
      </w:r>
    </w:p>
    <w:p w14:paraId="7933E432" w14:textId="77777777" w:rsidR="00277853" w:rsidRPr="00277853" w:rsidRDefault="00277853" w:rsidP="00277853">
      <w:pPr>
        <w:spacing w:after="160" w:line="259" w:lineRule="auto"/>
        <w:jc w:val="both"/>
        <w:rPr>
          <w:rFonts w:asciiTheme="minorHAnsi" w:hAnsiTheme="minorHAnsi"/>
          <w:sz w:val="22"/>
          <w:szCs w:val="22"/>
          <w:lang w:val="en-GB" w:eastAsia="en-US"/>
        </w:rPr>
      </w:pPr>
      <w:r w:rsidRPr="00277853">
        <w:rPr>
          <w:rFonts w:asciiTheme="minorHAnsi" w:hAnsiTheme="minorHAnsi"/>
          <w:sz w:val="22"/>
          <w:szCs w:val="22"/>
          <w:lang w:val="en-GB" w:eastAsia="en-US"/>
        </w:rPr>
        <w:t>Nigeria’s economic performance remained broadly resilient through the first half of 2026, supported by ongoing macroeconomic reforms, improvements in foreign exchange market conditions, and continued expansion of the services sector. The economy has also benefited from gradually improving investor confidence, enhanced FX liquidity, and a modest recovery in crude oil production. While growth remains below its long-term potential, available indicators suggest that overall economic activity has continued to expand at a moderate but steady pace, reflecting improved macroeconomic stability relative to the challenges experienced in recent years.</w:t>
      </w:r>
    </w:p>
    <w:p w14:paraId="56C64EFE" w14:textId="77777777" w:rsidR="00277853" w:rsidRPr="00277853" w:rsidRDefault="00277853" w:rsidP="00277853">
      <w:pPr>
        <w:spacing w:after="160" w:line="259" w:lineRule="auto"/>
        <w:jc w:val="both"/>
        <w:rPr>
          <w:rFonts w:asciiTheme="minorHAnsi" w:hAnsiTheme="minorHAnsi"/>
          <w:sz w:val="22"/>
          <w:szCs w:val="22"/>
          <w:lang w:val="en-GB" w:eastAsia="en-US"/>
        </w:rPr>
      </w:pPr>
      <w:r w:rsidRPr="00277853">
        <w:rPr>
          <w:rFonts w:asciiTheme="minorHAnsi" w:hAnsiTheme="minorHAnsi"/>
          <w:sz w:val="22"/>
          <w:szCs w:val="22"/>
          <w:lang w:val="en-GB" w:eastAsia="en-US"/>
        </w:rPr>
        <w:t>Looking ahead to the second half of 2026, economic growth is expected to strengthen gradually, albeit unevenly across sectors. Activity in the third quarter is likely to benefit from improved access to foreign exchange, increased business confidence, and seasonal gains in agricultural production associated with the harvest cycle. The services sector—including telecommunications, financial services, transportation, and trade—is expected to remain the principal driver of growth, supported by ongoing digitalization, financial sector expansion, and improving business conditions.</w:t>
      </w:r>
    </w:p>
    <w:p w14:paraId="10D157CB" w14:textId="77777777" w:rsidR="00277853" w:rsidRPr="00277853" w:rsidRDefault="00277853" w:rsidP="00277853">
      <w:pPr>
        <w:spacing w:after="160" w:line="259" w:lineRule="auto"/>
        <w:jc w:val="both"/>
        <w:rPr>
          <w:rFonts w:asciiTheme="minorHAnsi" w:hAnsiTheme="minorHAnsi"/>
          <w:sz w:val="22"/>
          <w:szCs w:val="22"/>
          <w:lang w:val="en-GB" w:eastAsia="en-US"/>
        </w:rPr>
      </w:pPr>
      <w:r w:rsidRPr="00277853">
        <w:rPr>
          <w:rFonts w:asciiTheme="minorHAnsi" w:hAnsiTheme="minorHAnsi"/>
          <w:sz w:val="22"/>
          <w:szCs w:val="22"/>
          <w:lang w:val="en-GB" w:eastAsia="en-US"/>
        </w:rPr>
        <w:t>Growth momentum is projected to strengthen further during the fourth quarter of 2026. Increased public spending associated with budget implementation, stronger year-end commercial activity, and the gradual pass-through of recent macroeconomic reforms are expected to provide additional support to aggregate demand. Furthermore, greater stability in the foreign exchange market and a moderation in inflationary pressures could improve household purchasing power and business planning, thereby supporting broader economic activity. Nevertheless, the pace of expansion is expected to remain moderate, constrained by still-elevated borrowing costs, weak real incomes, and persistent structural bottlenecks.</w:t>
      </w:r>
    </w:p>
    <w:p w14:paraId="4A21C157" w14:textId="77777777" w:rsidR="00277853" w:rsidRPr="00277853" w:rsidRDefault="00277853" w:rsidP="00277853">
      <w:pPr>
        <w:spacing w:after="160" w:line="259" w:lineRule="auto"/>
        <w:jc w:val="both"/>
        <w:rPr>
          <w:rFonts w:asciiTheme="minorHAnsi" w:hAnsiTheme="minorHAnsi"/>
          <w:sz w:val="22"/>
          <w:szCs w:val="22"/>
          <w:lang w:val="en-GB" w:eastAsia="en-US"/>
        </w:rPr>
      </w:pPr>
      <w:r w:rsidRPr="00277853">
        <w:rPr>
          <w:rFonts w:asciiTheme="minorHAnsi" w:hAnsiTheme="minorHAnsi"/>
          <w:sz w:val="22"/>
          <w:szCs w:val="22"/>
          <w:lang w:val="en-GB" w:eastAsia="en-US"/>
        </w:rPr>
        <w:t>Developments in the oil sector present both opportunities and risks for the outlook. The easing of tensions in the Middle East and the subsequent moderation in crude oil prices toward the end of June have reduced some global inflationary pressures. However, oil markets remain vulnerable to renewed geopolitical disruptions and supply shocks. For Nigeria, oil price volatility presents a mixed picture: higher prices could support fiscal revenues, export earnings, and external reserves, while sharp fluctuations may complicate budget execution, exchange-rate management, and investment planning. As a result, overall growth performance will remain sensitive to developments in global energy markets and external financial conditions.</w:t>
      </w:r>
    </w:p>
    <w:p w14:paraId="0C030219" w14:textId="77777777" w:rsidR="00277853" w:rsidRPr="00277853" w:rsidRDefault="00277853" w:rsidP="00277853">
      <w:pPr>
        <w:spacing w:after="160" w:line="259" w:lineRule="auto"/>
        <w:jc w:val="both"/>
        <w:rPr>
          <w:rFonts w:asciiTheme="minorHAnsi" w:hAnsiTheme="minorHAnsi"/>
          <w:sz w:val="22"/>
          <w:szCs w:val="22"/>
          <w:lang w:val="en-GB" w:eastAsia="en-US"/>
        </w:rPr>
      </w:pPr>
      <w:r w:rsidRPr="00277853">
        <w:rPr>
          <w:rFonts w:asciiTheme="minorHAnsi" w:hAnsiTheme="minorHAnsi"/>
          <w:sz w:val="22"/>
          <w:szCs w:val="22"/>
          <w:lang w:val="en-GB" w:eastAsia="en-US"/>
        </w:rPr>
        <w:t>External risks also remain significant. Tighter global financial conditions, persistent geopolitical uncertainties, and slower growth among major trading partners could adversely affect capital flows, investor sentiment, and external financing conditions. Exchange-rate pressures and imported inflation risks have declined compared with earlier in the year but remain important considerations for policymakers. Consequently, private-sector investment decisions are likely to remain closely tied to perceptions of macroeconomic stability and policy consistency.</w:t>
      </w:r>
    </w:p>
    <w:p w14:paraId="6A74243D" w14:textId="77777777" w:rsidR="00277853" w:rsidRPr="00277853" w:rsidRDefault="00277853" w:rsidP="00277853">
      <w:pPr>
        <w:spacing w:after="160" w:line="259" w:lineRule="auto"/>
        <w:jc w:val="both"/>
        <w:rPr>
          <w:rFonts w:asciiTheme="minorHAnsi" w:hAnsiTheme="minorHAnsi"/>
          <w:sz w:val="22"/>
          <w:szCs w:val="22"/>
          <w:lang w:val="en-GB" w:eastAsia="en-US"/>
        </w:rPr>
      </w:pPr>
      <w:r w:rsidRPr="00277853">
        <w:rPr>
          <w:rFonts w:asciiTheme="minorHAnsi" w:hAnsiTheme="minorHAnsi"/>
          <w:sz w:val="22"/>
          <w:szCs w:val="22"/>
          <w:lang w:val="en-GB" w:eastAsia="en-US"/>
        </w:rPr>
        <w:t>Over the medium term, Nigeria’s growth prospects are expected to improve gradually as the benefits of ongoing reforms become more firmly embedded. Continued improvements in policy credibility, deeper foreign exchange market reforms, stronger domestic revenue mobilization, and enhanced investor confidence are expected to support increased public and private investment. In addition, expanding digital economic activity, financial inclusion initiatives, and ongoing efforts to strengthen non-oil exports could contribute to a more diversified and resilient growth model.</w:t>
      </w:r>
    </w:p>
    <w:p w14:paraId="049F29FB" w14:textId="77777777" w:rsidR="00277853" w:rsidRPr="00277853" w:rsidRDefault="00277853" w:rsidP="00277853">
      <w:pPr>
        <w:spacing w:after="160" w:line="259" w:lineRule="auto"/>
        <w:jc w:val="both"/>
        <w:rPr>
          <w:rFonts w:asciiTheme="minorHAnsi" w:hAnsiTheme="minorHAnsi"/>
          <w:sz w:val="22"/>
          <w:szCs w:val="22"/>
          <w:lang w:val="en-GB" w:eastAsia="en-US"/>
        </w:rPr>
      </w:pPr>
      <w:r w:rsidRPr="00277853">
        <w:rPr>
          <w:rFonts w:asciiTheme="minorHAnsi" w:hAnsiTheme="minorHAnsi"/>
          <w:sz w:val="22"/>
          <w:szCs w:val="22"/>
          <w:lang w:val="en-GB" w:eastAsia="en-US"/>
        </w:rPr>
        <w:t xml:space="preserve">Notwithstanding these positive prospects, the sustainability of stronger growth will depend critically on addressing long-standing structural constraints. Key challenges include inadequate infrastructure, unreliable power supply, high </w:t>
      </w:r>
      <w:r w:rsidRPr="00277853">
        <w:rPr>
          <w:rFonts w:asciiTheme="minorHAnsi" w:hAnsiTheme="minorHAnsi"/>
          <w:sz w:val="22"/>
          <w:szCs w:val="22"/>
          <w:lang w:val="en-GB" w:eastAsia="en-US"/>
        </w:rPr>
        <w:lastRenderedPageBreak/>
        <w:t>logistics and transportation costs, insecurity in some parts of the country, and limited access to affordable financing for businesses. Progress in these areas will be essential to unlocking productivity gains, improving competitiveness, and attracting larger volumes of domestic and foreign investment.</w:t>
      </w:r>
    </w:p>
    <w:p w14:paraId="432EDED9" w14:textId="2D080BE3" w:rsidR="00C27C57" w:rsidRPr="00226279" w:rsidRDefault="00277853" w:rsidP="00277853">
      <w:pPr>
        <w:spacing w:after="160" w:line="259" w:lineRule="auto"/>
        <w:jc w:val="both"/>
        <w:rPr>
          <w:rFonts w:asciiTheme="minorHAnsi" w:hAnsiTheme="minorHAnsi"/>
          <w:sz w:val="22"/>
          <w:szCs w:val="22"/>
          <w:highlight w:val="green"/>
          <w:lang w:val="en-GB" w:eastAsia="en-US"/>
        </w:rPr>
      </w:pPr>
      <w:r w:rsidRPr="00277853">
        <w:rPr>
          <w:rFonts w:asciiTheme="minorHAnsi" w:hAnsiTheme="minorHAnsi"/>
          <w:sz w:val="22"/>
          <w:szCs w:val="22"/>
          <w:lang w:val="en-GB" w:eastAsia="en-US"/>
        </w:rPr>
        <w:t>Overall, Nigeria’s growth outlook for the remainder of 2026 remains cautiously optimistic. Economic activity is expected to strengthen gradually, supported by improving macroeconomic fundamentals and reform momentum. However, the expansion is likely to remain moderate rather than rapid, reflecting both external uncertainties and persistent domestic structural challenges. Sustained policy implementation, macroeconomic stability, and continued progress on structural reforms will be crucial to achieving stronger and more inclusive growth over the medium term.</w:t>
      </w:r>
    </w:p>
    <w:p w14:paraId="4CEDB0CB" w14:textId="77FFA7EE" w:rsidR="00F06E4F" w:rsidRPr="00984583" w:rsidRDefault="00F06E4F" w:rsidP="0016538D">
      <w:pPr>
        <w:spacing w:after="160" w:line="259" w:lineRule="auto"/>
        <w:jc w:val="both"/>
        <w:rPr>
          <w:rFonts w:asciiTheme="minorHAnsi" w:hAnsiTheme="minorHAnsi"/>
          <w:color w:val="2F5496" w:themeColor="accent1" w:themeShade="BF"/>
          <w:sz w:val="22"/>
          <w:szCs w:val="22"/>
          <w:lang w:val="en-GB" w:eastAsia="en-US"/>
        </w:rPr>
      </w:pPr>
      <w:r w:rsidRPr="00984583">
        <w:rPr>
          <w:rFonts w:asciiTheme="minorHAnsi" w:hAnsiTheme="minorHAnsi"/>
          <w:color w:val="2F5496" w:themeColor="accent1" w:themeShade="BF"/>
          <w:sz w:val="22"/>
          <w:szCs w:val="22"/>
          <w:lang w:val="en-GB" w:eastAsia="en-US"/>
        </w:rPr>
        <w:t xml:space="preserve">Figure </w:t>
      </w:r>
      <w:r w:rsidR="00984583">
        <w:rPr>
          <w:rFonts w:asciiTheme="minorHAnsi" w:hAnsiTheme="minorHAnsi"/>
          <w:color w:val="2F5496" w:themeColor="accent1" w:themeShade="BF"/>
          <w:sz w:val="22"/>
          <w:szCs w:val="22"/>
          <w:lang w:val="en-GB" w:eastAsia="en-US"/>
        </w:rPr>
        <w:t>4</w:t>
      </w:r>
      <w:r w:rsidRPr="00984583">
        <w:rPr>
          <w:rFonts w:asciiTheme="minorHAnsi" w:hAnsiTheme="minorHAnsi"/>
          <w:color w:val="2F5496" w:themeColor="accent1" w:themeShade="BF"/>
          <w:sz w:val="22"/>
          <w:szCs w:val="22"/>
          <w:lang w:val="en-GB" w:eastAsia="en-US"/>
        </w:rPr>
        <w:t xml:space="preserve">: Economic Policy Uncertainty (EPU) index for Nigeria </w:t>
      </w:r>
      <w:r w:rsidR="00E20DAB" w:rsidRPr="00984583">
        <w:rPr>
          <w:rFonts w:asciiTheme="minorHAnsi" w:hAnsiTheme="minorHAnsi"/>
          <w:color w:val="2F5496" w:themeColor="accent1" w:themeShade="BF"/>
          <w:sz w:val="22"/>
          <w:szCs w:val="22"/>
          <w:lang w:val="en-GB" w:eastAsia="en-US"/>
        </w:rPr>
        <w:t>Jan.</w:t>
      </w:r>
      <w:r w:rsidR="00D23B5D" w:rsidRPr="00984583">
        <w:rPr>
          <w:rFonts w:asciiTheme="minorHAnsi" w:hAnsiTheme="minorHAnsi"/>
          <w:color w:val="2F5496" w:themeColor="accent1" w:themeShade="BF"/>
          <w:sz w:val="22"/>
          <w:szCs w:val="22"/>
          <w:lang w:val="en-GB" w:eastAsia="en-US"/>
        </w:rPr>
        <w:t xml:space="preserve"> </w:t>
      </w:r>
      <w:r w:rsidR="00074BED" w:rsidRPr="00984583">
        <w:rPr>
          <w:rFonts w:asciiTheme="minorHAnsi" w:hAnsiTheme="minorHAnsi"/>
          <w:color w:val="2F5496" w:themeColor="accent1" w:themeShade="BF"/>
          <w:sz w:val="22"/>
          <w:szCs w:val="22"/>
          <w:lang w:val="en-GB" w:eastAsia="en-US"/>
        </w:rPr>
        <w:t>2025</w:t>
      </w:r>
      <w:r w:rsidR="00111566" w:rsidRPr="00984583">
        <w:rPr>
          <w:rFonts w:asciiTheme="minorHAnsi" w:hAnsiTheme="minorHAnsi"/>
          <w:color w:val="2F5496" w:themeColor="accent1" w:themeShade="BF"/>
          <w:sz w:val="22"/>
          <w:szCs w:val="22"/>
          <w:lang w:val="en-GB" w:eastAsia="en-US"/>
        </w:rPr>
        <w:t xml:space="preserve"> – </w:t>
      </w:r>
      <w:r w:rsidR="0045362E" w:rsidRPr="00984583">
        <w:rPr>
          <w:rFonts w:asciiTheme="minorHAnsi" w:hAnsiTheme="minorHAnsi"/>
          <w:color w:val="2F5496" w:themeColor="accent1" w:themeShade="BF"/>
          <w:sz w:val="22"/>
          <w:szCs w:val="22"/>
          <w:lang w:val="en-GB" w:eastAsia="en-US"/>
        </w:rPr>
        <w:t>May</w:t>
      </w:r>
      <w:r w:rsidR="00111566" w:rsidRPr="00984583">
        <w:rPr>
          <w:rFonts w:asciiTheme="minorHAnsi" w:hAnsiTheme="minorHAnsi"/>
          <w:color w:val="2F5496" w:themeColor="accent1" w:themeShade="BF"/>
          <w:sz w:val="22"/>
          <w:szCs w:val="22"/>
          <w:lang w:val="en-GB" w:eastAsia="en-US"/>
        </w:rPr>
        <w:t xml:space="preserve"> </w:t>
      </w:r>
      <w:r w:rsidRPr="00984583">
        <w:rPr>
          <w:rFonts w:asciiTheme="minorHAnsi" w:hAnsiTheme="minorHAnsi"/>
          <w:color w:val="2F5496" w:themeColor="accent1" w:themeShade="BF"/>
          <w:sz w:val="22"/>
          <w:szCs w:val="22"/>
          <w:lang w:val="en-GB" w:eastAsia="en-US"/>
        </w:rPr>
        <w:t>202</w:t>
      </w:r>
      <w:r w:rsidR="00194B7D" w:rsidRPr="00984583">
        <w:rPr>
          <w:rFonts w:asciiTheme="minorHAnsi" w:hAnsiTheme="minorHAnsi"/>
          <w:color w:val="2F5496" w:themeColor="accent1" w:themeShade="BF"/>
          <w:sz w:val="22"/>
          <w:szCs w:val="22"/>
          <w:lang w:val="en-GB" w:eastAsia="en-US"/>
        </w:rPr>
        <w:t>6</w:t>
      </w:r>
    </w:p>
    <w:p w14:paraId="14BCB401" w14:textId="066249E0" w:rsidR="006F671B" w:rsidRPr="00226279" w:rsidRDefault="006957B2" w:rsidP="0016538D">
      <w:pPr>
        <w:spacing w:after="160" w:line="259" w:lineRule="auto"/>
        <w:jc w:val="both"/>
        <w:rPr>
          <w:noProof/>
          <w:highlight w:val="green"/>
        </w:rPr>
      </w:pPr>
      <w:r>
        <w:rPr>
          <w:noProof/>
        </w:rPr>
        <w:drawing>
          <wp:inline distT="0" distB="0" distL="0" distR="0" wp14:anchorId="398728B9" wp14:editId="41395DC7">
            <wp:extent cx="2828290" cy="1352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8290" cy="1352550"/>
                    </a:xfrm>
                    <a:prstGeom prst="rect">
                      <a:avLst/>
                    </a:prstGeom>
                    <a:noFill/>
                    <a:ln>
                      <a:noFill/>
                    </a:ln>
                  </pic:spPr>
                </pic:pic>
              </a:graphicData>
            </a:graphic>
          </wp:inline>
        </w:drawing>
      </w:r>
    </w:p>
    <w:p w14:paraId="19CD9477" w14:textId="0CE2173E" w:rsidR="00F06E4F" w:rsidRPr="00984583" w:rsidRDefault="00F06E4F" w:rsidP="0016538D">
      <w:pPr>
        <w:spacing w:after="160" w:line="259" w:lineRule="auto"/>
        <w:jc w:val="both"/>
        <w:rPr>
          <w:rFonts w:ascii="Calibri" w:hAnsi="Calibri"/>
          <w:b/>
          <w:bCs/>
          <w:color w:val="2F5496" w:themeColor="accent1" w:themeShade="BF"/>
          <w:sz w:val="18"/>
          <w:szCs w:val="16"/>
          <w:lang w:val="en-GB"/>
        </w:rPr>
      </w:pPr>
      <w:r w:rsidRPr="00984583">
        <w:rPr>
          <w:rFonts w:ascii="Calibri" w:hAnsi="Calibri"/>
          <w:b/>
          <w:bCs/>
          <w:color w:val="2F5496" w:themeColor="accent1" w:themeShade="BF"/>
          <w:sz w:val="18"/>
          <w:szCs w:val="16"/>
        </w:rPr>
        <w:t xml:space="preserve">Source: </w:t>
      </w:r>
      <w:r w:rsidRPr="00984583">
        <w:rPr>
          <w:rFonts w:ascii="Calibri" w:hAnsi="Calibri"/>
          <w:color w:val="2F5496" w:themeColor="accent1" w:themeShade="BF"/>
          <w:sz w:val="18"/>
          <w:szCs w:val="16"/>
        </w:rPr>
        <w:t>CAPE Economic Research and Consulting, 202</w:t>
      </w:r>
      <w:r w:rsidR="00731D5B" w:rsidRPr="00984583">
        <w:rPr>
          <w:rFonts w:ascii="Calibri" w:hAnsi="Calibri"/>
          <w:color w:val="2F5496" w:themeColor="accent1" w:themeShade="BF"/>
          <w:sz w:val="18"/>
          <w:szCs w:val="16"/>
          <w:lang w:val="en-GB"/>
        </w:rPr>
        <w:t>6</w:t>
      </w:r>
    </w:p>
    <w:p w14:paraId="53F98B1C" w14:textId="77777777" w:rsidR="00DA1BE8" w:rsidRPr="00DA1BE8" w:rsidRDefault="00DA1BE8" w:rsidP="00DA1BE8">
      <w:pPr>
        <w:spacing w:after="160" w:line="259" w:lineRule="auto"/>
        <w:jc w:val="both"/>
        <w:rPr>
          <w:rFonts w:asciiTheme="minorHAnsi" w:hAnsiTheme="minorHAnsi"/>
          <w:sz w:val="22"/>
          <w:szCs w:val="22"/>
          <w:lang w:val="en-GB" w:eastAsia="en-US"/>
        </w:rPr>
      </w:pPr>
      <w:r w:rsidRPr="00DA1BE8">
        <w:rPr>
          <w:rFonts w:asciiTheme="minorHAnsi" w:hAnsiTheme="minorHAnsi"/>
          <w:sz w:val="22"/>
          <w:szCs w:val="22"/>
          <w:lang w:val="en-GB" w:eastAsia="en-US"/>
        </w:rPr>
        <w:t>Our Nigerian Economic Policy Uncertainty (EPU) Index points to a renewed build-up in uncertainty, with the index rising from 132 in April 2026 to 137 in May 2026, extending the upward trend that began after February. This suggests that policy uncertainty has remained elevated despite the implementation of major fiscal reforms earlier in the year.</w:t>
      </w:r>
    </w:p>
    <w:p w14:paraId="275A9919" w14:textId="77777777" w:rsidR="00DA1BE8" w:rsidRPr="00DA1BE8" w:rsidRDefault="00DA1BE8" w:rsidP="00DA1BE8">
      <w:pPr>
        <w:spacing w:after="160" w:line="259" w:lineRule="auto"/>
        <w:jc w:val="both"/>
        <w:rPr>
          <w:rFonts w:asciiTheme="minorHAnsi" w:hAnsiTheme="minorHAnsi"/>
          <w:sz w:val="22"/>
          <w:szCs w:val="22"/>
          <w:lang w:val="en-GB" w:eastAsia="en-US"/>
        </w:rPr>
      </w:pPr>
      <w:r w:rsidRPr="00DA1BE8">
        <w:rPr>
          <w:rFonts w:asciiTheme="minorHAnsi" w:hAnsiTheme="minorHAnsi"/>
          <w:sz w:val="22"/>
          <w:szCs w:val="22"/>
          <w:lang w:val="en-GB" w:eastAsia="en-US"/>
        </w:rPr>
        <w:t xml:space="preserve">The recent increase appears to be driven by a combination of heightened domestic security concerns and growing political uncertainty ahead of the 2027 election cycle, alongside persistent geopolitical risks. While uncertainty associated with the implementation of the new tax laws </w:t>
      </w:r>
      <w:r w:rsidRPr="00DA1BE8">
        <w:rPr>
          <w:rFonts w:asciiTheme="minorHAnsi" w:hAnsiTheme="minorHAnsi"/>
          <w:sz w:val="22"/>
          <w:szCs w:val="22"/>
          <w:lang w:val="en-GB" w:eastAsia="en-US"/>
        </w:rPr>
        <w:t>moderated after the initial spike in December 2025, new concerns have emerged, particularly around worsening insecurity in parts of the country and increased political activity as the election season gathers momentum. These developments have sustained elevated media attention on policy and governance risks.</w:t>
      </w:r>
    </w:p>
    <w:p w14:paraId="59B02B72" w14:textId="77777777" w:rsidR="00DA1BE8" w:rsidRPr="00DA1BE8" w:rsidRDefault="00DA1BE8" w:rsidP="00DA1BE8">
      <w:pPr>
        <w:spacing w:after="160" w:line="259" w:lineRule="auto"/>
        <w:jc w:val="both"/>
        <w:rPr>
          <w:rFonts w:asciiTheme="minorHAnsi" w:hAnsiTheme="minorHAnsi"/>
          <w:sz w:val="22"/>
          <w:szCs w:val="22"/>
          <w:lang w:val="en-GB" w:eastAsia="en-US"/>
        </w:rPr>
      </w:pPr>
      <w:r w:rsidRPr="00DA1BE8">
        <w:rPr>
          <w:rFonts w:asciiTheme="minorHAnsi" w:hAnsiTheme="minorHAnsi"/>
          <w:sz w:val="22"/>
          <w:szCs w:val="22"/>
          <w:lang w:val="en-GB" w:eastAsia="en-US"/>
        </w:rPr>
        <w:t xml:space="preserve">Furthermore, external developments continue to exert pressure on the domestic policy environment. Although the direct uncertainty arising from the Middle East conflict has eased somewhat from its January peak, the lingering effects of global energy market volatility and supply chain disruptions continue to influence Nigeria's macroeconomic outlook, especially through inflation expectations and fiscal management challenges. </w:t>
      </w:r>
    </w:p>
    <w:p w14:paraId="58B90070" w14:textId="4EB93A24" w:rsidR="00EC6438" w:rsidRPr="00226279" w:rsidRDefault="00DA1BE8" w:rsidP="00DA1BE8">
      <w:pPr>
        <w:spacing w:after="160" w:line="259" w:lineRule="auto"/>
        <w:jc w:val="both"/>
        <w:rPr>
          <w:rFonts w:asciiTheme="minorHAnsi" w:hAnsiTheme="minorHAnsi"/>
          <w:sz w:val="22"/>
          <w:szCs w:val="22"/>
          <w:highlight w:val="green"/>
          <w:lang w:val="en-GB" w:eastAsia="en-US"/>
        </w:rPr>
      </w:pPr>
      <w:r w:rsidRPr="00DA1BE8">
        <w:rPr>
          <w:rFonts w:asciiTheme="minorHAnsi" w:hAnsiTheme="minorHAnsi"/>
          <w:sz w:val="22"/>
          <w:szCs w:val="22"/>
          <w:lang w:val="en-GB" w:eastAsia="en-US"/>
        </w:rPr>
        <w:t>Overall, the latest reading suggests that Nigeria's policy environment remains characterised by persistent uncertainty rather than transitory shocks. The gradual increase in the EPU index over the last three months indicates that concerns have shifted from isolated policy events to broader structural issues, including security challenges, the political transition toward the 2027 elections, and the implementation of ongoing economic reforms. If these uncertainties persist, they could weigh on private investment, business confidence, and medium-term economic planning.</w:t>
      </w:r>
      <w:r w:rsidR="00EC6438" w:rsidRPr="00226279">
        <w:rPr>
          <w:rFonts w:asciiTheme="minorHAnsi" w:hAnsiTheme="minorHAnsi"/>
          <w:sz w:val="22"/>
          <w:szCs w:val="22"/>
          <w:highlight w:val="green"/>
          <w:lang w:val="en-GB" w:eastAsia="en-US"/>
        </w:rPr>
        <w:t xml:space="preserve"> </w:t>
      </w:r>
    </w:p>
    <w:p w14:paraId="76D49AD0" w14:textId="77777777" w:rsidR="00834A7D" w:rsidRPr="00226279" w:rsidRDefault="00834A7D" w:rsidP="0016538D">
      <w:pPr>
        <w:spacing w:after="160" w:line="259" w:lineRule="auto"/>
        <w:jc w:val="both"/>
        <w:rPr>
          <w:rFonts w:asciiTheme="minorHAnsi" w:hAnsiTheme="minorHAnsi"/>
          <w:sz w:val="22"/>
          <w:szCs w:val="22"/>
          <w:highlight w:val="green"/>
          <w:lang w:val="en-GB" w:eastAsia="en-US"/>
        </w:rPr>
      </w:pPr>
    </w:p>
    <w:p w14:paraId="1A714696" w14:textId="603B85E9" w:rsidR="00D55E8A" w:rsidRPr="00984583" w:rsidRDefault="00D55E8A" w:rsidP="0016538D">
      <w:pPr>
        <w:pStyle w:val="Heading1"/>
        <w:rPr>
          <w:b/>
          <w:bCs/>
          <w:lang w:val="en-GB"/>
        </w:rPr>
      </w:pPr>
      <w:r w:rsidRPr="00984583">
        <w:rPr>
          <w:b/>
          <w:bCs/>
          <w:lang w:val="en-GB"/>
        </w:rPr>
        <w:t xml:space="preserve">Price </w:t>
      </w:r>
      <w:r w:rsidR="00723EF9" w:rsidRPr="00984583">
        <w:rPr>
          <w:b/>
          <w:bCs/>
          <w:lang w:val="en-GB"/>
        </w:rPr>
        <w:t>Update</w:t>
      </w:r>
    </w:p>
    <w:p w14:paraId="3D0CF163" w14:textId="77777777" w:rsidR="001E6AD8" w:rsidRDefault="001E6AD8" w:rsidP="001E6AD8">
      <w:pPr>
        <w:jc w:val="both"/>
        <w:rPr>
          <w:rFonts w:ascii="Calibri" w:hAnsi="Calibri" w:cs="Calibri"/>
          <w:sz w:val="22"/>
          <w:szCs w:val="22"/>
          <w:lang w:val="en-GB"/>
        </w:rPr>
      </w:pPr>
      <w:r>
        <w:rPr>
          <w:rFonts w:ascii="Calibri" w:hAnsi="Calibri" w:cs="Calibri"/>
          <w:sz w:val="22"/>
          <w:szCs w:val="22"/>
          <w:lang w:val="en-GB"/>
        </w:rPr>
        <w:t xml:space="preserve">Nigeria's headline inflation rate increased marginally to 15.93 per cent year-on-year in May 2026 from 15.69 per cent in April 2026, reflecting sustained price pressures across the economy. The Consumer Price Index (CPI) rose to 140.7 points from 138.3 points in the preceding month, indicating a 2.4-point increase in the general price level. However, on a month-on-month basis, headline inflation moderated further to 1.75 per cent, compared with 2.13 per cent recorded in April, suggesting that although prices continued to rise, the pace of increase slowed during the month. Compared with 26.06 per cent recorded in May 2025, headline inflation remained </w:t>
      </w:r>
      <w:r>
        <w:rPr>
          <w:rFonts w:ascii="Calibri" w:hAnsi="Calibri" w:cs="Calibri"/>
          <w:sz w:val="22"/>
          <w:szCs w:val="22"/>
          <w:lang w:val="en-GB"/>
        </w:rPr>
        <w:lastRenderedPageBreak/>
        <w:t>substantially lower, reflecting the combined effects of the rebased inflation methodology, relative exchange rate stability and favourable base effects.</w:t>
      </w:r>
    </w:p>
    <w:p w14:paraId="349548A5" w14:textId="77777777" w:rsidR="001E6AD8" w:rsidRDefault="001E6AD8" w:rsidP="001E6AD8">
      <w:pPr>
        <w:jc w:val="both"/>
        <w:rPr>
          <w:rFonts w:ascii="Calibri" w:hAnsi="Calibri" w:cs="Calibri"/>
          <w:sz w:val="22"/>
          <w:szCs w:val="22"/>
          <w:lang w:val="en-GB"/>
        </w:rPr>
      </w:pPr>
    </w:p>
    <w:p w14:paraId="5E10A813" w14:textId="1F0042F0" w:rsidR="001E6AD8" w:rsidRDefault="001E6AD8" w:rsidP="001E6AD8">
      <w:pPr>
        <w:spacing w:after="160" w:line="259" w:lineRule="auto"/>
        <w:jc w:val="both"/>
        <w:rPr>
          <w:rFonts w:ascii="Calibri" w:hAnsi="Calibri"/>
          <w:i/>
          <w:iCs/>
          <w:color w:val="2F5496"/>
          <w:sz w:val="20"/>
          <w:szCs w:val="18"/>
          <w:lang w:val="en-GB"/>
        </w:rPr>
      </w:pPr>
      <w:r>
        <w:rPr>
          <w:rFonts w:ascii="Calibri" w:hAnsi="Calibri"/>
          <w:i/>
          <w:iCs/>
          <w:color w:val="2F5496"/>
          <w:sz w:val="20"/>
          <w:szCs w:val="18"/>
        </w:rPr>
        <w:t xml:space="preserve">Figure </w:t>
      </w:r>
      <w:r w:rsidR="00984583">
        <w:rPr>
          <w:rFonts w:ascii="Calibri" w:hAnsi="Calibri"/>
          <w:i/>
          <w:iCs/>
          <w:color w:val="2F5496"/>
          <w:sz w:val="20"/>
          <w:szCs w:val="18"/>
          <w:lang w:val="en-GB"/>
        </w:rPr>
        <w:t>5</w:t>
      </w:r>
      <w:r>
        <w:rPr>
          <w:rFonts w:ascii="Calibri" w:hAnsi="Calibri"/>
          <w:i/>
          <w:iCs/>
          <w:color w:val="2F5496"/>
          <w:sz w:val="20"/>
          <w:szCs w:val="18"/>
        </w:rPr>
        <w:t xml:space="preserve">: </w:t>
      </w:r>
      <w:r>
        <w:rPr>
          <w:rFonts w:ascii="Calibri" w:hAnsi="Calibri"/>
          <w:i/>
          <w:iCs/>
          <w:color w:val="2F5496"/>
          <w:sz w:val="20"/>
          <w:szCs w:val="18"/>
          <w:lang w:val="en-GB"/>
        </w:rPr>
        <w:t xml:space="preserve">Year-on-Year Headline, Food and Core Inflation in Nigeria (Apr. 2025 – </w:t>
      </w:r>
      <w:r w:rsidR="001406B4">
        <w:rPr>
          <w:rFonts w:ascii="Calibri" w:hAnsi="Calibri"/>
          <w:i/>
          <w:iCs/>
          <w:color w:val="2F5496"/>
          <w:sz w:val="20"/>
          <w:szCs w:val="18"/>
          <w:lang w:val="en-GB"/>
        </w:rPr>
        <w:t>May</w:t>
      </w:r>
      <w:bookmarkStart w:id="2" w:name="_GoBack"/>
      <w:bookmarkEnd w:id="2"/>
      <w:r>
        <w:rPr>
          <w:rFonts w:ascii="Calibri" w:hAnsi="Calibri"/>
          <w:i/>
          <w:iCs/>
          <w:color w:val="2F5496"/>
          <w:sz w:val="20"/>
          <w:szCs w:val="18"/>
          <w:lang w:val="en-GB"/>
        </w:rPr>
        <w:t>. 2026)</w:t>
      </w:r>
    </w:p>
    <w:p w14:paraId="400CBB57" w14:textId="77777777" w:rsidR="001E6AD8" w:rsidRDefault="001E6AD8" w:rsidP="001E6AD8">
      <w:pPr>
        <w:jc w:val="both"/>
        <w:rPr>
          <w:rFonts w:ascii="Calibri" w:hAnsi="Calibri" w:cs="Calibri"/>
          <w:lang w:val="en-GB"/>
        </w:rPr>
      </w:pPr>
      <w:r>
        <w:rPr>
          <w:noProof/>
        </w:rPr>
        <w:drawing>
          <wp:inline distT="0" distB="0" distL="114300" distR="114300" wp14:anchorId="72BBA56D" wp14:editId="23C643BB">
            <wp:extent cx="2962910" cy="2096135"/>
            <wp:effectExtent l="0" t="0" r="889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8"/>
                    <a:stretch>
                      <a:fillRect/>
                    </a:stretch>
                  </pic:blipFill>
                  <pic:spPr>
                    <a:xfrm>
                      <a:off x="0" y="0"/>
                      <a:ext cx="2962910" cy="2096135"/>
                    </a:xfrm>
                    <a:prstGeom prst="rect">
                      <a:avLst/>
                    </a:prstGeom>
                    <a:noFill/>
                    <a:ln>
                      <a:noFill/>
                    </a:ln>
                  </pic:spPr>
                </pic:pic>
              </a:graphicData>
            </a:graphic>
          </wp:inline>
        </w:drawing>
      </w:r>
    </w:p>
    <w:p w14:paraId="437BDBA9" w14:textId="77777777" w:rsidR="001E6AD8" w:rsidRDefault="001E6AD8" w:rsidP="001E6AD8">
      <w:pPr>
        <w:jc w:val="both"/>
        <w:rPr>
          <w:rFonts w:ascii="Calibri" w:hAnsi="Calibri" w:cs="Calibri"/>
          <w:color w:val="2F5496"/>
          <w:sz w:val="18"/>
          <w:szCs w:val="16"/>
        </w:rPr>
      </w:pPr>
      <w:r>
        <w:rPr>
          <w:rFonts w:ascii="Calibri" w:hAnsi="Calibri" w:cs="Calibri"/>
          <w:b/>
          <w:bCs/>
          <w:color w:val="2F5496"/>
          <w:sz w:val="18"/>
          <w:szCs w:val="16"/>
        </w:rPr>
        <w:t xml:space="preserve">Source: </w:t>
      </w:r>
      <w:r>
        <w:rPr>
          <w:rFonts w:ascii="Calibri" w:hAnsi="Calibri" w:cs="Calibri"/>
          <w:color w:val="2F5496"/>
          <w:sz w:val="18"/>
          <w:szCs w:val="16"/>
        </w:rPr>
        <w:t>National Bureau of Statistics (NBS)</w:t>
      </w:r>
    </w:p>
    <w:p w14:paraId="01A6C12F" w14:textId="77777777" w:rsidR="001E6AD8" w:rsidRDefault="001E6AD8" w:rsidP="001E6AD8">
      <w:pPr>
        <w:jc w:val="both"/>
        <w:rPr>
          <w:rFonts w:ascii="Calibri" w:hAnsi="Calibri" w:cs="Calibri"/>
          <w:color w:val="2F5496"/>
          <w:sz w:val="8"/>
          <w:szCs w:val="6"/>
          <w:lang w:val="en-GB"/>
        </w:rPr>
      </w:pPr>
    </w:p>
    <w:p w14:paraId="754DD2EE" w14:textId="77777777" w:rsidR="001E6AD8" w:rsidRDefault="001E6AD8" w:rsidP="001E6AD8">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Food inflation moderated further during the review period. Year-on-year food inflation eased to 16.96 per cent in May 2026 from 24.55 per cent in the corresponding period of 2025, while month-on-month food inflation declined to 2.98 per cent from 3.63 per cent in April. The moderation reflected improved supply conditions for some agricultural commodities, notwithstanding continued increases in the prices of key food items, including fresh onions, maize, </w:t>
      </w:r>
      <w:proofErr w:type="spellStart"/>
      <w:r>
        <w:rPr>
          <w:rFonts w:ascii="Calibri" w:hAnsi="Calibri" w:cs="Calibri"/>
          <w:sz w:val="22"/>
          <w:szCs w:val="22"/>
          <w:lang w:val="en-GB" w:eastAsia="en-US"/>
        </w:rPr>
        <w:t>egusi</w:t>
      </w:r>
      <w:proofErr w:type="spellEnd"/>
      <w:r>
        <w:rPr>
          <w:rFonts w:ascii="Calibri" w:hAnsi="Calibri" w:cs="Calibri"/>
          <w:sz w:val="22"/>
          <w:szCs w:val="22"/>
          <w:lang w:val="en-GB" w:eastAsia="en-US"/>
        </w:rPr>
        <w:t>, water yam, cassava flour, crayfish, fresh pepper, tomatoes, wheat grain, yam tubers, sweet potatoes, ginger, plantain and cowpea. Consistent with this trend, the twelve-month average food inflation rate declined significantly to 16.99 per cent, compared with 33.21 per cent recorded a year earlier, indicating a broad easing in food price pressures.</w:t>
      </w:r>
    </w:p>
    <w:p w14:paraId="45A1F0C5" w14:textId="77777777" w:rsidR="001E6AD8" w:rsidRDefault="001E6AD8" w:rsidP="001E6AD8">
      <w:pPr>
        <w:spacing w:after="160" w:line="259" w:lineRule="auto"/>
        <w:jc w:val="both"/>
        <w:rPr>
          <w:rFonts w:ascii="Calibri" w:hAnsi="Calibri" w:cs="Calibri"/>
          <w:sz w:val="22"/>
          <w:szCs w:val="22"/>
          <w:lang w:val="en-GB" w:eastAsia="en-US"/>
        </w:rPr>
      </w:pPr>
      <w:r>
        <w:rPr>
          <w:rFonts w:ascii="Calibri" w:hAnsi="Calibri" w:cs="Calibri"/>
          <w:sz w:val="22"/>
          <w:szCs w:val="22"/>
          <w:lang w:val="en-GB" w:eastAsia="en-US"/>
        </w:rPr>
        <w:t xml:space="preserve">Core inflation, which excludes volatile agricultural produce and energy prices, remained relatively elevated, highlighting persistent underlying inflationary pressures. On a year-on-year basis, core inflation stood at 16.82 per cent in May 2026, significantly lower than the 24.92 per cent recorded in May 2025. However, on a month-on-month basis, core inflation accelerated to 1.94 per cent from 1.03 per cent in April, suggesting </w:t>
      </w:r>
      <w:r>
        <w:rPr>
          <w:rFonts w:ascii="Calibri" w:hAnsi="Calibri" w:cs="Calibri"/>
          <w:sz w:val="22"/>
          <w:szCs w:val="22"/>
          <w:lang w:val="en-GB" w:eastAsia="en-US"/>
        </w:rPr>
        <w:t>renewed price pressures across non-food components, particularly services and consumer goods. Nevertheless, the twelve-month average core inflation rate moderated to 19.59 per cent, compared with 27.05 per cent in the corresponding period of 2025, indicating that medium-term underlying inflationary pressures continued to ease despite the recent monthly uptick.</w:t>
      </w:r>
    </w:p>
    <w:p w14:paraId="0BE531FE" w14:textId="18C0FC16" w:rsidR="001E6AD8" w:rsidRPr="00984583" w:rsidRDefault="001E6AD8" w:rsidP="001E6AD8">
      <w:pPr>
        <w:spacing w:after="160" w:line="259" w:lineRule="auto"/>
        <w:jc w:val="both"/>
        <w:rPr>
          <w:rFonts w:asciiTheme="minorHAnsi" w:hAnsiTheme="minorHAnsi"/>
          <w:sz w:val="22"/>
          <w:szCs w:val="22"/>
          <w:lang w:val="en-GB" w:eastAsia="en-US"/>
        </w:rPr>
      </w:pPr>
      <w:r>
        <w:rPr>
          <w:rFonts w:asciiTheme="minorHAnsi" w:hAnsiTheme="minorHAnsi"/>
          <w:sz w:val="22"/>
          <w:szCs w:val="22"/>
          <w:lang w:val="en-GB" w:eastAsia="en-US"/>
        </w:rPr>
        <w:t>Overall, the May 2026 (month-on-month) inflation outturn suggests that Nigeria's disinflation process remains broadly on track, notwithstanding the marginal increase in annual headline inflation. The continued moderation in month-on-month headline and food inflation, together with the sustained decline in twelve-month average inflation measures, points to improving price stability. However, the rebound in monthly core inflation indicates that underlying inflationary pressures remain elevated, underscoring the need for continued monetary policy vigilance alongside complementary fiscal and structural measures aimed at strengthening domestic supply, improving food security and sustaining exchange rate stability.</w:t>
      </w:r>
    </w:p>
    <w:p w14:paraId="1FC6FE72" w14:textId="77777777" w:rsidR="003D1357" w:rsidRPr="00226279" w:rsidRDefault="003D1357" w:rsidP="0016538D">
      <w:pPr>
        <w:spacing w:after="160" w:line="259" w:lineRule="auto"/>
        <w:jc w:val="both"/>
        <w:rPr>
          <w:rFonts w:asciiTheme="minorHAnsi" w:hAnsiTheme="minorHAnsi"/>
          <w:sz w:val="22"/>
          <w:szCs w:val="22"/>
          <w:highlight w:val="green"/>
          <w:lang w:val="en-GB" w:eastAsia="en-US"/>
        </w:rPr>
      </w:pPr>
    </w:p>
    <w:p w14:paraId="1357B234" w14:textId="7B3DB9C3" w:rsidR="00C2328C" w:rsidRPr="00984583" w:rsidRDefault="00C2328C" w:rsidP="0016538D">
      <w:pPr>
        <w:pStyle w:val="Heading1"/>
        <w:rPr>
          <w:b/>
          <w:bCs/>
          <w:lang w:val="en-GB"/>
        </w:rPr>
      </w:pPr>
      <w:r w:rsidRPr="00984583">
        <w:rPr>
          <w:b/>
          <w:bCs/>
          <w:lang w:val="en-GB"/>
        </w:rPr>
        <w:t>Fiscal Operations Update</w:t>
      </w:r>
    </w:p>
    <w:p w14:paraId="0409A1FA" w14:textId="77777777" w:rsidR="00984583" w:rsidRDefault="00984583" w:rsidP="00984583">
      <w:pPr>
        <w:spacing w:after="160" w:line="259" w:lineRule="auto"/>
        <w:jc w:val="both"/>
        <w:rPr>
          <w:rFonts w:asciiTheme="minorHAnsi" w:hAnsiTheme="minorHAnsi"/>
          <w:sz w:val="22"/>
          <w:szCs w:val="22"/>
          <w:lang w:val="en-GB" w:eastAsia="en-US"/>
        </w:rPr>
      </w:pPr>
      <w:r>
        <w:rPr>
          <w:rFonts w:asciiTheme="minorHAnsi" w:hAnsiTheme="minorHAnsi"/>
          <w:sz w:val="22"/>
          <w:szCs w:val="22"/>
          <w:lang w:val="en-GB" w:eastAsia="en-US"/>
        </w:rPr>
        <w:t>Nigeria’s Fiscal operations remained robust during the review period, supported by resilient revenue performance despite mixed outturns across the major revenue sources. Higher collections from petroleum-related taxes and corporate income tax offset weaker receipts from consumption-based taxes and customs duties, resulting in a further improvement in distributable federation revenue. The sustained growth in revenue reflects the continued benefits of ongoing fiscal reforms, improved revenue administration and favourable performance in the hydrocarbon sector.</w:t>
      </w:r>
    </w:p>
    <w:p w14:paraId="0097B83C" w14:textId="77777777" w:rsidR="00984583" w:rsidRDefault="00984583" w:rsidP="00984583">
      <w:pPr>
        <w:spacing w:after="160" w:line="259" w:lineRule="auto"/>
        <w:jc w:val="both"/>
        <w:rPr>
          <w:rFonts w:asciiTheme="minorHAnsi" w:hAnsiTheme="minorHAnsi"/>
          <w:sz w:val="22"/>
          <w:szCs w:val="22"/>
          <w:lang w:val="en-GB" w:eastAsia="en-US"/>
        </w:rPr>
      </w:pPr>
      <w:r>
        <w:rPr>
          <w:rFonts w:asciiTheme="minorHAnsi" w:hAnsiTheme="minorHAnsi"/>
          <w:sz w:val="22"/>
          <w:szCs w:val="22"/>
          <w:lang w:val="en-GB" w:eastAsia="en-US"/>
        </w:rPr>
        <w:t xml:space="preserve">The Federation Account Allocation Committee (FAAC) distributed ₦2.300 trillion to the three tiers of government from May 2026 revenue, representing an increase of ₦43.0 billion, or 1.9 per cent, above the ₦2.257 trillion shared in the preceding month. The increase extended the </w:t>
      </w:r>
      <w:r>
        <w:rPr>
          <w:rFonts w:asciiTheme="minorHAnsi" w:hAnsiTheme="minorHAnsi"/>
          <w:sz w:val="22"/>
          <w:szCs w:val="22"/>
          <w:lang w:val="en-GB" w:eastAsia="en-US"/>
        </w:rPr>
        <w:lastRenderedPageBreak/>
        <w:t>upward trajectory in federation allocations, thereby providing additional fiscal resources to support government expenditure at the federal, state and local government levels.</w:t>
      </w:r>
    </w:p>
    <w:p w14:paraId="5783830D" w14:textId="77777777" w:rsidR="00984583" w:rsidRDefault="00984583" w:rsidP="00984583">
      <w:pPr>
        <w:spacing w:after="160" w:line="259" w:lineRule="auto"/>
        <w:jc w:val="both"/>
        <w:rPr>
          <w:rFonts w:asciiTheme="minorHAnsi" w:hAnsiTheme="minorHAnsi"/>
          <w:sz w:val="22"/>
          <w:szCs w:val="22"/>
          <w:lang w:val="en-GB" w:eastAsia="en-US"/>
        </w:rPr>
      </w:pPr>
      <w:r>
        <w:rPr>
          <w:rFonts w:asciiTheme="minorHAnsi" w:hAnsiTheme="minorHAnsi"/>
          <w:sz w:val="22"/>
          <w:szCs w:val="22"/>
          <w:lang w:val="en-GB" w:eastAsia="en-US"/>
        </w:rPr>
        <w:t>Of the total distributable revenue, the Federal Government received ₦818.680 billion, representing 35.6 per cent of the total allocation, while the 36 state governments received ₦759.141 billion or 33.0 per cent. The 774 Local Government Councils received ₦534.277 billion, accounting for 23.2 per cent, while the oil-producing states received ₦188.132 billion as 13 per cent derivation revenue, representing 8.2 per cent of the distributable pool.</w:t>
      </w:r>
    </w:p>
    <w:p w14:paraId="6B477ED6" w14:textId="393AC6C8" w:rsidR="00984583" w:rsidRDefault="00984583" w:rsidP="00984583">
      <w:pPr>
        <w:spacing w:after="160" w:line="259" w:lineRule="auto"/>
        <w:jc w:val="both"/>
        <w:rPr>
          <w:rFonts w:asciiTheme="minorHAnsi" w:hAnsiTheme="minorHAnsi"/>
          <w:sz w:val="22"/>
          <w:szCs w:val="22"/>
          <w:lang w:val="en-GB" w:eastAsia="en-US"/>
        </w:rPr>
      </w:pPr>
      <w:r>
        <w:rPr>
          <w:rFonts w:ascii="Calibri" w:hAnsi="Calibri"/>
          <w:i/>
          <w:iCs/>
          <w:color w:val="2F5496"/>
          <w:sz w:val="20"/>
          <w:szCs w:val="18"/>
        </w:rPr>
        <w:t xml:space="preserve">Figure </w:t>
      </w:r>
      <w:r>
        <w:rPr>
          <w:rFonts w:ascii="Calibri" w:hAnsi="Calibri"/>
          <w:i/>
          <w:iCs/>
          <w:color w:val="2F5496"/>
          <w:sz w:val="20"/>
          <w:szCs w:val="18"/>
          <w:lang w:val="en-GB"/>
        </w:rPr>
        <w:t>6</w:t>
      </w:r>
      <w:r>
        <w:rPr>
          <w:rFonts w:ascii="Calibri" w:hAnsi="Calibri"/>
          <w:i/>
          <w:iCs/>
          <w:color w:val="2F5496"/>
          <w:sz w:val="20"/>
          <w:szCs w:val="18"/>
        </w:rPr>
        <w:t xml:space="preserve">: </w:t>
      </w:r>
      <w:r>
        <w:rPr>
          <w:rFonts w:ascii="Calibri" w:hAnsi="Calibri"/>
          <w:i/>
          <w:iCs/>
          <w:color w:val="2F5496"/>
          <w:sz w:val="20"/>
          <w:szCs w:val="18"/>
          <w:lang w:val="en-GB"/>
        </w:rPr>
        <w:t>Total Distributable Revenue (Jan – May. 2026)</w:t>
      </w:r>
    </w:p>
    <w:p w14:paraId="30D9B960" w14:textId="77777777" w:rsidR="00984583" w:rsidRDefault="00984583" w:rsidP="00984583">
      <w:pPr>
        <w:spacing w:after="160" w:line="259" w:lineRule="auto"/>
        <w:jc w:val="both"/>
        <w:rPr>
          <w:rFonts w:asciiTheme="minorHAnsi" w:hAnsiTheme="minorHAnsi"/>
          <w:sz w:val="22"/>
          <w:szCs w:val="22"/>
          <w:lang w:val="en-GB" w:eastAsia="en-US"/>
        </w:rPr>
      </w:pPr>
      <w:r>
        <w:rPr>
          <w:noProof/>
        </w:rPr>
        <w:drawing>
          <wp:inline distT="0" distB="0" distL="114300" distR="114300" wp14:anchorId="42450AEC" wp14:editId="6DC0CD95">
            <wp:extent cx="3007360" cy="1807845"/>
            <wp:effectExtent l="0" t="0" r="2540" b="825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9"/>
                    <a:stretch>
                      <a:fillRect/>
                    </a:stretch>
                  </pic:blipFill>
                  <pic:spPr>
                    <a:xfrm>
                      <a:off x="0" y="0"/>
                      <a:ext cx="3007360" cy="1807845"/>
                    </a:xfrm>
                    <a:prstGeom prst="rect">
                      <a:avLst/>
                    </a:prstGeom>
                    <a:noFill/>
                    <a:ln>
                      <a:noFill/>
                    </a:ln>
                  </pic:spPr>
                </pic:pic>
              </a:graphicData>
            </a:graphic>
          </wp:inline>
        </w:drawing>
      </w:r>
    </w:p>
    <w:p w14:paraId="2BA9656D" w14:textId="77777777" w:rsidR="00984583" w:rsidRDefault="00984583" w:rsidP="00984583">
      <w:pPr>
        <w:jc w:val="both"/>
        <w:rPr>
          <w:rFonts w:asciiTheme="minorHAnsi" w:hAnsiTheme="minorHAnsi"/>
          <w:sz w:val="22"/>
          <w:szCs w:val="22"/>
          <w:lang w:val="en-GB" w:eastAsia="en-US"/>
        </w:rPr>
      </w:pPr>
      <w:r>
        <w:rPr>
          <w:rFonts w:ascii="Calibri" w:hAnsi="Calibri" w:cs="Calibri"/>
          <w:b/>
          <w:bCs/>
          <w:color w:val="2F5496"/>
          <w:sz w:val="18"/>
          <w:szCs w:val="16"/>
        </w:rPr>
        <w:t xml:space="preserve">Source: </w:t>
      </w:r>
      <w:r>
        <w:rPr>
          <w:rFonts w:ascii="Calibri" w:hAnsi="Calibri" w:cs="Calibri"/>
          <w:b/>
          <w:bCs/>
          <w:color w:val="2F5496"/>
          <w:sz w:val="18"/>
          <w:szCs w:val="16"/>
          <w:lang w:val="en-GB"/>
        </w:rPr>
        <w:t>FAAC</w:t>
      </w:r>
    </w:p>
    <w:p w14:paraId="1CA4E05D" w14:textId="77777777" w:rsidR="00984583" w:rsidRDefault="00984583" w:rsidP="00984583">
      <w:pPr>
        <w:spacing w:after="160" w:line="259" w:lineRule="auto"/>
        <w:jc w:val="both"/>
        <w:rPr>
          <w:rFonts w:asciiTheme="minorHAnsi" w:hAnsiTheme="minorHAnsi"/>
          <w:sz w:val="22"/>
          <w:szCs w:val="22"/>
          <w:lang w:val="en-GB" w:eastAsia="en-US"/>
        </w:rPr>
      </w:pPr>
      <w:r>
        <w:rPr>
          <w:rFonts w:asciiTheme="minorHAnsi" w:hAnsiTheme="minorHAnsi"/>
          <w:sz w:val="22"/>
          <w:szCs w:val="22"/>
          <w:lang w:val="en-GB" w:eastAsia="en-US"/>
        </w:rPr>
        <w:t>The improved revenue performance was largely driven by stronger statutory revenue arising from increased collections of Companies Income Tax (CIT), Petroleum Profits Tax (PPT), Hydrocarbon Tax and oil and gas royalties, which more than compensated for the decline in Value Added Tax (VAT), import duties and excise duties during the period. The increase in petroleum-related revenues underscores the continued importance of the hydrocarbon sector in supporting government finances, while the growth in corporate tax collections suggests improving profitability and compliance within the formal sector.</w:t>
      </w:r>
    </w:p>
    <w:p w14:paraId="7C401A7C" w14:textId="77777777" w:rsidR="00984583" w:rsidRDefault="00984583" w:rsidP="00984583">
      <w:pPr>
        <w:spacing w:after="160" w:line="259" w:lineRule="auto"/>
        <w:jc w:val="both"/>
        <w:rPr>
          <w:rFonts w:asciiTheme="majorHAnsi" w:eastAsiaTheme="majorEastAsia" w:hAnsiTheme="majorHAnsi" w:cstheme="majorBidi"/>
          <w:b/>
          <w:bCs/>
          <w:sz w:val="32"/>
          <w:szCs w:val="32"/>
          <w:lang w:val="en-GB" w:eastAsia="en-US"/>
        </w:rPr>
      </w:pPr>
      <w:r>
        <w:rPr>
          <w:rFonts w:asciiTheme="minorHAnsi" w:hAnsiTheme="minorHAnsi"/>
          <w:sz w:val="22"/>
          <w:szCs w:val="22"/>
          <w:lang w:val="en-GB" w:eastAsia="en-US"/>
        </w:rPr>
        <w:t xml:space="preserve">Looking ahead, the fiscal outlook remains cautiously positive, supported by ongoing tax administration reforms, improved non-oil revenue mobilisation efforts and relatively resilient hydrocarbon receipts. Nevertheless, downside </w:t>
      </w:r>
      <w:r>
        <w:rPr>
          <w:rFonts w:asciiTheme="minorHAnsi" w:hAnsiTheme="minorHAnsi"/>
          <w:sz w:val="22"/>
          <w:szCs w:val="22"/>
          <w:lang w:val="en-GB" w:eastAsia="en-US"/>
        </w:rPr>
        <w:t>risks remain, including volatility in international crude oil prices, lower consumption-related tax collections, global economic uncertainty and the continued need to strengthen domestic revenue mobilisation to reduce fiscal vulnerabilities. Sustaining fiscal resilience will require continued improvements in revenue administration, enhanced tax compliance, prudent expenditure management and accelerated implementation of fiscal and structural reforms to broaden the revenue base and strengthen public finances.</w:t>
      </w:r>
    </w:p>
    <w:p w14:paraId="0A0C57DE" w14:textId="16939407" w:rsidR="00A3706B" w:rsidRPr="00226279" w:rsidRDefault="00A3706B" w:rsidP="0016538D">
      <w:pPr>
        <w:spacing w:after="160" w:line="259" w:lineRule="auto"/>
        <w:jc w:val="both"/>
        <w:rPr>
          <w:rFonts w:asciiTheme="minorHAnsi" w:hAnsiTheme="minorHAnsi"/>
          <w:sz w:val="22"/>
          <w:szCs w:val="22"/>
          <w:highlight w:val="green"/>
          <w:lang w:val="en-GB" w:eastAsia="en-US"/>
        </w:rPr>
      </w:pPr>
    </w:p>
    <w:p w14:paraId="5B2F7A19" w14:textId="77777777" w:rsidR="00103DF0" w:rsidRPr="00984583" w:rsidRDefault="00103DF0" w:rsidP="0016538D">
      <w:pPr>
        <w:pStyle w:val="Heading1"/>
        <w:rPr>
          <w:rFonts w:asciiTheme="minorHAnsi" w:hAnsiTheme="minorHAnsi"/>
          <w:b/>
          <w:bCs/>
          <w:sz w:val="22"/>
          <w:szCs w:val="22"/>
          <w:lang w:val="en-GB"/>
        </w:rPr>
      </w:pPr>
      <w:r w:rsidRPr="00984583">
        <w:rPr>
          <w:b/>
          <w:bCs/>
          <w:lang w:val="en-GB"/>
        </w:rPr>
        <w:t>Conclusion</w:t>
      </w:r>
    </w:p>
    <w:p w14:paraId="01F64DCC" w14:textId="77777777" w:rsidR="00CF72D1" w:rsidRPr="00CF72D1" w:rsidRDefault="00CF72D1" w:rsidP="00CF72D1">
      <w:pPr>
        <w:spacing w:after="160" w:line="259" w:lineRule="auto"/>
        <w:jc w:val="both"/>
        <w:rPr>
          <w:rFonts w:asciiTheme="minorHAnsi" w:hAnsiTheme="minorHAnsi"/>
          <w:sz w:val="22"/>
          <w:szCs w:val="22"/>
          <w:lang w:val="en-GB" w:eastAsia="en-US"/>
        </w:rPr>
      </w:pPr>
      <w:r w:rsidRPr="00CF72D1">
        <w:rPr>
          <w:rFonts w:asciiTheme="minorHAnsi" w:hAnsiTheme="minorHAnsi"/>
          <w:sz w:val="22"/>
          <w:szCs w:val="22"/>
          <w:lang w:val="en-GB" w:eastAsia="en-US"/>
        </w:rPr>
        <w:t xml:space="preserve">The global economy remained resilient during the first half of 2026, but the operating environment became increasingly complex and uncertain. While global growth has continued at a moderate pace, the outlook remains constrained by geopolitical tensions, elevated policy uncertainty, tighter financial conditions, and the ongoing reconfiguration of global trade and investment patterns. Although the June ceasefire agreement between the United States and Iran helped reduce immediate risks to global energy markets and improved investor sentiment, downside risks continue to stem from potential geopolitical flare-ups, commodity price volatility, and persistent inflationary pressures. </w:t>
      </w:r>
    </w:p>
    <w:p w14:paraId="61133FDB" w14:textId="77777777" w:rsidR="00CF72D1" w:rsidRPr="00CF72D1" w:rsidRDefault="00CF72D1" w:rsidP="00CF72D1">
      <w:pPr>
        <w:spacing w:after="160" w:line="259" w:lineRule="auto"/>
        <w:jc w:val="both"/>
        <w:rPr>
          <w:rFonts w:asciiTheme="minorHAnsi" w:hAnsiTheme="minorHAnsi"/>
          <w:sz w:val="22"/>
          <w:szCs w:val="22"/>
          <w:lang w:val="en-GB" w:eastAsia="en-US"/>
        </w:rPr>
      </w:pPr>
      <w:r w:rsidRPr="00CF72D1">
        <w:rPr>
          <w:rFonts w:asciiTheme="minorHAnsi" w:hAnsiTheme="minorHAnsi"/>
          <w:sz w:val="22"/>
          <w:szCs w:val="22"/>
          <w:lang w:val="en-GB" w:eastAsia="en-US"/>
        </w:rPr>
        <w:t>Against this backdrop, Nigeria has made notable progress in restoring macroeconomic stability. The combination of sustained monetary policy tightening, foreign exchange market reforms, improved fiscal management, and strengthening investor confidence has contributed to greater stability in financial markets and improved external sector conditions. Enhanced FX liquidity and gradual improvements in policy credibility have helped support economic activity despite a challenging global environment. However, the persistence of elevated economic policy uncertainty indicates that the economy remains vulnerable to external shocks, particularly those arising from fluctuations in global oil prices, changing investor risk appetite, and evolving international financial conditions.</w:t>
      </w:r>
    </w:p>
    <w:p w14:paraId="3A85AFF8" w14:textId="77777777" w:rsidR="00CF72D1" w:rsidRPr="00CF72D1" w:rsidRDefault="00CF72D1" w:rsidP="00CF72D1">
      <w:pPr>
        <w:spacing w:after="160" w:line="259" w:lineRule="auto"/>
        <w:jc w:val="both"/>
        <w:rPr>
          <w:rFonts w:asciiTheme="minorHAnsi" w:hAnsiTheme="minorHAnsi"/>
          <w:sz w:val="22"/>
          <w:szCs w:val="22"/>
          <w:lang w:val="en-GB" w:eastAsia="en-US"/>
        </w:rPr>
      </w:pPr>
      <w:r w:rsidRPr="00CF72D1">
        <w:rPr>
          <w:rFonts w:asciiTheme="minorHAnsi" w:hAnsiTheme="minorHAnsi"/>
          <w:sz w:val="22"/>
          <w:szCs w:val="22"/>
          <w:lang w:val="en-GB" w:eastAsia="en-US"/>
        </w:rPr>
        <w:lastRenderedPageBreak/>
        <w:t>Looking ahead, Nigeria’s economic outlook remains cautiously optimistic. Growth is expected to strengthen gradually during the second half of 2026, supported by improvements in foreign exchange market conditions, continued services-sector expansion, recovering investor confidence, and increased economic activity associated with year-end spending. Moderating inflationary pressures and a more stable macroeconomic environment are also expected to provide support for domestic demand and business activity. Nevertheless, the pace of expansion is likely to remain moderate, reflecting the effects of elevated borrowing costs, weak household purchasing power, and persistent structural constraints.</w:t>
      </w:r>
    </w:p>
    <w:p w14:paraId="35BC8DCB" w14:textId="77777777" w:rsidR="00CF72D1" w:rsidRPr="00CF72D1" w:rsidRDefault="00CF72D1" w:rsidP="00CF72D1">
      <w:pPr>
        <w:spacing w:after="160" w:line="259" w:lineRule="auto"/>
        <w:jc w:val="both"/>
        <w:rPr>
          <w:rFonts w:asciiTheme="minorHAnsi" w:hAnsiTheme="minorHAnsi"/>
          <w:sz w:val="22"/>
          <w:szCs w:val="22"/>
          <w:lang w:val="en-GB" w:eastAsia="en-US"/>
        </w:rPr>
      </w:pPr>
      <w:r w:rsidRPr="00CF72D1">
        <w:rPr>
          <w:rFonts w:asciiTheme="minorHAnsi" w:hAnsiTheme="minorHAnsi"/>
          <w:sz w:val="22"/>
          <w:szCs w:val="22"/>
          <w:lang w:val="en-GB" w:eastAsia="en-US"/>
        </w:rPr>
        <w:t>External developments will continue to play a significant role in shaping economic outcomes. While the recent moderation in crude oil prices has reduced immediate global inflationary pressures, continued volatility in commodity markets and uncertainty surrounding global growth prospects present both opportunities and risks for Nigeria. Higher oil prices could strengthen fiscal revenues and external balances, whereas renewed market volatility could adversely affect exchange rates, capital flows, and inflation dynamics. Consequently, maintaining macroeconomic stability will require continued vigilance and effective policy coordination.</w:t>
      </w:r>
    </w:p>
    <w:p w14:paraId="1D987047" w14:textId="77777777" w:rsidR="00CF72D1" w:rsidRPr="00CF72D1" w:rsidRDefault="00CF72D1" w:rsidP="00CF72D1">
      <w:pPr>
        <w:spacing w:after="160" w:line="259" w:lineRule="auto"/>
        <w:jc w:val="both"/>
        <w:rPr>
          <w:rFonts w:asciiTheme="minorHAnsi" w:hAnsiTheme="minorHAnsi"/>
          <w:sz w:val="22"/>
          <w:szCs w:val="22"/>
          <w:lang w:val="en-GB" w:eastAsia="en-US"/>
        </w:rPr>
      </w:pPr>
      <w:r w:rsidRPr="00CF72D1">
        <w:rPr>
          <w:rFonts w:asciiTheme="minorHAnsi" w:hAnsiTheme="minorHAnsi"/>
          <w:sz w:val="22"/>
          <w:szCs w:val="22"/>
          <w:lang w:val="en-GB" w:eastAsia="en-US"/>
        </w:rPr>
        <w:t>Over the medium term, stronger and more inclusive growth will depend on the successful implementation of ongoing structural reforms. Addressing critical infrastructure gaps, improving energy reliability, reducing logistics and transportation costs, strengthening security, and enhancing the business environment remain essential for raising productivity and attracting investment. Continued progress in diversifying the economy, deepening non-oil export capacity, and expanding digital and financial inclusion initiatives will also be critical to building economic resilience.</w:t>
      </w:r>
    </w:p>
    <w:p w14:paraId="7C180ADD" w14:textId="77777777" w:rsidR="00CF72D1" w:rsidRPr="00CF72D1" w:rsidRDefault="00CF72D1" w:rsidP="00CF72D1">
      <w:pPr>
        <w:spacing w:after="160" w:line="259" w:lineRule="auto"/>
        <w:jc w:val="both"/>
        <w:rPr>
          <w:rFonts w:asciiTheme="minorHAnsi" w:hAnsiTheme="minorHAnsi"/>
          <w:sz w:val="22"/>
          <w:szCs w:val="22"/>
          <w:lang w:val="en-GB" w:eastAsia="en-US"/>
        </w:rPr>
      </w:pPr>
      <w:r w:rsidRPr="00CF72D1">
        <w:rPr>
          <w:rFonts w:asciiTheme="minorHAnsi" w:hAnsiTheme="minorHAnsi"/>
          <w:sz w:val="22"/>
          <w:szCs w:val="22"/>
          <w:lang w:val="en-GB" w:eastAsia="en-US"/>
        </w:rPr>
        <w:t xml:space="preserve">Accordingly, policy priorities should focus on preserving gains achieved through recent reforms while accelerating measures that support long-term competitiveness. Sustained monetary and </w:t>
      </w:r>
      <w:r w:rsidRPr="00CF72D1">
        <w:rPr>
          <w:rFonts w:asciiTheme="minorHAnsi" w:hAnsiTheme="minorHAnsi"/>
          <w:sz w:val="22"/>
          <w:szCs w:val="22"/>
          <w:lang w:val="en-GB" w:eastAsia="en-US"/>
        </w:rPr>
        <w:t>exchange-rate discipline, prudent fiscal management, rebuilding fiscal buffers, and targeted investments in infrastructure and human capital will be essential to strengthening growth prospects and reducing vulnerabilities to future shocks.</w:t>
      </w:r>
    </w:p>
    <w:p w14:paraId="0972ACC2" w14:textId="74BF0DF3" w:rsidR="00C2116D" w:rsidRPr="00226279" w:rsidRDefault="00CF72D1" w:rsidP="00CF72D1">
      <w:pPr>
        <w:spacing w:after="160" w:line="259" w:lineRule="auto"/>
        <w:jc w:val="both"/>
        <w:rPr>
          <w:rFonts w:asciiTheme="minorHAnsi" w:hAnsiTheme="minorHAnsi"/>
          <w:sz w:val="22"/>
          <w:szCs w:val="22"/>
          <w:highlight w:val="green"/>
          <w:lang w:val="en-GB" w:eastAsia="en-US"/>
        </w:rPr>
      </w:pPr>
      <w:r w:rsidRPr="00CF72D1">
        <w:rPr>
          <w:rFonts w:asciiTheme="minorHAnsi" w:hAnsiTheme="minorHAnsi"/>
          <w:sz w:val="22"/>
          <w:szCs w:val="22"/>
          <w:lang w:val="en-GB" w:eastAsia="en-US"/>
        </w:rPr>
        <w:t>Overall, Nigeria enters the second half of 2026 from a stronger macroeconomic position than in previous years, supported by improving policy credibility and a more stable economic environment. However, the economy continues to operate within a global landscape characterized by elevated uncertainty and evolving risks. The ability of policymakers to maintain reform momentum, reinforce macroeconomic stability, and translate stabilization gains into broad-based and sustainable economic growth will be crucial in determining the country's medium-term development trajectory.</w:t>
      </w:r>
    </w:p>
    <w:p w14:paraId="11541190" w14:textId="2D921647" w:rsidR="00403DA0" w:rsidRPr="00984583" w:rsidRDefault="00403DA0" w:rsidP="00D9252A">
      <w:pPr>
        <w:pStyle w:val="Heading1"/>
        <w:spacing w:before="0"/>
        <w:rPr>
          <w:sz w:val="28"/>
          <w:szCs w:val="28"/>
          <w:lang w:val="en-GB"/>
        </w:rPr>
      </w:pPr>
      <w:r w:rsidRPr="00984583">
        <w:rPr>
          <w:sz w:val="28"/>
          <w:szCs w:val="28"/>
          <w:lang w:val="en-GB"/>
        </w:rPr>
        <w:t>Country in Focus –</w:t>
      </w:r>
      <w:r w:rsidR="0054205D" w:rsidRPr="00984583">
        <w:rPr>
          <w:sz w:val="28"/>
          <w:szCs w:val="28"/>
          <w:lang w:val="en-GB"/>
        </w:rPr>
        <w:t xml:space="preserve">Republic of </w:t>
      </w:r>
      <w:bookmarkStart w:id="3" w:name="_Hlk234161543"/>
      <w:r w:rsidR="00124B19" w:rsidRPr="00984583">
        <w:rPr>
          <w:sz w:val="28"/>
          <w:szCs w:val="28"/>
          <w:lang w:val="en-GB"/>
        </w:rPr>
        <w:t>Congo DRC</w:t>
      </w:r>
      <w:bookmarkEnd w:id="3"/>
    </w:p>
    <w:p w14:paraId="61326C3F" w14:textId="5FF1938B" w:rsidR="00403DA0" w:rsidRPr="00984583" w:rsidRDefault="00403DA0" w:rsidP="00FB3ED1">
      <w:pPr>
        <w:spacing w:after="160" w:line="259" w:lineRule="auto"/>
        <w:jc w:val="both"/>
        <w:rPr>
          <w:rFonts w:asciiTheme="minorHAnsi" w:hAnsiTheme="minorHAnsi"/>
          <w:color w:val="2F5496" w:themeColor="accent1" w:themeShade="BF"/>
          <w:sz w:val="22"/>
          <w:szCs w:val="22"/>
          <w:lang w:val="en-GB" w:eastAsia="en-US"/>
        </w:rPr>
      </w:pPr>
      <w:r w:rsidRPr="00984583">
        <w:rPr>
          <w:rFonts w:asciiTheme="minorHAnsi" w:hAnsiTheme="minorHAnsi"/>
          <w:color w:val="2F5496" w:themeColor="accent1" w:themeShade="BF"/>
          <w:sz w:val="22"/>
          <w:szCs w:val="22"/>
          <w:lang w:val="en-GB" w:eastAsia="en-US"/>
        </w:rPr>
        <w:t>Figure</w:t>
      </w:r>
      <w:r w:rsidR="00BD2B5D" w:rsidRPr="00984583">
        <w:rPr>
          <w:rFonts w:asciiTheme="minorHAnsi" w:hAnsiTheme="minorHAnsi"/>
          <w:color w:val="2F5496" w:themeColor="accent1" w:themeShade="BF"/>
          <w:sz w:val="22"/>
          <w:szCs w:val="22"/>
          <w:lang w:val="en-GB" w:eastAsia="en-US"/>
        </w:rPr>
        <w:t xml:space="preserve"> </w:t>
      </w:r>
      <w:r w:rsidR="00984583" w:rsidRPr="00984583">
        <w:rPr>
          <w:rFonts w:asciiTheme="minorHAnsi" w:hAnsiTheme="minorHAnsi"/>
          <w:color w:val="2F5496" w:themeColor="accent1" w:themeShade="BF"/>
          <w:sz w:val="22"/>
          <w:szCs w:val="22"/>
          <w:lang w:val="en-GB" w:eastAsia="en-US"/>
        </w:rPr>
        <w:t>7</w:t>
      </w:r>
      <w:r w:rsidRPr="00984583">
        <w:rPr>
          <w:rFonts w:asciiTheme="minorHAnsi" w:hAnsiTheme="minorHAnsi"/>
          <w:color w:val="2F5496" w:themeColor="accent1" w:themeShade="BF"/>
          <w:sz w:val="22"/>
          <w:szCs w:val="22"/>
          <w:lang w:val="en-GB" w:eastAsia="en-US"/>
        </w:rPr>
        <w:t>: Economic Parameters for</w:t>
      </w:r>
      <w:r w:rsidR="009C419F" w:rsidRPr="00984583">
        <w:rPr>
          <w:rFonts w:asciiTheme="minorHAnsi" w:hAnsiTheme="minorHAnsi"/>
          <w:color w:val="2F5496" w:themeColor="accent1" w:themeShade="BF"/>
          <w:sz w:val="22"/>
          <w:szCs w:val="22"/>
          <w:lang w:val="en-GB" w:eastAsia="en-US"/>
        </w:rPr>
        <w:t xml:space="preserve"> </w:t>
      </w:r>
      <w:r w:rsidR="00E806CF" w:rsidRPr="00984583">
        <w:rPr>
          <w:rFonts w:asciiTheme="minorHAnsi" w:hAnsiTheme="minorHAnsi"/>
          <w:color w:val="2F5496" w:themeColor="accent1" w:themeShade="BF"/>
          <w:sz w:val="22"/>
          <w:szCs w:val="22"/>
          <w:lang w:val="en-GB" w:eastAsia="en-US"/>
        </w:rPr>
        <w:t>Republic of</w:t>
      </w:r>
      <w:r w:rsidR="005C1B76" w:rsidRPr="00984583">
        <w:rPr>
          <w:rFonts w:asciiTheme="minorHAnsi" w:hAnsiTheme="minorHAnsi"/>
          <w:color w:val="2F5496" w:themeColor="accent1" w:themeShade="BF"/>
          <w:sz w:val="22"/>
          <w:szCs w:val="22"/>
          <w:lang w:val="en-GB" w:eastAsia="en-US"/>
        </w:rPr>
        <w:t xml:space="preserve"> </w:t>
      </w:r>
      <w:r w:rsidR="00124B19" w:rsidRPr="00984583">
        <w:rPr>
          <w:rFonts w:asciiTheme="minorHAnsi" w:hAnsiTheme="minorHAnsi"/>
          <w:color w:val="2F5496" w:themeColor="accent1" w:themeShade="BF"/>
          <w:sz w:val="22"/>
          <w:szCs w:val="22"/>
          <w:lang w:val="en-GB" w:eastAsia="en-US"/>
        </w:rPr>
        <w:t>Congo DRC</w:t>
      </w:r>
    </w:p>
    <w:p w14:paraId="7F59B87F" w14:textId="2F06FF70" w:rsidR="00711912" w:rsidRPr="00226279" w:rsidRDefault="008E2F22" w:rsidP="00FB3ED1">
      <w:pPr>
        <w:spacing w:after="160" w:line="259" w:lineRule="auto"/>
        <w:jc w:val="both"/>
        <w:rPr>
          <w:rFonts w:asciiTheme="minorHAnsi" w:hAnsiTheme="minorHAnsi"/>
          <w:sz w:val="22"/>
          <w:szCs w:val="22"/>
          <w:highlight w:val="green"/>
          <w:lang w:val="en-GB" w:eastAsia="en-US"/>
        </w:rPr>
      </w:pPr>
      <w:r>
        <w:rPr>
          <w:noProof/>
        </w:rPr>
        <w:drawing>
          <wp:inline distT="0" distB="0" distL="0" distR="0" wp14:anchorId="6CE45AC7" wp14:editId="5C4E3AF1">
            <wp:extent cx="3151330" cy="1771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54809" cy="1773606"/>
                    </a:xfrm>
                    <a:prstGeom prst="rect">
                      <a:avLst/>
                    </a:prstGeom>
                    <a:noFill/>
                    <a:ln>
                      <a:noFill/>
                    </a:ln>
                  </pic:spPr>
                </pic:pic>
              </a:graphicData>
            </a:graphic>
          </wp:inline>
        </w:drawing>
      </w:r>
    </w:p>
    <w:p w14:paraId="600639F0" w14:textId="63E83DC0" w:rsidR="00403DA0" w:rsidRPr="00984583" w:rsidRDefault="00403DA0" w:rsidP="002C1EBF">
      <w:pPr>
        <w:jc w:val="both"/>
        <w:rPr>
          <w:rFonts w:ascii="Calibri" w:hAnsi="Calibri"/>
          <w:color w:val="2F5496" w:themeColor="accent1" w:themeShade="BF"/>
          <w:sz w:val="18"/>
          <w:szCs w:val="16"/>
          <w:lang w:val="en-GB"/>
        </w:rPr>
      </w:pPr>
      <w:r w:rsidRPr="00984583">
        <w:rPr>
          <w:rFonts w:ascii="Calibri" w:hAnsi="Calibri"/>
          <w:b/>
          <w:bCs/>
          <w:color w:val="2F5496" w:themeColor="accent1" w:themeShade="BF"/>
          <w:sz w:val="18"/>
          <w:szCs w:val="16"/>
        </w:rPr>
        <w:t xml:space="preserve">Source: </w:t>
      </w:r>
      <w:r w:rsidRPr="00984583">
        <w:rPr>
          <w:rFonts w:ascii="Calibri" w:hAnsi="Calibri"/>
          <w:color w:val="2F5496" w:themeColor="accent1" w:themeShade="BF"/>
          <w:sz w:val="18"/>
          <w:szCs w:val="16"/>
        </w:rPr>
        <w:t>CAPE Economic Research and Consulting, 202</w:t>
      </w:r>
      <w:bookmarkEnd w:id="1"/>
      <w:r w:rsidR="00FB7BB3" w:rsidRPr="00984583">
        <w:rPr>
          <w:rFonts w:ascii="Calibri" w:hAnsi="Calibri"/>
          <w:color w:val="2F5496" w:themeColor="accent1" w:themeShade="BF"/>
          <w:sz w:val="18"/>
          <w:szCs w:val="16"/>
          <w:lang w:val="en-GB"/>
        </w:rPr>
        <w:t>6</w:t>
      </w:r>
    </w:p>
    <w:sectPr w:rsidR="00403DA0" w:rsidRPr="00984583" w:rsidSect="0064744E">
      <w:type w:val="continuous"/>
      <w:pgSz w:w="11906" w:h="16838"/>
      <w:pgMar w:top="1440" w:right="849"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1B5ADF" w14:textId="77777777" w:rsidR="00B721D8" w:rsidRDefault="00B721D8" w:rsidP="00B76D04">
      <w:r>
        <w:separator/>
      </w:r>
    </w:p>
  </w:endnote>
  <w:endnote w:type="continuationSeparator" w:id="0">
    <w:p w14:paraId="4E6C3C8D" w14:textId="77777777" w:rsidR="00B721D8" w:rsidRDefault="00B721D8" w:rsidP="00B76D04">
      <w:r>
        <w:continuationSeparator/>
      </w:r>
    </w:p>
  </w:endnote>
  <w:endnote w:type="continuationNotice" w:id="1">
    <w:p w14:paraId="439F8393" w14:textId="77777777" w:rsidR="00B721D8" w:rsidRDefault="00B721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E96534" w14:textId="77777777" w:rsidR="00BB54C1" w:rsidRDefault="00BB54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B8B70" w14:textId="210D54CF" w:rsidR="00B44657" w:rsidRDefault="00DC4AC0">
    <w:pPr>
      <w:pStyle w:val="Footer"/>
      <w:jc w:val="right"/>
    </w:pPr>
    <w:r>
      <w:rPr>
        <w:noProof/>
      </w:rPr>
      <mc:AlternateContent>
        <mc:Choice Requires="wps">
          <w:drawing>
            <wp:anchor distT="0" distB="0" distL="114300" distR="114300" simplePos="0" relativeHeight="251659264" behindDoc="0" locked="0" layoutInCell="0" allowOverlap="1" wp14:anchorId="177B5A93" wp14:editId="474DA181">
              <wp:simplePos x="0" y="0"/>
              <wp:positionH relativeFrom="page">
                <wp:posOffset>0</wp:posOffset>
              </wp:positionH>
              <wp:positionV relativeFrom="page">
                <wp:posOffset>10234930</wp:posOffset>
              </wp:positionV>
              <wp:extent cx="7560310" cy="266700"/>
              <wp:effectExtent l="0" t="0" r="0" b="0"/>
              <wp:wrapNone/>
              <wp:docPr id="9" name="MSIPCMd16a41ba803e545d2be77ef0" descr="{&quot;HashCode&quot;:-104621025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A2A1F2A" w14:textId="66834362" w:rsidR="00DC4AC0" w:rsidRPr="00DC4AC0" w:rsidRDefault="00DC4AC0" w:rsidP="00DC4AC0">
                          <w:pPr>
                            <w:rPr>
                              <w:rFonts w:ascii="Calibri" w:hAnsi="Calibri" w:cs="Calibri"/>
                              <w:color w:val="000000"/>
                              <w:sz w:val="16"/>
                            </w:rPr>
                          </w:pPr>
                          <w:r w:rsidRPr="00DC4AC0">
                            <w:rPr>
                              <w:rFonts w:ascii="Calibri" w:hAnsi="Calibri" w:cs="Calibri"/>
                              <w:color w:val="000000"/>
                              <w:sz w:val="16"/>
                            </w:rPr>
                            <w:t>Classified as 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177B5A93" id="_x0000_t202" coordsize="21600,21600" o:spt="202" path="m,l,21600r21600,l21600,xe">
              <v:stroke joinstyle="miter"/>
              <v:path gradientshapeok="t" o:connecttype="rect"/>
            </v:shapetype>
            <v:shape id="MSIPCMd16a41ba803e545d2be77ef0" o:spid="_x0000_s1026" type="#_x0000_t202" alt="{&quot;HashCode&quot;:-1046210256,&quot;Height&quot;:841.0,&quot;Width&quot;:595.0,&quot;Placement&quot;:&quot;Footer&quot;,&quot;Index&quot;:&quot;Primary&quot;,&quot;Section&quot;:1,&quot;Top&quot;:0.0,&quot;Left&quot;:0.0}" style="position:absolute;left:0;text-align:left;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" o:allowincell="f" filled="f" stroked="f" strokeweight=".5pt">
              <v:textbox inset="20pt,0,,0">
                <w:txbxContent>
                  <w:p w14:paraId="5A2A1F2A" w14:textId="66834362" w:rsidR="00DC4AC0" w:rsidRPr="00DC4AC0" w:rsidRDefault="00DC4AC0" w:rsidP="00DC4AC0">
                    <w:pPr>
                      <w:rPr>
                        <w:rFonts w:ascii="Calibri" w:hAnsi="Calibri" w:cs="Calibri"/>
                        <w:color w:val="000000"/>
                        <w:sz w:val="16"/>
                      </w:rPr>
                    </w:pPr>
                    <w:r w:rsidRPr="00DC4AC0">
                      <w:rPr>
                        <w:rFonts w:ascii="Calibri" w:hAnsi="Calibri" w:cs="Calibri"/>
                        <w:color w:val="000000"/>
                        <w:sz w:val="16"/>
                      </w:rPr>
                      <w:t>Classified as Confidential</w:t>
                    </w:r>
                  </w:p>
                </w:txbxContent>
              </v:textbox>
              <w10:wrap anchorx="page" anchory="page"/>
            </v:shape>
          </w:pict>
        </mc:Fallback>
      </mc:AlternateContent>
    </w:r>
    <w:sdt>
      <w:sdtPr>
        <w:id w:val="597304613"/>
        <w:docPartObj>
          <w:docPartGallery w:val="Page Numbers (Bottom of Page)"/>
          <w:docPartUnique/>
        </w:docPartObj>
      </w:sdtPr>
      <w:sdtEndPr>
        <w:rPr>
          <w:noProof/>
        </w:rPr>
      </w:sdtEndPr>
      <w:sdtContent>
        <w:r w:rsidR="00B44657">
          <w:fldChar w:fldCharType="begin"/>
        </w:r>
        <w:r w:rsidR="00B44657">
          <w:instrText xml:space="preserve"> PAGE   \* MERGEFORMAT </w:instrText>
        </w:r>
        <w:r w:rsidR="00B44657">
          <w:fldChar w:fldCharType="separate"/>
        </w:r>
        <w:r w:rsidR="00B44657">
          <w:rPr>
            <w:noProof/>
          </w:rPr>
          <w:t>2</w:t>
        </w:r>
        <w:r w:rsidR="00B44657">
          <w:rPr>
            <w:noProof/>
          </w:rPr>
          <w:fldChar w:fldCharType="end"/>
        </w:r>
      </w:sdtContent>
    </w:sdt>
  </w:p>
  <w:p w14:paraId="5707F29E" w14:textId="4F591B5D" w:rsidR="00B44657" w:rsidRDefault="00B446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C5604B" w14:textId="77777777" w:rsidR="00BB54C1" w:rsidRDefault="00BB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89BD3E" w14:textId="77777777" w:rsidR="00B721D8" w:rsidRDefault="00B721D8" w:rsidP="00B76D04">
      <w:r>
        <w:separator/>
      </w:r>
    </w:p>
  </w:footnote>
  <w:footnote w:type="continuationSeparator" w:id="0">
    <w:p w14:paraId="1CAE172B" w14:textId="77777777" w:rsidR="00B721D8" w:rsidRDefault="00B721D8" w:rsidP="00B76D04">
      <w:r>
        <w:continuationSeparator/>
      </w:r>
    </w:p>
  </w:footnote>
  <w:footnote w:type="continuationNotice" w:id="1">
    <w:p w14:paraId="01FC5968" w14:textId="77777777" w:rsidR="00B721D8" w:rsidRDefault="00B721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06C371" w14:textId="77777777" w:rsidR="00BB54C1" w:rsidRDefault="00BB54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4A245C" w14:textId="3122BCCE" w:rsidR="00B44657" w:rsidRDefault="00B44657">
    <w:pPr>
      <w:pStyle w:val="Header"/>
    </w:pPr>
    <w:r>
      <w:rPr>
        <w:noProof/>
      </w:rPr>
      <mc:AlternateContent>
        <mc:Choice Requires="wps">
          <w:drawing>
            <wp:inline distT="0" distB="0" distL="0" distR="0" wp14:anchorId="52BB180F" wp14:editId="10F0C550">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F498142"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noProof/>
      </w:rPr>
      <w:drawing>
        <wp:inline distT="0" distB="0" distL="0" distR="0" wp14:anchorId="1B5DE4B7" wp14:editId="4FC01B2B">
          <wp:extent cx="2133600" cy="4889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3600" cy="48895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ED9DE9" w14:textId="77777777" w:rsidR="00BB54C1" w:rsidRDefault="00BB54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83FF4"/>
    <w:multiLevelType w:val="multilevel"/>
    <w:tmpl w:val="596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2F4E06"/>
    <w:multiLevelType w:val="multilevel"/>
    <w:tmpl w:val="158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066C0"/>
    <w:multiLevelType w:val="multilevel"/>
    <w:tmpl w:val="1DE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966AA5"/>
    <w:multiLevelType w:val="multilevel"/>
    <w:tmpl w:val="F0AE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77B08"/>
    <w:multiLevelType w:val="hybridMultilevel"/>
    <w:tmpl w:val="81E0EA7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49964855"/>
    <w:multiLevelType w:val="multilevel"/>
    <w:tmpl w:val="648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E027FA"/>
    <w:multiLevelType w:val="multilevel"/>
    <w:tmpl w:val="CC82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CE6121"/>
    <w:multiLevelType w:val="multilevel"/>
    <w:tmpl w:val="D17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EB6FD8"/>
    <w:multiLevelType w:val="multilevel"/>
    <w:tmpl w:val="198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9A2827"/>
    <w:multiLevelType w:val="hybridMultilevel"/>
    <w:tmpl w:val="2BC22944"/>
    <w:lvl w:ilvl="0" w:tplc="0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790344AA"/>
    <w:multiLevelType w:val="multilevel"/>
    <w:tmpl w:val="D8DAB2AE"/>
    <w:lvl w:ilvl="0">
      <w:start w:val="1"/>
      <w:numFmt w:val="bullet"/>
      <w:lvlText w:val="●"/>
      <w:lvlJc w:val="left"/>
      <w:pPr>
        <w:ind w:left="360" w:hanging="360"/>
      </w:pPr>
      <w:rPr>
        <w:rFonts w:ascii="Noto Sans Symbols" w:eastAsia="Times New Roman" w:hAnsi="Noto Sans Symbols"/>
      </w:rPr>
    </w:lvl>
    <w:lvl w:ilvl="1">
      <w:start w:val="1"/>
      <w:numFmt w:val="bullet"/>
      <w:lvlText w:val="o"/>
      <w:lvlJc w:val="left"/>
      <w:pPr>
        <w:ind w:left="1080" w:hanging="360"/>
      </w:pPr>
      <w:rPr>
        <w:rFonts w:ascii="Courier New" w:eastAsia="Times New Roman" w:hAnsi="Courier New"/>
      </w:rPr>
    </w:lvl>
    <w:lvl w:ilvl="2">
      <w:start w:val="1"/>
      <w:numFmt w:val="bullet"/>
      <w:lvlText w:val="▪"/>
      <w:lvlJc w:val="left"/>
      <w:pPr>
        <w:ind w:left="1800" w:hanging="360"/>
      </w:pPr>
      <w:rPr>
        <w:rFonts w:ascii="Noto Sans Symbols" w:eastAsia="Times New Roman" w:hAnsi="Noto Sans Symbols"/>
      </w:rPr>
    </w:lvl>
    <w:lvl w:ilvl="3">
      <w:start w:val="1"/>
      <w:numFmt w:val="bullet"/>
      <w:lvlText w:val="●"/>
      <w:lvlJc w:val="left"/>
      <w:pPr>
        <w:ind w:left="2520" w:hanging="360"/>
      </w:pPr>
      <w:rPr>
        <w:rFonts w:ascii="Noto Sans Symbols" w:eastAsia="Times New Roman" w:hAnsi="Noto Sans Symbols"/>
      </w:rPr>
    </w:lvl>
    <w:lvl w:ilvl="4">
      <w:start w:val="1"/>
      <w:numFmt w:val="bullet"/>
      <w:lvlText w:val="o"/>
      <w:lvlJc w:val="left"/>
      <w:pPr>
        <w:ind w:left="3240" w:hanging="360"/>
      </w:pPr>
      <w:rPr>
        <w:rFonts w:ascii="Courier New" w:eastAsia="Times New Roman" w:hAnsi="Courier New"/>
      </w:rPr>
    </w:lvl>
    <w:lvl w:ilvl="5">
      <w:start w:val="1"/>
      <w:numFmt w:val="bullet"/>
      <w:lvlText w:val="▪"/>
      <w:lvlJc w:val="left"/>
      <w:pPr>
        <w:ind w:left="3960" w:hanging="360"/>
      </w:pPr>
      <w:rPr>
        <w:rFonts w:ascii="Noto Sans Symbols" w:eastAsia="Times New Roman" w:hAnsi="Noto Sans Symbols"/>
      </w:rPr>
    </w:lvl>
    <w:lvl w:ilvl="6">
      <w:start w:val="1"/>
      <w:numFmt w:val="bullet"/>
      <w:lvlText w:val="●"/>
      <w:lvlJc w:val="left"/>
      <w:pPr>
        <w:ind w:left="4680" w:hanging="360"/>
      </w:pPr>
      <w:rPr>
        <w:rFonts w:ascii="Noto Sans Symbols" w:eastAsia="Times New Roman" w:hAnsi="Noto Sans Symbols"/>
      </w:rPr>
    </w:lvl>
    <w:lvl w:ilvl="7">
      <w:start w:val="1"/>
      <w:numFmt w:val="bullet"/>
      <w:lvlText w:val="o"/>
      <w:lvlJc w:val="left"/>
      <w:pPr>
        <w:ind w:left="5400" w:hanging="360"/>
      </w:pPr>
      <w:rPr>
        <w:rFonts w:ascii="Courier New" w:eastAsia="Times New Roman" w:hAnsi="Courier New"/>
      </w:rPr>
    </w:lvl>
    <w:lvl w:ilvl="8">
      <w:start w:val="1"/>
      <w:numFmt w:val="bullet"/>
      <w:lvlText w:val="▪"/>
      <w:lvlJc w:val="left"/>
      <w:pPr>
        <w:ind w:left="6120" w:hanging="360"/>
      </w:pPr>
      <w:rPr>
        <w:rFonts w:ascii="Noto Sans Symbols" w:eastAsia="Times New Roman" w:hAnsi="Noto Sans Symbols"/>
      </w:rPr>
    </w:lvl>
  </w:abstractNum>
  <w:num w:numId="1">
    <w:abstractNumId w:val="4"/>
  </w:num>
  <w:num w:numId="2">
    <w:abstractNumId w:val="1"/>
  </w:num>
  <w:num w:numId="3">
    <w:abstractNumId w:val="3"/>
  </w:num>
  <w:num w:numId="4">
    <w:abstractNumId w:val="5"/>
  </w:num>
  <w:num w:numId="5">
    <w:abstractNumId w:val="9"/>
  </w:num>
  <w:num w:numId="6">
    <w:abstractNumId w:val="10"/>
  </w:num>
  <w:num w:numId="7">
    <w:abstractNumId w:val="8"/>
  </w:num>
  <w:num w:numId="8">
    <w:abstractNumId w:val="2"/>
  </w:num>
  <w:num w:numId="9">
    <w:abstractNumId w:val="7"/>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3C5"/>
    <w:rsid w:val="000021BA"/>
    <w:rsid w:val="00002520"/>
    <w:rsid w:val="000032D9"/>
    <w:rsid w:val="00005974"/>
    <w:rsid w:val="0000639C"/>
    <w:rsid w:val="000071CB"/>
    <w:rsid w:val="00011C6F"/>
    <w:rsid w:val="00012247"/>
    <w:rsid w:val="000127D5"/>
    <w:rsid w:val="00012F18"/>
    <w:rsid w:val="00015715"/>
    <w:rsid w:val="00017943"/>
    <w:rsid w:val="000179F3"/>
    <w:rsid w:val="00017B9A"/>
    <w:rsid w:val="000206BA"/>
    <w:rsid w:val="00022239"/>
    <w:rsid w:val="00022A70"/>
    <w:rsid w:val="0002335A"/>
    <w:rsid w:val="00024CDB"/>
    <w:rsid w:val="00024D40"/>
    <w:rsid w:val="00025181"/>
    <w:rsid w:val="000253BB"/>
    <w:rsid w:val="0002777A"/>
    <w:rsid w:val="0003028F"/>
    <w:rsid w:val="00030E80"/>
    <w:rsid w:val="00030F93"/>
    <w:rsid w:val="00033AE8"/>
    <w:rsid w:val="000340A4"/>
    <w:rsid w:val="000365F0"/>
    <w:rsid w:val="000373A3"/>
    <w:rsid w:val="0003766F"/>
    <w:rsid w:val="00037B7D"/>
    <w:rsid w:val="00040202"/>
    <w:rsid w:val="000421F7"/>
    <w:rsid w:val="0004388A"/>
    <w:rsid w:val="00044499"/>
    <w:rsid w:val="000447F6"/>
    <w:rsid w:val="0004686A"/>
    <w:rsid w:val="00047221"/>
    <w:rsid w:val="00047737"/>
    <w:rsid w:val="0004774F"/>
    <w:rsid w:val="00047967"/>
    <w:rsid w:val="00050F3B"/>
    <w:rsid w:val="000519E0"/>
    <w:rsid w:val="000565F6"/>
    <w:rsid w:val="00056D4D"/>
    <w:rsid w:val="0005701C"/>
    <w:rsid w:val="00061D51"/>
    <w:rsid w:val="0006286D"/>
    <w:rsid w:val="00063C1E"/>
    <w:rsid w:val="0006455A"/>
    <w:rsid w:val="0006479F"/>
    <w:rsid w:val="00065153"/>
    <w:rsid w:val="00065B6F"/>
    <w:rsid w:val="00065B93"/>
    <w:rsid w:val="00066913"/>
    <w:rsid w:val="00066DEE"/>
    <w:rsid w:val="00071DC1"/>
    <w:rsid w:val="000722B0"/>
    <w:rsid w:val="00074BED"/>
    <w:rsid w:val="000755EB"/>
    <w:rsid w:val="000763C6"/>
    <w:rsid w:val="0008031E"/>
    <w:rsid w:val="00080B8E"/>
    <w:rsid w:val="00080D82"/>
    <w:rsid w:val="0008110A"/>
    <w:rsid w:val="00082B43"/>
    <w:rsid w:val="00082B52"/>
    <w:rsid w:val="00082DB9"/>
    <w:rsid w:val="0008366C"/>
    <w:rsid w:val="000837F0"/>
    <w:rsid w:val="00085B6A"/>
    <w:rsid w:val="00087AC3"/>
    <w:rsid w:val="00087C08"/>
    <w:rsid w:val="000928D2"/>
    <w:rsid w:val="00093F54"/>
    <w:rsid w:val="00094ADB"/>
    <w:rsid w:val="00094EF3"/>
    <w:rsid w:val="00095C6B"/>
    <w:rsid w:val="00095F9F"/>
    <w:rsid w:val="000961EC"/>
    <w:rsid w:val="0009732E"/>
    <w:rsid w:val="000A01F0"/>
    <w:rsid w:val="000A1234"/>
    <w:rsid w:val="000A1776"/>
    <w:rsid w:val="000A1FBF"/>
    <w:rsid w:val="000A2D21"/>
    <w:rsid w:val="000A36B5"/>
    <w:rsid w:val="000A4429"/>
    <w:rsid w:val="000A7DBF"/>
    <w:rsid w:val="000B0167"/>
    <w:rsid w:val="000B09C7"/>
    <w:rsid w:val="000B12B3"/>
    <w:rsid w:val="000B19CC"/>
    <w:rsid w:val="000B1C15"/>
    <w:rsid w:val="000B1C4C"/>
    <w:rsid w:val="000B2248"/>
    <w:rsid w:val="000B3F96"/>
    <w:rsid w:val="000B42BE"/>
    <w:rsid w:val="000B4833"/>
    <w:rsid w:val="000B55FE"/>
    <w:rsid w:val="000B5F93"/>
    <w:rsid w:val="000B6784"/>
    <w:rsid w:val="000B6D8E"/>
    <w:rsid w:val="000C005C"/>
    <w:rsid w:val="000C0B5F"/>
    <w:rsid w:val="000C1347"/>
    <w:rsid w:val="000C178E"/>
    <w:rsid w:val="000C2283"/>
    <w:rsid w:val="000C2C76"/>
    <w:rsid w:val="000C3625"/>
    <w:rsid w:val="000C4EDD"/>
    <w:rsid w:val="000C53A4"/>
    <w:rsid w:val="000C5EA0"/>
    <w:rsid w:val="000C6CE3"/>
    <w:rsid w:val="000C6F92"/>
    <w:rsid w:val="000C714A"/>
    <w:rsid w:val="000C7F96"/>
    <w:rsid w:val="000D4425"/>
    <w:rsid w:val="000D44F7"/>
    <w:rsid w:val="000D464B"/>
    <w:rsid w:val="000D4967"/>
    <w:rsid w:val="000D5676"/>
    <w:rsid w:val="000D5EE3"/>
    <w:rsid w:val="000D5FD6"/>
    <w:rsid w:val="000D72E6"/>
    <w:rsid w:val="000D7517"/>
    <w:rsid w:val="000D758E"/>
    <w:rsid w:val="000D7881"/>
    <w:rsid w:val="000E005B"/>
    <w:rsid w:val="000E18FF"/>
    <w:rsid w:val="000E1D69"/>
    <w:rsid w:val="000E2D2D"/>
    <w:rsid w:val="000E3558"/>
    <w:rsid w:val="000E5A2A"/>
    <w:rsid w:val="000E6431"/>
    <w:rsid w:val="000E6540"/>
    <w:rsid w:val="000E65E5"/>
    <w:rsid w:val="000E790A"/>
    <w:rsid w:val="000F03AC"/>
    <w:rsid w:val="000F0418"/>
    <w:rsid w:val="000F05F4"/>
    <w:rsid w:val="000F0A9A"/>
    <w:rsid w:val="000F0B43"/>
    <w:rsid w:val="000F33EA"/>
    <w:rsid w:val="000F4807"/>
    <w:rsid w:val="000F4995"/>
    <w:rsid w:val="000F6128"/>
    <w:rsid w:val="000F6F5C"/>
    <w:rsid w:val="000F7D8D"/>
    <w:rsid w:val="00102700"/>
    <w:rsid w:val="00102AB9"/>
    <w:rsid w:val="00103000"/>
    <w:rsid w:val="00103739"/>
    <w:rsid w:val="00103ACB"/>
    <w:rsid w:val="00103DF0"/>
    <w:rsid w:val="00104BD0"/>
    <w:rsid w:val="00105D4B"/>
    <w:rsid w:val="00107158"/>
    <w:rsid w:val="00107D8C"/>
    <w:rsid w:val="00110207"/>
    <w:rsid w:val="0011147B"/>
    <w:rsid w:val="00111566"/>
    <w:rsid w:val="00112960"/>
    <w:rsid w:val="00112FCA"/>
    <w:rsid w:val="0011333C"/>
    <w:rsid w:val="00114F8F"/>
    <w:rsid w:val="001156A2"/>
    <w:rsid w:val="00117A34"/>
    <w:rsid w:val="00117D2E"/>
    <w:rsid w:val="001206B9"/>
    <w:rsid w:val="00121B50"/>
    <w:rsid w:val="001226A8"/>
    <w:rsid w:val="001228AD"/>
    <w:rsid w:val="001231C5"/>
    <w:rsid w:val="00123CC5"/>
    <w:rsid w:val="00124B19"/>
    <w:rsid w:val="001253BF"/>
    <w:rsid w:val="00126B94"/>
    <w:rsid w:val="0012753D"/>
    <w:rsid w:val="001277AA"/>
    <w:rsid w:val="00130CED"/>
    <w:rsid w:val="00131007"/>
    <w:rsid w:val="00131391"/>
    <w:rsid w:val="00132356"/>
    <w:rsid w:val="00134741"/>
    <w:rsid w:val="00137D83"/>
    <w:rsid w:val="00140043"/>
    <w:rsid w:val="0014022E"/>
    <w:rsid w:val="001404EA"/>
    <w:rsid w:val="001406B4"/>
    <w:rsid w:val="00141443"/>
    <w:rsid w:val="00141D70"/>
    <w:rsid w:val="001425E5"/>
    <w:rsid w:val="0014362E"/>
    <w:rsid w:val="00144632"/>
    <w:rsid w:val="00144F57"/>
    <w:rsid w:val="0014700C"/>
    <w:rsid w:val="001476A7"/>
    <w:rsid w:val="00153EDF"/>
    <w:rsid w:val="0015489B"/>
    <w:rsid w:val="00154B33"/>
    <w:rsid w:val="00154FE9"/>
    <w:rsid w:val="00155EDC"/>
    <w:rsid w:val="001566BE"/>
    <w:rsid w:val="001600C4"/>
    <w:rsid w:val="0016227C"/>
    <w:rsid w:val="0016272D"/>
    <w:rsid w:val="00162EBA"/>
    <w:rsid w:val="001630F1"/>
    <w:rsid w:val="0016492C"/>
    <w:rsid w:val="00164946"/>
    <w:rsid w:val="00164B53"/>
    <w:rsid w:val="00164ECA"/>
    <w:rsid w:val="0016538D"/>
    <w:rsid w:val="00166407"/>
    <w:rsid w:val="00166E3F"/>
    <w:rsid w:val="00170BF9"/>
    <w:rsid w:val="00171E11"/>
    <w:rsid w:val="00172BDB"/>
    <w:rsid w:val="00174006"/>
    <w:rsid w:val="001744DC"/>
    <w:rsid w:val="00174525"/>
    <w:rsid w:val="0017522D"/>
    <w:rsid w:val="00175D49"/>
    <w:rsid w:val="00180731"/>
    <w:rsid w:val="0018182B"/>
    <w:rsid w:val="00181926"/>
    <w:rsid w:val="001824B9"/>
    <w:rsid w:val="0018289B"/>
    <w:rsid w:val="0018373D"/>
    <w:rsid w:val="001837B2"/>
    <w:rsid w:val="00185205"/>
    <w:rsid w:val="00185549"/>
    <w:rsid w:val="001857E2"/>
    <w:rsid w:val="001858EE"/>
    <w:rsid w:val="0018656F"/>
    <w:rsid w:val="00187147"/>
    <w:rsid w:val="00190DFE"/>
    <w:rsid w:val="001911C3"/>
    <w:rsid w:val="001912F5"/>
    <w:rsid w:val="00191EEF"/>
    <w:rsid w:val="0019353E"/>
    <w:rsid w:val="001945BD"/>
    <w:rsid w:val="00194B7D"/>
    <w:rsid w:val="00197655"/>
    <w:rsid w:val="001978FA"/>
    <w:rsid w:val="00197DC4"/>
    <w:rsid w:val="001A02C0"/>
    <w:rsid w:val="001A1E20"/>
    <w:rsid w:val="001A2433"/>
    <w:rsid w:val="001A355C"/>
    <w:rsid w:val="001A4337"/>
    <w:rsid w:val="001A5211"/>
    <w:rsid w:val="001A6659"/>
    <w:rsid w:val="001A7088"/>
    <w:rsid w:val="001A7C13"/>
    <w:rsid w:val="001B1EEE"/>
    <w:rsid w:val="001B21AE"/>
    <w:rsid w:val="001B227F"/>
    <w:rsid w:val="001B2B0C"/>
    <w:rsid w:val="001B3625"/>
    <w:rsid w:val="001B59ED"/>
    <w:rsid w:val="001B5C0D"/>
    <w:rsid w:val="001B5DBE"/>
    <w:rsid w:val="001B607F"/>
    <w:rsid w:val="001B65B4"/>
    <w:rsid w:val="001B664F"/>
    <w:rsid w:val="001B6E1A"/>
    <w:rsid w:val="001B7228"/>
    <w:rsid w:val="001B72CA"/>
    <w:rsid w:val="001C0BAB"/>
    <w:rsid w:val="001C0F7B"/>
    <w:rsid w:val="001C17C6"/>
    <w:rsid w:val="001C1D18"/>
    <w:rsid w:val="001C3D34"/>
    <w:rsid w:val="001C409A"/>
    <w:rsid w:val="001C5151"/>
    <w:rsid w:val="001C5ED0"/>
    <w:rsid w:val="001C7954"/>
    <w:rsid w:val="001D0B2F"/>
    <w:rsid w:val="001D1018"/>
    <w:rsid w:val="001D1DCC"/>
    <w:rsid w:val="001D3B26"/>
    <w:rsid w:val="001D4073"/>
    <w:rsid w:val="001D41B4"/>
    <w:rsid w:val="001D4DCD"/>
    <w:rsid w:val="001D5A1C"/>
    <w:rsid w:val="001D5B0B"/>
    <w:rsid w:val="001D7985"/>
    <w:rsid w:val="001E1801"/>
    <w:rsid w:val="001E36A3"/>
    <w:rsid w:val="001E4E95"/>
    <w:rsid w:val="001E4F7D"/>
    <w:rsid w:val="001E591B"/>
    <w:rsid w:val="001E6A11"/>
    <w:rsid w:val="001E6AD8"/>
    <w:rsid w:val="001E7529"/>
    <w:rsid w:val="001E769D"/>
    <w:rsid w:val="001E7F22"/>
    <w:rsid w:val="001F0712"/>
    <w:rsid w:val="001F2947"/>
    <w:rsid w:val="001F2EB7"/>
    <w:rsid w:val="001F38F2"/>
    <w:rsid w:val="001F3AD7"/>
    <w:rsid w:val="001F3C76"/>
    <w:rsid w:val="001F3F8C"/>
    <w:rsid w:val="001F4AD0"/>
    <w:rsid w:val="001F5BBE"/>
    <w:rsid w:val="001F699A"/>
    <w:rsid w:val="001F6D97"/>
    <w:rsid w:val="001F6FF4"/>
    <w:rsid w:val="001F79CB"/>
    <w:rsid w:val="00203B3B"/>
    <w:rsid w:val="0020447B"/>
    <w:rsid w:val="002053C2"/>
    <w:rsid w:val="002059C4"/>
    <w:rsid w:val="00206B53"/>
    <w:rsid w:val="002110B5"/>
    <w:rsid w:val="002114A3"/>
    <w:rsid w:val="00212E42"/>
    <w:rsid w:val="00212E9B"/>
    <w:rsid w:val="00213789"/>
    <w:rsid w:val="00214780"/>
    <w:rsid w:val="002154C1"/>
    <w:rsid w:val="00217C05"/>
    <w:rsid w:val="002207FE"/>
    <w:rsid w:val="00220F01"/>
    <w:rsid w:val="0022129A"/>
    <w:rsid w:val="002221BF"/>
    <w:rsid w:val="002248EA"/>
    <w:rsid w:val="00226279"/>
    <w:rsid w:val="00227542"/>
    <w:rsid w:val="00227A69"/>
    <w:rsid w:val="00227E26"/>
    <w:rsid w:val="002307E4"/>
    <w:rsid w:val="00230AC9"/>
    <w:rsid w:val="00232F8C"/>
    <w:rsid w:val="002334BF"/>
    <w:rsid w:val="002343CC"/>
    <w:rsid w:val="002346CB"/>
    <w:rsid w:val="002347C8"/>
    <w:rsid w:val="002355CC"/>
    <w:rsid w:val="00235793"/>
    <w:rsid w:val="00235B53"/>
    <w:rsid w:val="0023684E"/>
    <w:rsid w:val="00237246"/>
    <w:rsid w:val="00237856"/>
    <w:rsid w:val="002379F4"/>
    <w:rsid w:val="00237DFC"/>
    <w:rsid w:val="0024320A"/>
    <w:rsid w:val="00243D24"/>
    <w:rsid w:val="00243F64"/>
    <w:rsid w:val="00245A2A"/>
    <w:rsid w:val="00245D3A"/>
    <w:rsid w:val="00245EB3"/>
    <w:rsid w:val="00245FEF"/>
    <w:rsid w:val="0024614C"/>
    <w:rsid w:val="00247DA1"/>
    <w:rsid w:val="00250658"/>
    <w:rsid w:val="0025173C"/>
    <w:rsid w:val="002550F7"/>
    <w:rsid w:val="0025657A"/>
    <w:rsid w:val="00256D25"/>
    <w:rsid w:val="00256FFA"/>
    <w:rsid w:val="00257E16"/>
    <w:rsid w:val="00260300"/>
    <w:rsid w:val="002617F0"/>
    <w:rsid w:val="002618E5"/>
    <w:rsid w:val="00261E8D"/>
    <w:rsid w:val="002626C0"/>
    <w:rsid w:val="0026353B"/>
    <w:rsid w:val="00264054"/>
    <w:rsid w:val="0026438B"/>
    <w:rsid w:val="0026580C"/>
    <w:rsid w:val="002677EB"/>
    <w:rsid w:val="002678D6"/>
    <w:rsid w:val="00267C88"/>
    <w:rsid w:val="00267EAC"/>
    <w:rsid w:val="00267FB0"/>
    <w:rsid w:val="002708C5"/>
    <w:rsid w:val="00270D61"/>
    <w:rsid w:val="00271056"/>
    <w:rsid w:val="002721A8"/>
    <w:rsid w:val="00275F83"/>
    <w:rsid w:val="002764E3"/>
    <w:rsid w:val="00276AE4"/>
    <w:rsid w:val="002776C2"/>
    <w:rsid w:val="00277853"/>
    <w:rsid w:val="002801B9"/>
    <w:rsid w:val="00281B1B"/>
    <w:rsid w:val="00282EB1"/>
    <w:rsid w:val="00283882"/>
    <w:rsid w:val="00283C0A"/>
    <w:rsid w:val="00284037"/>
    <w:rsid w:val="00284941"/>
    <w:rsid w:val="00285978"/>
    <w:rsid w:val="00286AA0"/>
    <w:rsid w:val="00286F5A"/>
    <w:rsid w:val="00287023"/>
    <w:rsid w:val="00290B76"/>
    <w:rsid w:val="00290B88"/>
    <w:rsid w:val="00291251"/>
    <w:rsid w:val="002920FD"/>
    <w:rsid w:val="0029212C"/>
    <w:rsid w:val="0029261E"/>
    <w:rsid w:val="002932DF"/>
    <w:rsid w:val="00293369"/>
    <w:rsid w:val="00293590"/>
    <w:rsid w:val="002937C6"/>
    <w:rsid w:val="00294A11"/>
    <w:rsid w:val="00297924"/>
    <w:rsid w:val="002A019B"/>
    <w:rsid w:val="002A12E6"/>
    <w:rsid w:val="002A213C"/>
    <w:rsid w:val="002A27D4"/>
    <w:rsid w:val="002A4212"/>
    <w:rsid w:val="002A482E"/>
    <w:rsid w:val="002A56DB"/>
    <w:rsid w:val="002A59F7"/>
    <w:rsid w:val="002A66AF"/>
    <w:rsid w:val="002A721C"/>
    <w:rsid w:val="002A7755"/>
    <w:rsid w:val="002A77D9"/>
    <w:rsid w:val="002A7CEC"/>
    <w:rsid w:val="002B119C"/>
    <w:rsid w:val="002B16BD"/>
    <w:rsid w:val="002B1D34"/>
    <w:rsid w:val="002B22D3"/>
    <w:rsid w:val="002B298F"/>
    <w:rsid w:val="002B3CA0"/>
    <w:rsid w:val="002B632F"/>
    <w:rsid w:val="002B7C7E"/>
    <w:rsid w:val="002C0906"/>
    <w:rsid w:val="002C1EBF"/>
    <w:rsid w:val="002C2800"/>
    <w:rsid w:val="002C2E7C"/>
    <w:rsid w:val="002C2F70"/>
    <w:rsid w:val="002C413F"/>
    <w:rsid w:val="002C4670"/>
    <w:rsid w:val="002C49F7"/>
    <w:rsid w:val="002C50A0"/>
    <w:rsid w:val="002C52D2"/>
    <w:rsid w:val="002C5478"/>
    <w:rsid w:val="002C5543"/>
    <w:rsid w:val="002C55B9"/>
    <w:rsid w:val="002C5877"/>
    <w:rsid w:val="002C7036"/>
    <w:rsid w:val="002C7D3A"/>
    <w:rsid w:val="002D0727"/>
    <w:rsid w:val="002D1E7F"/>
    <w:rsid w:val="002D215F"/>
    <w:rsid w:val="002D2265"/>
    <w:rsid w:val="002D3B56"/>
    <w:rsid w:val="002D4401"/>
    <w:rsid w:val="002D51CB"/>
    <w:rsid w:val="002D533C"/>
    <w:rsid w:val="002D5E14"/>
    <w:rsid w:val="002D741E"/>
    <w:rsid w:val="002E08BB"/>
    <w:rsid w:val="002E0F92"/>
    <w:rsid w:val="002E2189"/>
    <w:rsid w:val="002E46AC"/>
    <w:rsid w:val="002E5F36"/>
    <w:rsid w:val="002E6784"/>
    <w:rsid w:val="002E775F"/>
    <w:rsid w:val="002E7A8D"/>
    <w:rsid w:val="002F1B9E"/>
    <w:rsid w:val="002F1DCE"/>
    <w:rsid w:val="002F3132"/>
    <w:rsid w:val="002F338B"/>
    <w:rsid w:val="002F5637"/>
    <w:rsid w:val="002F618B"/>
    <w:rsid w:val="002F6BCC"/>
    <w:rsid w:val="002F71FE"/>
    <w:rsid w:val="002F764D"/>
    <w:rsid w:val="0030010B"/>
    <w:rsid w:val="0030127A"/>
    <w:rsid w:val="0030262D"/>
    <w:rsid w:val="0030359A"/>
    <w:rsid w:val="003037B2"/>
    <w:rsid w:val="003038AE"/>
    <w:rsid w:val="003039DE"/>
    <w:rsid w:val="00303C81"/>
    <w:rsid w:val="003051E0"/>
    <w:rsid w:val="00306C3A"/>
    <w:rsid w:val="003118D1"/>
    <w:rsid w:val="00311950"/>
    <w:rsid w:val="00312616"/>
    <w:rsid w:val="0031324F"/>
    <w:rsid w:val="003139A0"/>
    <w:rsid w:val="00314D80"/>
    <w:rsid w:val="00316632"/>
    <w:rsid w:val="00316C40"/>
    <w:rsid w:val="0031763F"/>
    <w:rsid w:val="00317CAB"/>
    <w:rsid w:val="00317E99"/>
    <w:rsid w:val="00317F73"/>
    <w:rsid w:val="003209DB"/>
    <w:rsid w:val="00320A80"/>
    <w:rsid w:val="00320AD2"/>
    <w:rsid w:val="00320AEB"/>
    <w:rsid w:val="00320E5A"/>
    <w:rsid w:val="00321C32"/>
    <w:rsid w:val="00322CF4"/>
    <w:rsid w:val="00323DEC"/>
    <w:rsid w:val="00323F57"/>
    <w:rsid w:val="00325B6C"/>
    <w:rsid w:val="00326541"/>
    <w:rsid w:val="00326BD5"/>
    <w:rsid w:val="00327098"/>
    <w:rsid w:val="00327658"/>
    <w:rsid w:val="003279AB"/>
    <w:rsid w:val="00330FB7"/>
    <w:rsid w:val="0033137E"/>
    <w:rsid w:val="003327BB"/>
    <w:rsid w:val="00332F9B"/>
    <w:rsid w:val="003330CD"/>
    <w:rsid w:val="00334433"/>
    <w:rsid w:val="003350F1"/>
    <w:rsid w:val="003352A5"/>
    <w:rsid w:val="00335C0D"/>
    <w:rsid w:val="003369BF"/>
    <w:rsid w:val="00336FFF"/>
    <w:rsid w:val="0033778E"/>
    <w:rsid w:val="00337AF3"/>
    <w:rsid w:val="003400D8"/>
    <w:rsid w:val="00340B1C"/>
    <w:rsid w:val="00342A79"/>
    <w:rsid w:val="00343491"/>
    <w:rsid w:val="0034350E"/>
    <w:rsid w:val="0034353F"/>
    <w:rsid w:val="00344145"/>
    <w:rsid w:val="003449DB"/>
    <w:rsid w:val="00344EF4"/>
    <w:rsid w:val="0034509A"/>
    <w:rsid w:val="00345A73"/>
    <w:rsid w:val="00345AF5"/>
    <w:rsid w:val="003466C6"/>
    <w:rsid w:val="00347CB7"/>
    <w:rsid w:val="00350B77"/>
    <w:rsid w:val="00351BB4"/>
    <w:rsid w:val="00351F9E"/>
    <w:rsid w:val="00353DAF"/>
    <w:rsid w:val="00353EA6"/>
    <w:rsid w:val="0035446C"/>
    <w:rsid w:val="00354A8C"/>
    <w:rsid w:val="00354BD4"/>
    <w:rsid w:val="003571E0"/>
    <w:rsid w:val="00360E10"/>
    <w:rsid w:val="00361042"/>
    <w:rsid w:val="0036169B"/>
    <w:rsid w:val="003618DF"/>
    <w:rsid w:val="00363CFD"/>
    <w:rsid w:val="003649F2"/>
    <w:rsid w:val="00364A89"/>
    <w:rsid w:val="00364AD1"/>
    <w:rsid w:val="00365C75"/>
    <w:rsid w:val="0036689A"/>
    <w:rsid w:val="00366E8C"/>
    <w:rsid w:val="003671B4"/>
    <w:rsid w:val="00372123"/>
    <w:rsid w:val="00372234"/>
    <w:rsid w:val="00372E50"/>
    <w:rsid w:val="00375887"/>
    <w:rsid w:val="00375A16"/>
    <w:rsid w:val="00375B46"/>
    <w:rsid w:val="00375B5D"/>
    <w:rsid w:val="00375D51"/>
    <w:rsid w:val="00376602"/>
    <w:rsid w:val="00380917"/>
    <w:rsid w:val="00380B88"/>
    <w:rsid w:val="00381B53"/>
    <w:rsid w:val="003823B3"/>
    <w:rsid w:val="003869AC"/>
    <w:rsid w:val="00386E1E"/>
    <w:rsid w:val="00386F48"/>
    <w:rsid w:val="00387F91"/>
    <w:rsid w:val="003900F2"/>
    <w:rsid w:val="0039107C"/>
    <w:rsid w:val="00392274"/>
    <w:rsid w:val="0039273A"/>
    <w:rsid w:val="00392B13"/>
    <w:rsid w:val="003930D3"/>
    <w:rsid w:val="00394722"/>
    <w:rsid w:val="003958D5"/>
    <w:rsid w:val="00395CC8"/>
    <w:rsid w:val="00396791"/>
    <w:rsid w:val="00397660"/>
    <w:rsid w:val="003A00DF"/>
    <w:rsid w:val="003A2F10"/>
    <w:rsid w:val="003A2F3E"/>
    <w:rsid w:val="003A33B3"/>
    <w:rsid w:val="003A3B61"/>
    <w:rsid w:val="003A4F60"/>
    <w:rsid w:val="003A6B97"/>
    <w:rsid w:val="003B02BF"/>
    <w:rsid w:val="003B15DE"/>
    <w:rsid w:val="003B2554"/>
    <w:rsid w:val="003B271D"/>
    <w:rsid w:val="003B29E0"/>
    <w:rsid w:val="003B2DA2"/>
    <w:rsid w:val="003B516E"/>
    <w:rsid w:val="003B51D6"/>
    <w:rsid w:val="003B52D5"/>
    <w:rsid w:val="003B557E"/>
    <w:rsid w:val="003B73C3"/>
    <w:rsid w:val="003B7558"/>
    <w:rsid w:val="003B78D1"/>
    <w:rsid w:val="003C0CF7"/>
    <w:rsid w:val="003C0D81"/>
    <w:rsid w:val="003C0E9F"/>
    <w:rsid w:val="003C1622"/>
    <w:rsid w:val="003C1CE9"/>
    <w:rsid w:val="003C2C1D"/>
    <w:rsid w:val="003C2C39"/>
    <w:rsid w:val="003C4A53"/>
    <w:rsid w:val="003C5796"/>
    <w:rsid w:val="003C6C30"/>
    <w:rsid w:val="003C7842"/>
    <w:rsid w:val="003C7850"/>
    <w:rsid w:val="003D0719"/>
    <w:rsid w:val="003D1357"/>
    <w:rsid w:val="003D209C"/>
    <w:rsid w:val="003D28B3"/>
    <w:rsid w:val="003D2AC8"/>
    <w:rsid w:val="003D3208"/>
    <w:rsid w:val="003D366C"/>
    <w:rsid w:val="003D38D3"/>
    <w:rsid w:val="003D3A57"/>
    <w:rsid w:val="003D3DBF"/>
    <w:rsid w:val="003D4B8E"/>
    <w:rsid w:val="003D50F3"/>
    <w:rsid w:val="003D5A2A"/>
    <w:rsid w:val="003E0FCF"/>
    <w:rsid w:val="003E139A"/>
    <w:rsid w:val="003E3931"/>
    <w:rsid w:val="003E47BA"/>
    <w:rsid w:val="003E4A85"/>
    <w:rsid w:val="003E5B70"/>
    <w:rsid w:val="003E6EFB"/>
    <w:rsid w:val="003F0367"/>
    <w:rsid w:val="003F10DA"/>
    <w:rsid w:val="003F11FE"/>
    <w:rsid w:val="003F1396"/>
    <w:rsid w:val="003F1C5C"/>
    <w:rsid w:val="003F27F5"/>
    <w:rsid w:val="003F2843"/>
    <w:rsid w:val="003F364E"/>
    <w:rsid w:val="003F3E4B"/>
    <w:rsid w:val="003F4974"/>
    <w:rsid w:val="003F4A72"/>
    <w:rsid w:val="003F4D75"/>
    <w:rsid w:val="003F7226"/>
    <w:rsid w:val="003F7FD4"/>
    <w:rsid w:val="004000C2"/>
    <w:rsid w:val="004008DD"/>
    <w:rsid w:val="0040091F"/>
    <w:rsid w:val="0040099A"/>
    <w:rsid w:val="00401D0F"/>
    <w:rsid w:val="0040201F"/>
    <w:rsid w:val="004021A4"/>
    <w:rsid w:val="004033AC"/>
    <w:rsid w:val="00403DA0"/>
    <w:rsid w:val="00404AA8"/>
    <w:rsid w:val="00407CDD"/>
    <w:rsid w:val="004107F4"/>
    <w:rsid w:val="00411067"/>
    <w:rsid w:val="0041198A"/>
    <w:rsid w:val="00411AC0"/>
    <w:rsid w:val="00411E79"/>
    <w:rsid w:val="004144B1"/>
    <w:rsid w:val="00414EAE"/>
    <w:rsid w:val="00415141"/>
    <w:rsid w:val="004172B6"/>
    <w:rsid w:val="004178A2"/>
    <w:rsid w:val="00417927"/>
    <w:rsid w:val="00417C3B"/>
    <w:rsid w:val="00417E81"/>
    <w:rsid w:val="004202F8"/>
    <w:rsid w:val="0042090A"/>
    <w:rsid w:val="00421ABF"/>
    <w:rsid w:val="004234A0"/>
    <w:rsid w:val="00423B1A"/>
    <w:rsid w:val="0042486C"/>
    <w:rsid w:val="00424A2A"/>
    <w:rsid w:val="00424DE8"/>
    <w:rsid w:val="00425CE4"/>
    <w:rsid w:val="00425E84"/>
    <w:rsid w:val="00425FCD"/>
    <w:rsid w:val="0043048D"/>
    <w:rsid w:val="00430D7B"/>
    <w:rsid w:val="0043222E"/>
    <w:rsid w:val="004334C9"/>
    <w:rsid w:val="00433519"/>
    <w:rsid w:val="004338D9"/>
    <w:rsid w:val="00433DEC"/>
    <w:rsid w:val="00434ACC"/>
    <w:rsid w:val="00435CE1"/>
    <w:rsid w:val="004366DD"/>
    <w:rsid w:val="0043676F"/>
    <w:rsid w:val="0044094F"/>
    <w:rsid w:val="00440CA4"/>
    <w:rsid w:val="00441F4F"/>
    <w:rsid w:val="00441F5D"/>
    <w:rsid w:val="00443047"/>
    <w:rsid w:val="00443440"/>
    <w:rsid w:val="00443953"/>
    <w:rsid w:val="004440B0"/>
    <w:rsid w:val="00444115"/>
    <w:rsid w:val="00444B5F"/>
    <w:rsid w:val="00445147"/>
    <w:rsid w:val="00445D9F"/>
    <w:rsid w:val="00446AC6"/>
    <w:rsid w:val="004475FB"/>
    <w:rsid w:val="00447C24"/>
    <w:rsid w:val="0045362E"/>
    <w:rsid w:val="00453D3B"/>
    <w:rsid w:val="00453F0D"/>
    <w:rsid w:val="0045426B"/>
    <w:rsid w:val="00455B90"/>
    <w:rsid w:val="00456526"/>
    <w:rsid w:val="00457DA2"/>
    <w:rsid w:val="00462DEA"/>
    <w:rsid w:val="00463425"/>
    <w:rsid w:val="00465072"/>
    <w:rsid w:val="00465A09"/>
    <w:rsid w:val="00466DDC"/>
    <w:rsid w:val="004675CA"/>
    <w:rsid w:val="004719CE"/>
    <w:rsid w:val="00472165"/>
    <w:rsid w:val="0047259F"/>
    <w:rsid w:val="00473003"/>
    <w:rsid w:val="00473B09"/>
    <w:rsid w:val="00475B03"/>
    <w:rsid w:val="00477098"/>
    <w:rsid w:val="00477C1E"/>
    <w:rsid w:val="00482F46"/>
    <w:rsid w:val="004830AE"/>
    <w:rsid w:val="00483D1E"/>
    <w:rsid w:val="004841BC"/>
    <w:rsid w:val="00487E1F"/>
    <w:rsid w:val="004903F8"/>
    <w:rsid w:val="004912B7"/>
    <w:rsid w:val="004916D2"/>
    <w:rsid w:val="00491B85"/>
    <w:rsid w:val="00491D1B"/>
    <w:rsid w:val="00492BAC"/>
    <w:rsid w:val="00492E69"/>
    <w:rsid w:val="0049492A"/>
    <w:rsid w:val="004A36B7"/>
    <w:rsid w:val="004A573F"/>
    <w:rsid w:val="004B0C10"/>
    <w:rsid w:val="004B0CB0"/>
    <w:rsid w:val="004B0CFE"/>
    <w:rsid w:val="004B21A4"/>
    <w:rsid w:val="004B35B7"/>
    <w:rsid w:val="004B3AA5"/>
    <w:rsid w:val="004B412A"/>
    <w:rsid w:val="004B45FA"/>
    <w:rsid w:val="004B574E"/>
    <w:rsid w:val="004B58E1"/>
    <w:rsid w:val="004B7AF1"/>
    <w:rsid w:val="004C0579"/>
    <w:rsid w:val="004C1F57"/>
    <w:rsid w:val="004C406D"/>
    <w:rsid w:val="004C5A86"/>
    <w:rsid w:val="004C5D28"/>
    <w:rsid w:val="004C5E1C"/>
    <w:rsid w:val="004C5E34"/>
    <w:rsid w:val="004C5F29"/>
    <w:rsid w:val="004C7634"/>
    <w:rsid w:val="004C767D"/>
    <w:rsid w:val="004D1EFD"/>
    <w:rsid w:val="004D21C9"/>
    <w:rsid w:val="004D32E3"/>
    <w:rsid w:val="004D3D57"/>
    <w:rsid w:val="004D481B"/>
    <w:rsid w:val="004D4DD1"/>
    <w:rsid w:val="004E021F"/>
    <w:rsid w:val="004E1593"/>
    <w:rsid w:val="004E17E0"/>
    <w:rsid w:val="004E2053"/>
    <w:rsid w:val="004E2A70"/>
    <w:rsid w:val="004E349D"/>
    <w:rsid w:val="004E35FA"/>
    <w:rsid w:val="004E4369"/>
    <w:rsid w:val="004E4D7E"/>
    <w:rsid w:val="004E55AE"/>
    <w:rsid w:val="004E5E64"/>
    <w:rsid w:val="004E60E8"/>
    <w:rsid w:val="004E62A9"/>
    <w:rsid w:val="004E6E35"/>
    <w:rsid w:val="004E709A"/>
    <w:rsid w:val="004E77FB"/>
    <w:rsid w:val="004E79CF"/>
    <w:rsid w:val="004F047D"/>
    <w:rsid w:val="004F1A51"/>
    <w:rsid w:val="004F23D4"/>
    <w:rsid w:val="004F3ABE"/>
    <w:rsid w:val="004F4364"/>
    <w:rsid w:val="004F678A"/>
    <w:rsid w:val="00500393"/>
    <w:rsid w:val="005010D6"/>
    <w:rsid w:val="005034EA"/>
    <w:rsid w:val="005059FC"/>
    <w:rsid w:val="005069E0"/>
    <w:rsid w:val="005077E4"/>
    <w:rsid w:val="0050783A"/>
    <w:rsid w:val="00507851"/>
    <w:rsid w:val="00507BB0"/>
    <w:rsid w:val="00510CAA"/>
    <w:rsid w:val="00510CE9"/>
    <w:rsid w:val="005111FB"/>
    <w:rsid w:val="005114F7"/>
    <w:rsid w:val="00512F09"/>
    <w:rsid w:val="005150ED"/>
    <w:rsid w:val="005153CA"/>
    <w:rsid w:val="00515BEB"/>
    <w:rsid w:val="00517025"/>
    <w:rsid w:val="00517209"/>
    <w:rsid w:val="005177CC"/>
    <w:rsid w:val="00520192"/>
    <w:rsid w:val="00521219"/>
    <w:rsid w:val="00521B4D"/>
    <w:rsid w:val="0052271E"/>
    <w:rsid w:val="00522B0C"/>
    <w:rsid w:val="00523D10"/>
    <w:rsid w:val="005242DC"/>
    <w:rsid w:val="00524B62"/>
    <w:rsid w:val="00525C2D"/>
    <w:rsid w:val="00525F38"/>
    <w:rsid w:val="0053055D"/>
    <w:rsid w:val="00530E75"/>
    <w:rsid w:val="00530EA4"/>
    <w:rsid w:val="00532D32"/>
    <w:rsid w:val="00533073"/>
    <w:rsid w:val="00534145"/>
    <w:rsid w:val="005342CE"/>
    <w:rsid w:val="0053431B"/>
    <w:rsid w:val="005347B4"/>
    <w:rsid w:val="00534B3C"/>
    <w:rsid w:val="00534F79"/>
    <w:rsid w:val="005357D4"/>
    <w:rsid w:val="0053653B"/>
    <w:rsid w:val="00537727"/>
    <w:rsid w:val="00537A2F"/>
    <w:rsid w:val="005400B4"/>
    <w:rsid w:val="00540A85"/>
    <w:rsid w:val="00541566"/>
    <w:rsid w:val="0054205D"/>
    <w:rsid w:val="00543250"/>
    <w:rsid w:val="005432AC"/>
    <w:rsid w:val="005444A0"/>
    <w:rsid w:val="00544764"/>
    <w:rsid w:val="005453DC"/>
    <w:rsid w:val="0054543B"/>
    <w:rsid w:val="00545D91"/>
    <w:rsid w:val="00545DBB"/>
    <w:rsid w:val="005461C9"/>
    <w:rsid w:val="00546886"/>
    <w:rsid w:val="005472A4"/>
    <w:rsid w:val="00547C57"/>
    <w:rsid w:val="00547D5B"/>
    <w:rsid w:val="00551DC9"/>
    <w:rsid w:val="00552D8D"/>
    <w:rsid w:val="00553AF0"/>
    <w:rsid w:val="00555B43"/>
    <w:rsid w:val="00556406"/>
    <w:rsid w:val="0055656C"/>
    <w:rsid w:val="00556895"/>
    <w:rsid w:val="00556E2E"/>
    <w:rsid w:val="00557B17"/>
    <w:rsid w:val="005606C8"/>
    <w:rsid w:val="00561A14"/>
    <w:rsid w:val="0056270E"/>
    <w:rsid w:val="00563527"/>
    <w:rsid w:val="005635E3"/>
    <w:rsid w:val="00563E00"/>
    <w:rsid w:val="00564396"/>
    <w:rsid w:val="005646E4"/>
    <w:rsid w:val="00565C86"/>
    <w:rsid w:val="00570260"/>
    <w:rsid w:val="005704C0"/>
    <w:rsid w:val="005735CB"/>
    <w:rsid w:val="00574983"/>
    <w:rsid w:val="0057561B"/>
    <w:rsid w:val="00575AB9"/>
    <w:rsid w:val="00575B6F"/>
    <w:rsid w:val="00576367"/>
    <w:rsid w:val="005769E9"/>
    <w:rsid w:val="00576A70"/>
    <w:rsid w:val="00576AAC"/>
    <w:rsid w:val="00577477"/>
    <w:rsid w:val="0057766A"/>
    <w:rsid w:val="0058004C"/>
    <w:rsid w:val="00580534"/>
    <w:rsid w:val="00580A52"/>
    <w:rsid w:val="00583EEB"/>
    <w:rsid w:val="005843BA"/>
    <w:rsid w:val="005850BE"/>
    <w:rsid w:val="005850F9"/>
    <w:rsid w:val="005853F9"/>
    <w:rsid w:val="0058781C"/>
    <w:rsid w:val="00590200"/>
    <w:rsid w:val="00590D9B"/>
    <w:rsid w:val="005917F3"/>
    <w:rsid w:val="00593DAD"/>
    <w:rsid w:val="00594753"/>
    <w:rsid w:val="005957F1"/>
    <w:rsid w:val="005959A5"/>
    <w:rsid w:val="00596B51"/>
    <w:rsid w:val="005A02DD"/>
    <w:rsid w:val="005A123E"/>
    <w:rsid w:val="005A3A2B"/>
    <w:rsid w:val="005A4287"/>
    <w:rsid w:val="005A434C"/>
    <w:rsid w:val="005A5221"/>
    <w:rsid w:val="005A5F29"/>
    <w:rsid w:val="005A6790"/>
    <w:rsid w:val="005A7206"/>
    <w:rsid w:val="005A7673"/>
    <w:rsid w:val="005A7C7B"/>
    <w:rsid w:val="005A7FF8"/>
    <w:rsid w:val="005B07EB"/>
    <w:rsid w:val="005B23E8"/>
    <w:rsid w:val="005B2976"/>
    <w:rsid w:val="005B3411"/>
    <w:rsid w:val="005B3E29"/>
    <w:rsid w:val="005B4906"/>
    <w:rsid w:val="005B49D1"/>
    <w:rsid w:val="005B5398"/>
    <w:rsid w:val="005B595A"/>
    <w:rsid w:val="005B7526"/>
    <w:rsid w:val="005B7A5B"/>
    <w:rsid w:val="005C0911"/>
    <w:rsid w:val="005C175F"/>
    <w:rsid w:val="005C1AB4"/>
    <w:rsid w:val="005C1B76"/>
    <w:rsid w:val="005C3929"/>
    <w:rsid w:val="005C4168"/>
    <w:rsid w:val="005C4225"/>
    <w:rsid w:val="005C4588"/>
    <w:rsid w:val="005C5AD9"/>
    <w:rsid w:val="005C6A58"/>
    <w:rsid w:val="005D00F4"/>
    <w:rsid w:val="005D10F4"/>
    <w:rsid w:val="005D1AFC"/>
    <w:rsid w:val="005D3546"/>
    <w:rsid w:val="005D3D35"/>
    <w:rsid w:val="005D6166"/>
    <w:rsid w:val="005D78D0"/>
    <w:rsid w:val="005E0C34"/>
    <w:rsid w:val="005E0E03"/>
    <w:rsid w:val="005E1C9F"/>
    <w:rsid w:val="005E2A84"/>
    <w:rsid w:val="005E52DC"/>
    <w:rsid w:val="005E63CB"/>
    <w:rsid w:val="005E64A8"/>
    <w:rsid w:val="005E6CCD"/>
    <w:rsid w:val="005E7231"/>
    <w:rsid w:val="005E7313"/>
    <w:rsid w:val="005F0485"/>
    <w:rsid w:val="005F0E57"/>
    <w:rsid w:val="005F0F98"/>
    <w:rsid w:val="005F3654"/>
    <w:rsid w:val="005F4726"/>
    <w:rsid w:val="005F4B2A"/>
    <w:rsid w:val="005F51E7"/>
    <w:rsid w:val="00600A4C"/>
    <w:rsid w:val="00600D96"/>
    <w:rsid w:val="00601371"/>
    <w:rsid w:val="00601557"/>
    <w:rsid w:val="00603354"/>
    <w:rsid w:val="006034E3"/>
    <w:rsid w:val="00605F82"/>
    <w:rsid w:val="00606C55"/>
    <w:rsid w:val="0061099B"/>
    <w:rsid w:val="00610E71"/>
    <w:rsid w:val="006112D5"/>
    <w:rsid w:val="00611633"/>
    <w:rsid w:val="006129FD"/>
    <w:rsid w:val="00612A47"/>
    <w:rsid w:val="0061337D"/>
    <w:rsid w:val="006134BB"/>
    <w:rsid w:val="006140FF"/>
    <w:rsid w:val="0061493F"/>
    <w:rsid w:val="006167DF"/>
    <w:rsid w:val="00616FD1"/>
    <w:rsid w:val="0062129B"/>
    <w:rsid w:val="00622704"/>
    <w:rsid w:val="00622F50"/>
    <w:rsid w:val="00624257"/>
    <w:rsid w:val="00624736"/>
    <w:rsid w:val="006254DD"/>
    <w:rsid w:val="00625702"/>
    <w:rsid w:val="006259FF"/>
    <w:rsid w:val="00626D59"/>
    <w:rsid w:val="00627461"/>
    <w:rsid w:val="006277CB"/>
    <w:rsid w:val="00627E1F"/>
    <w:rsid w:val="0063103C"/>
    <w:rsid w:val="00631647"/>
    <w:rsid w:val="00631C34"/>
    <w:rsid w:val="00631F20"/>
    <w:rsid w:val="00632A34"/>
    <w:rsid w:val="00633052"/>
    <w:rsid w:val="0063459F"/>
    <w:rsid w:val="006345E2"/>
    <w:rsid w:val="00634635"/>
    <w:rsid w:val="00634D01"/>
    <w:rsid w:val="00634DD0"/>
    <w:rsid w:val="0063681D"/>
    <w:rsid w:val="00636A15"/>
    <w:rsid w:val="00636F00"/>
    <w:rsid w:val="00637A7A"/>
    <w:rsid w:val="006410EB"/>
    <w:rsid w:val="006412C5"/>
    <w:rsid w:val="006454EB"/>
    <w:rsid w:val="00645695"/>
    <w:rsid w:val="00645A84"/>
    <w:rsid w:val="00645CD3"/>
    <w:rsid w:val="0064744E"/>
    <w:rsid w:val="00647FAE"/>
    <w:rsid w:val="006503B6"/>
    <w:rsid w:val="00652D65"/>
    <w:rsid w:val="00652FE1"/>
    <w:rsid w:val="00654772"/>
    <w:rsid w:val="00654C40"/>
    <w:rsid w:val="00655182"/>
    <w:rsid w:val="00655E40"/>
    <w:rsid w:val="00656229"/>
    <w:rsid w:val="006563B9"/>
    <w:rsid w:val="0065641A"/>
    <w:rsid w:val="006572C3"/>
    <w:rsid w:val="00657D96"/>
    <w:rsid w:val="006609F4"/>
    <w:rsid w:val="00663996"/>
    <w:rsid w:val="006641AC"/>
    <w:rsid w:val="00664395"/>
    <w:rsid w:val="0066451A"/>
    <w:rsid w:val="006648C9"/>
    <w:rsid w:val="00666BD3"/>
    <w:rsid w:val="006679D0"/>
    <w:rsid w:val="00667C7E"/>
    <w:rsid w:val="006722E1"/>
    <w:rsid w:val="006726CA"/>
    <w:rsid w:val="00672F55"/>
    <w:rsid w:val="00673208"/>
    <w:rsid w:val="00673DE0"/>
    <w:rsid w:val="0067492D"/>
    <w:rsid w:val="00674D2D"/>
    <w:rsid w:val="00676812"/>
    <w:rsid w:val="006819DC"/>
    <w:rsid w:val="00681EE4"/>
    <w:rsid w:val="006841A5"/>
    <w:rsid w:val="0068496A"/>
    <w:rsid w:val="00684FE5"/>
    <w:rsid w:val="00686801"/>
    <w:rsid w:val="00686FDD"/>
    <w:rsid w:val="00687030"/>
    <w:rsid w:val="006907A6"/>
    <w:rsid w:val="006916C2"/>
    <w:rsid w:val="006918C4"/>
    <w:rsid w:val="00691AC7"/>
    <w:rsid w:val="0069355B"/>
    <w:rsid w:val="006957B2"/>
    <w:rsid w:val="00695CFF"/>
    <w:rsid w:val="006963AB"/>
    <w:rsid w:val="00697FC9"/>
    <w:rsid w:val="006A007F"/>
    <w:rsid w:val="006A0E79"/>
    <w:rsid w:val="006A10EC"/>
    <w:rsid w:val="006A1712"/>
    <w:rsid w:val="006A22B2"/>
    <w:rsid w:val="006A3071"/>
    <w:rsid w:val="006A38D9"/>
    <w:rsid w:val="006A4024"/>
    <w:rsid w:val="006A4ED9"/>
    <w:rsid w:val="006A53F3"/>
    <w:rsid w:val="006A61E1"/>
    <w:rsid w:val="006A647A"/>
    <w:rsid w:val="006A68B5"/>
    <w:rsid w:val="006A7139"/>
    <w:rsid w:val="006B0118"/>
    <w:rsid w:val="006B02F2"/>
    <w:rsid w:val="006B0589"/>
    <w:rsid w:val="006B0ACD"/>
    <w:rsid w:val="006B1AF4"/>
    <w:rsid w:val="006B2E0B"/>
    <w:rsid w:val="006B30C2"/>
    <w:rsid w:val="006B38D8"/>
    <w:rsid w:val="006B4865"/>
    <w:rsid w:val="006B5396"/>
    <w:rsid w:val="006B56EE"/>
    <w:rsid w:val="006B5BBC"/>
    <w:rsid w:val="006B5CE9"/>
    <w:rsid w:val="006B5F9A"/>
    <w:rsid w:val="006B6113"/>
    <w:rsid w:val="006B6798"/>
    <w:rsid w:val="006B7179"/>
    <w:rsid w:val="006B7197"/>
    <w:rsid w:val="006B7D5F"/>
    <w:rsid w:val="006B7F06"/>
    <w:rsid w:val="006C02E4"/>
    <w:rsid w:val="006C5055"/>
    <w:rsid w:val="006C71E0"/>
    <w:rsid w:val="006D23DD"/>
    <w:rsid w:val="006D385C"/>
    <w:rsid w:val="006D3BC3"/>
    <w:rsid w:val="006D5040"/>
    <w:rsid w:val="006D58F3"/>
    <w:rsid w:val="006D6F10"/>
    <w:rsid w:val="006E0BBD"/>
    <w:rsid w:val="006E4DAC"/>
    <w:rsid w:val="006E5192"/>
    <w:rsid w:val="006E7674"/>
    <w:rsid w:val="006F2F23"/>
    <w:rsid w:val="006F41C5"/>
    <w:rsid w:val="006F47DA"/>
    <w:rsid w:val="006F4956"/>
    <w:rsid w:val="006F4F56"/>
    <w:rsid w:val="006F4F9E"/>
    <w:rsid w:val="006F551E"/>
    <w:rsid w:val="006F671B"/>
    <w:rsid w:val="006F7036"/>
    <w:rsid w:val="006F784F"/>
    <w:rsid w:val="006F7BDA"/>
    <w:rsid w:val="0070085E"/>
    <w:rsid w:val="00700970"/>
    <w:rsid w:val="00701B10"/>
    <w:rsid w:val="00702A36"/>
    <w:rsid w:val="00702FE4"/>
    <w:rsid w:val="007037AA"/>
    <w:rsid w:val="00703AAE"/>
    <w:rsid w:val="00704CB2"/>
    <w:rsid w:val="00705593"/>
    <w:rsid w:val="00705665"/>
    <w:rsid w:val="00705684"/>
    <w:rsid w:val="0070593C"/>
    <w:rsid w:val="00706012"/>
    <w:rsid w:val="00706F49"/>
    <w:rsid w:val="00710A9F"/>
    <w:rsid w:val="00710E79"/>
    <w:rsid w:val="00711912"/>
    <w:rsid w:val="00712304"/>
    <w:rsid w:val="00712BAC"/>
    <w:rsid w:val="00713F64"/>
    <w:rsid w:val="007142FB"/>
    <w:rsid w:val="00714594"/>
    <w:rsid w:val="00716634"/>
    <w:rsid w:val="0072001F"/>
    <w:rsid w:val="00720FAE"/>
    <w:rsid w:val="00722494"/>
    <w:rsid w:val="0072303E"/>
    <w:rsid w:val="007237BB"/>
    <w:rsid w:val="00723EF9"/>
    <w:rsid w:val="00725F2A"/>
    <w:rsid w:val="00727CBC"/>
    <w:rsid w:val="00731126"/>
    <w:rsid w:val="00731D5B"/>
    <w:rsid w:val="00732B2D"/>
    <w:rsid w:val="0073344C"/>
    <w:rsid w:val="00733725"/>
    <w:rsid w:val="007346A7"/>
    <w:rsid w:val="00735F2E"/>
    <w:rsid w:val="00736100"/>
    <w:rsid w:val="00736B7A"/>
    <w:rsid w:val="00737019"/>
    <w:rsid w:val="007403EE"/>
    <w:rsid w:val="00740EFD"/>
    <w:rsid w:val="0074164F"/>
    <w:rsid w:val="00742C11"/>
    <w:rsid w:val="00744191"/>
    <w:rsid w:val="00744FB7"/>
    <w:rsid w:val="007505FF"/>
    <w:rsid w:val="00750991"/>
    <w:rsid w:val="00750F1D"/>
    <w:rsid w:val="00752496"/>
    <w:rsid w:val="007528FF"/>
    <w:rsid w:val="0075352F"/>
    <w:rsid w:val="00754405"/>
    <w:rsid w:val="00754BE6"/>
    <w:rsid w:val="007551CB"/>
    <w:rsid w:val="00755D61"/>
    <w:rsid w:val="0075691D"/>
    <w:rsid w:val="00757272"/>
    <w:rsid w:val="007577AC"/>
    <w:rsid w:val="00757BF4"/>
    <w:rsid w:val="00760B11"/>
    <w:rsid w:val="00761912"/>
    <w:rsid w:val="00761B38"/>
    <w:rsid w:val="00761CD2"/>
    <w:rsid w:val="00762782"/>
    <w:rsid w:val="0076346B"/>
    <w:rsid w:val="00763971"/>
    <w:rsid w:val="00763B71"/>
    <w:rsid w:val="00764F58"/>
    <w:rsid w:val="00765B30"/>
    <w:rsid w:val="00765BD8"/>
    <w:rsid w:val="00765F0D"/>
    <w:rsid w:val="00766CF2"/>
    <w:rsid w:val="00767783"/>
    <w:rsid w:val="007679D7"/>
    <w:rsid w:val="00770771"/>
    <w:rsid w:val="007708EE"/>
    <w:rsid w:val="00770974"/>
    <w:rsid w:val="007729CB"/>
    <w:rsid w:val="00772A7F"/>
    <w:rsid w:val="00773FA3"/>
    <w:rsid w:val="00774738"/>
    <w:rsid w:val="00774CC9"/>
    <w:rsid w:val="0077649E"/>
    <w:rsid w:val="007766AB"/>
    <w:rsid w:val="00776834"/>
    <w:rsid w:val="00776BBF"/>
    <w:rsid w:val="007806C9"/>
    <w:rsid w:val="0078093B"/>
    <w:rsid w:val="00781656"/>
    <w:rsid w:val="0078171E"/>
    <w:rsid w:val="007825A3"/>
    <w:rsid w:val="007827F6"/>
    <w:rsid w:val="00785B62"/>
    <w:rsid w:val="00787D77"/>
    <w:rsid w:val="00792B91"/>
    <w:rsid w:val="00794AE2"/>
    <w:rsid w:val="00795466"/>
    <w:rsid w:val="00796163"/>
    <w:rsid w:val="0079671B"/>
    <w:rsid w:val="007A1DA0"/>
    <w:rsid w:val="007A4102"/>
    <w:rsid w:val="007A4C7F"/>
    <w:rsid w:val="007A4E3E"/>
    <w:rsid w:val="007A4FE6"/>
    <w:rsid w:val="007A52BB"/>
    <w:rsid w:val="007A64B0"/>
    <w:rsid w:val="007B152B"/>
    <w:rsid w:val="007B1A4A"/>
    <w:rsid w:val="007B318A"/>
    <w:rsid w:val="007B3E30"/>
    <w:rsid w:val="007B3F4C"/>
    <w:rsid w:val="007B5435"/>
    <w:rsid w:val="007B55A5"/>
    <w:rsid w:val="007B60CD"/>
    <w:rsid w:val="007B6DBA"/>
    <w:rsid w:val="007B731B"/>
    <w:rsid w:val="007B7E01"/>
    <w:rsid w:val="007C1533"/>
    <w:rsid w:val="007C18D2"/>
    <w:rsid w:val="007C1AFE"/>
    <w:rsid w:val="007C1EC3"/>
    <w:rsid w:val="007C25E1"/>
    <w:rsid w:val="007C3583"/>
    <w:rsid w:val="007C360A"/>
    <w:rsid w:val="007C42F1"/>
    <w:rsid w:val="007C7220"/>
    <w:rsid w:val="007C75E7"/>
    <w:rsid w:val="007D11DE"/>
    <w:rsid w:val="007D21BF"/>
    <w:rsid w:val="007D40BF"/>
    <w:rsid w:val="007D40D5"/>
    <w:rsid w:val="007D46A8"/>
    <w:rsid w:val="007D4C49"/>
    <w:rsid w:val="007D5227"/>
    <w:rsid w:val="007D52A9"/>
    <w:rsid w:val="007D5DF3"/>
    <w:rsid w:val="007D7559"/>
    <w:rsid w:val="007D7E59"/>
    <w:rsid w:val="007E0F7E"/>
    <w:rsid w:val="007E1389"/>
    <w:rsid w:val="007E2B28"/>
    <w:rsid w:val="007E422A"/>
    <w:rsid w:val="007E4953"/>
    <w:rsid w:val="007E4E64"/>
    <w:rsid w:val="007E55E7"/>
    <w:rsid w:val="007E630B"/>
    <w:rsid w:val="007E685B"/>
    <w:rsid w:val="007E6E33"/>
    <w:rsid w:val="007E74F0"/>
    <w:rsid w:val="007E7A33"/>
    <w:rsid w:val="007F1A83"/>
    <w:rsid w:val="007F1A9E"/>
    <w:rsid w:val="007F2A43"/>
    <w:rsid w:val="007F36D9"/>
    <w:rsid w:val="007F386F"/>
    <w:rsid w:val="007F5169"/>
    <w:rsid w:val="007F63B1"/>
    <w:rsid w:val="007F6B7D"/>
    <w:rsid w:val="00800982"/>
    <w:rsid w:val="0080245A"/>
    <w:rsid w:val="00802643"/>
    <w:rsid w:val="00803207"/>
    <w:rsid w:val="00803E00"/>
    <w:rsid w:val="0080464C"/>
    <w:rsid w:val="00804B78"/>
    <w:rsid w:val="00805042"/>
    <w:rsid w:val="00805FF6"/>
    <w:rsid w:val="008101DE"/>
    <w:rsid w:val="008104DD"/>
    <w:rsid w:val="00810734"/>
    <w:rsid w:val="008113F1"/>
    <w:rsid w:val="008114FA"/>
    <w:rsid w:val="008124A1"/>
    <w:rsid w:val="00812822"/>
    <w:rsid w:val="00812FC1"/>
    <w:rsid w:val="0081319A"/>
    <w:rsid w:val="0081343D"/>
    <w:rsid w:val="0081363D"/>
    <w:rsid w:val="00814389"/>
    <w:rsid w:val="008151AF"/>
    <w:rsid w:val="008170CA"/>
    <w:rsid w:val="008213D3"/>
    <w:rsid w:val="008217E4"/>
    <w:rsid w:val="00821D85"/>
    <w:rsid w:val="00822FAA"/>
    <w:rsid w:val="00823BA9"/>
    <w:rsid w:val="00823D2B"/>
    <w:rsid w:val="008254BA"/>
    <w:rsid w:val="0082556E"/>
    <w:rsid w:val="0082594E"/>
    <w:rsid w:val="0082595E"/>
    <w:rsid w:val="00825D20"/>
    <w:rsid w:val="00827F1D"/>
    <w:rsid w:val="00827F60"/>
    <w:rsid w:val="0083009C"/>
    <w:rsid w:val="00830155"/>
    <w:rsid w:val="00830C80"/>
    <w:rsid w:val="00831A63"/>
    <w:rsid w:val="008322CC"/>
    <w:rsid w:val="00833344"/>
    <w:rsid w:val="00834A7D"/>
    <w:rsid w:val="00835916"/>
    <w:rsid w:val="00835B8D"/>
    <w:rsid w:val="00835F5F"/>
    <w:rsid w:val="00837899"/>
    <w:rsid w:val="00837B6E"/>
    <w:rsid w:val="00840EB1"/>
    <w:rsid w:val="00841933"/>
    <w:rsid w:val="00842382"/>
    <w:rsid w:val="008428B2"/>
    <w:rsid w:val="00842C43"/>
    <w:rsid w:val="00844A61"/>
    <w:rsid w:val="00846D9E"/>
    <w:rsid w:val="00846E83"/>
    <w:rsid w:val="0085080B"/>
    <w:rsid w:val="0085236E"/>
    <w:rsid w:val="0085338D"/>
    <w:rsid w:val="0085479F"/>
    <w:rsid w:val="008547B5"/>
    <w:rsid w:val="008550E5"/>
    <w:rsid w:val="00855AB7"/>
    <w:rsid w:val="008570C1"/>
    <w:rsid w:val="008600BB"/>
    <w:rsid w:val="008602A9"/>
    <w:rsid w:val="008606A4"/>
    <w:rsid w:val="00860986"/>
    <w:rsid w:val="00861192"/>
    <w:rsid w:val="008618D2"/>
    <w:rsid w:val="008628B6"/>
    <w:rsid w:val="00863603"/>
    <w:rsid w:val="00864F7A"/>
    <w:rsid w:val="008661AF"/>
    <w:rsid w:val="00866F49"/>
    <w:rsid w:val="0087033F"/>
    <w:rsid w:val="008714CA"/>
    <w:rsid w:val="00872BF6"/>
    <w:rsid w:val="00872E26"/>
    <w:rsid w:val="00872E81"/>
    <w:rsid w:val="00873C12"/>
    <w:rsid w:val="008746C3"/>
    <w:rsid w:val="008749DA"/>
    <w:rsid w:val="00874B06"/>
    <w:rsid w:val="00880071"/>
    <w:rsid w:val="0088028D"/>
    <w:rsid w:val="00880715"/>
    <w:rsid w:val="00880A5C"/>
    <w:rsid w:val="00880A90"/>
    <w:rsid w:val="00881B0A"/>
    <w:rsid w:val="00882CEA"/>
    <w:rsid w:val="00883CAC"/>
    <w:rsid w:val="00884155"/>
    <w:rsid w:val="008849BF"/>
    <w:rsid w:val="00885E2D"/>
    <w:rsid w:val="00890478"/>
    <w:rsid w:val="008905EC"/>
    <w:rsid w:val="00890911"/>
    <w:rsid w:val="00892802"/>
    <w:rsid w:val="00893EC5"/>
    <w:rsid w:val="0089406D"/>
    <w:rsid w:val="00894819"/>
    <w:rsid w:val="00894FAB"/>
    <w:rsid w:val="0089515D"/>
    <w:rsid w:val="00896C1A"/>
    <w:rsid w:val="00897919"/>
    <w:rsid w:val="008A09E1"/>
    <w:rsid w:val="008A0B6C"/>
    <w:rsid w:val="008A13A3"/>
    <w:rsid w:val="008A23FD"/>
    <w:rsid w:val="008A2B53"/>
    <w:rsid w:val="008A2FA2"/>
    <w:rsid w:val="008A48FC"/>
    <w:rsid w:val="008A66EE"/>
    <w:rsid w:val="008A67F9"/>
    <w:rsid w:val="008A6E2A"/>
    <w:rsid w:val="008B206F"/>
    <w:rsid w:val="008B2877"/>
    <w:rsid w:val="008B3588"/>
    <w:rsid w:val="008B44C5"/>
    <w:rsid w:val="008B473B"/>
    <w:rsid w:val="008B50EC"/>
    <w:rsid w:val="008B5F0E"/>
    <w:rsid w:val="008B6528"/>
    <w:rsid w:val="008B774E"/>
    <w:rsid w:val="008B7C8A"/>
    <w:rsid w:val="008C01C1"/>
    <w:rsid w:val="008C0868"/>
    <w:rsid w:val="008C1070"/>
    <w:rsid w:val="008C1595"/>
    <w:rsid w:val="008C2862"/>
    <w:rsid w:val="008C2F2B"/>
    <w:rsid w:val="008C3610"/>
    <w:rsid w:val="008C4D35"/>
    <w:rsid w:val="008C6A58"/>
    <w:rsid w:val="008C6C94"/>
    <w:rsid w:val="008D054E"/>
    <w:rsid w:val="008D136D"/>
    <w:rsid w:val="008D139E"/>
    <w:rsid w:val="008D40A4"/>
    <w:rsid w:val="008D4797"/>
    <w:rsid w:val="008D5643"/>
    <w:rsid w:val="008D5787"/>
    <w:rsid w:val="008D6678"/>
    <w:rsid w:val="008D6E75"/>
    <w:rsid w:val="008E00CA"/>
    <w:rsid w:val="008E02FE"/>
    <w:rsid w:val="008E0B07"/>
    <w:rsid w:val="008E0C6C"/>
    <w:rsid w:val="008E113B"/>
    <w:rsid w:val="008E11D1"/>
    <w:rsid w:val="008E2323"/>
    <w:rsid w:val="008E2F22"/>
    <w:rsid w:val="008E3036"/>
    <w:rsid w:val="008E4197"/>
    <w:rsid w:val="008E4BD4"/>
    <w:rsid w:val="008E4D7B"/>
    <w:rsid w:val="008E6C50"/>
    <w:rsid w:val="008E776E"/>
    <w:rsid w:val="008F031D"/>
    <w:rsid w:val="008F090B"/>
    <w:rsid w:val="008F0C8F"/>
    <w:rsid w:val="008F19F4"/>
    <w:rsid w:val="008F20AD"/>
    <w:rsid w:val="008F3FED"/>
    <w:rsid w:val="008F4465"/>
    <w:rsid w:val="008F4D98"/>
    <w:rsid w:val="008F554D"/>
    <w:rsid w:val="008F587E"/>
    <w:rsid w:val="008F65E2"/>
    <w:rsid w:val="008F6C42"/>
    <w:rsid w:val="008F6E4B"/>
    <w:rsid w:val="008F7B0E"/>
    <w:rsid w:val="00900EA0"/>
    <w:rsid w:val="00904506"/>
    <w:rsid w:val="00905901"/>
    <w:rsid w:val="009059C0"/>
    <w:rsid w:val="0091126E"/>
    <w:rsid w:val="009125CB"/>
    <w:rsid w:val="00913C7A"/>
    <w:rsid w:val="00914A7E"/>
    <w:rsid w:val="009166C7"/>
    <w:rsid w:val="00917416"/>
    <w:rsid w:val="00920384"/>
    <w:rsid w:val="009203DB"/>
    <w:rsid w:val="00920BD1"/>
    <w:rsid w:val="00922A11"/>
    <w:rsid w:val="009233B4"/>
    <w:rsid w:val="009234DF"/>
    <w:rsid w:val="00924ED2"/>
    <w:rsid w:val="00925B5A"/>
    <w:rsid w:val="00926FAE"/>
    <w:rsid w:val="00931593"/>
    <w:rsid w:val="0093389C"/>
    <w:rsid w:val="0093585C"/>
    <w:rsid w:val="00937090"/>
    <w:rsid w:val="009375B8"/>
    <w:rsid w:val="00937939"/>
    <w:rsid w:val="009403BC"/>
    <w:rsid w:val="00940BFF"/>
    <w:rsid w:val="009416F1"/>
    <w:rsid w:val="00942432"/>
    <w:rsid w:val="0094340C"/>
    <w:rsid w:val="00943EC6"/>
    <w:rsid w:val="00944317"/>
    <w:rsid w:val="00946121"/>
    <w:rsid w:val="009463E7"/>
    <w:rsid w:val="0094657E"/>
    <w:rsid w:val="009471E8"/>
    <w:rsid w:val="00947A04"/>
    <w:rsid w:val="0095036E"/>
    <w:rsid w:val="00950729"/>
    <w:rsid w:val="00951B4F"/>
    <w:rsid w:val="009557FC"/>
    <w:rsid w:val="009565EC"/>
    <w:rsid w:val="0095680F"/>
    <w:rsid w:val="00960C68"/>
    <w:rsid w:val="00961C36"/>
    <w:rsid w:val="009621E9"/>
    <w:rsid w:val="00962322"/>
    <w:rsid w:val="009648F0"/>
    <w:rsid w:val="00965E4D"/>
    <w:rsid w:val="009666B5"/>
    <w:rsid w:val="00967746"/>
    <w:rsid w:val="00967987"/>
    <w:rsid w:val="00970F4E"/>
    <w:rsid w:val="00971BC2"/>
    <w:rsid w:val="00971BC8"/>
    <w:rsid w:val="00971F54"/>
    <w:rsid w:val="0097387D"/>
    <w:rsid w:val="00975B56"/>
    <w:rsid w:val="00975D27"/>
    <w:rsid w:val="00975EC3"/>
    <w:rsid w:val="00977FB7"/>
    <w:rsid w:val="009803FE"/>
    <w:rsid w:val="0098134E"/>
    <w:rsid w:val="009816EC"/>
    <w:rsid w:val="00983497"/>
    <w:rsid w:val="00984583"/>
    <w:rsid w:val="00986E5D"/>
    <w:rsid w:val="009906CB"/>
    <w:rsid w:val="00991F89"/>
    <w:rsid w:val="009926BD"/>
    <w:rsid w:val="009929B8"/>
    <w:rsid w:val="00993B2E"/>
    <w:rsid w:val="00994204"/>
    <w:rsid w:val="00996BE4"/>
    <w:rsid w:val="00996E9D"/>
    <w:rsid w:val="00997259"/>
    <w:rsid w:val="00997DBE"/>
    <w:rsid w:val="009A1263"/>
    <w:rsid w:val="009A3DB5"/>
    <w:rsid w:val="009A4AC9"/>
    <w:rsid w:val="009A50AD"/>
    <w:rsid w:val="009A76C2"/>
    <w:rsid w:val="009B1CB2"/>
    <w:rsid w:val="009B3A9C"/>
    <w:rsid w:val="009B3AF8"/>
    <w:rsid w:val="009B443F"/>
    <w:rsid w:val="009B4BAF"/>
    <w:rsid w:val="009B5DCD"/>
    <w:rsid w:val="009C0435"/>
    <w:rsid w:val="009C14A3"/>
    <w:rsid w:val="009C1536"/>
    <w:rsid w:val="009C3386"/>
    <w:rsid w:val="009C33F1"/>
    <w:rsid w:val="009C419F"/>
    <w:rsid w:val="009C42A8"/>
    <w:rsid w:val="009C4583"/>
    <w:rsid w:val="009C5181"/>
    <w:rsid w:val="009C5E29"/>
    <w:rsid w:val="009C6E8B"/>
    <w:rsid w:val="009C7830"/>
    <w:rsid w:val="009D0968"/>
    <w:rsid w:val="009D23CD"/>
    <w:rsid w:val="009D31EF"/>
    <w:rsid w:val="009D3D31"/>
    <w:rsid w:val="009D41CF"/>
    <w:rsid w:val="009D436C"/>
    <w:rsid w:val="009D4EFD"/>
    <w:rsid w:val="009D69CD"/>
    <w:rsid w:val="009E0708"/>
    <w:rsid w:val="009E30EA"/>
    <w:rsid w:val="009E3275"/>
    <w:rsid w:val="009E38B5"/>
    <w:rsid w:val="009E597A"/>
    <w:rsid w:val="009E6A15"/>
    <w:rsid w:val="009E7C8A"/>
    <w:rsid w:val="009F0770"/>
    <w:rsid w:val="009F0FCC"/>
    <w:rsid w:val="009F1F43"/>
    <w:rsid w:val="009F2408"/>
    <w:rsid w:val="009F41CA"/>
    <w:rsid w:val="009F4D65"/>
    <w:rsid w:val="009F4E3F"/>
    <w:rsid w:val="009F5194"/>
    <w:rsid w:val="009F5F6F"/>
    <w:rsid w:val="00A00B29"/>
    <w:rsid w:val="00A00B9D"/>
    <w:rsid w:val="00A01494"/>
    <w:rsid w:val="00A01B56"/>
    <w:rsid w:val="00A01EF3"/>
    <w:rsid w:val="00A02677"/>
    <w:rsid w:val="00A02B7B"/>
    <w:rsid w:val="00A062DD"/>
    <w:rsid w:val="00A07B2F"/>
    <w:rsid w:val="00A07C6A"/>
    <w:rsid w:val="00A07DC7"/>
    <w:rsid w:val="00A10427"/>
    <w:rsid w:val="00A11405"/>
    <w:rsid w:val="00A11704"/>
    <w:rsid w:val="00A12C0B"/>
    <w:rsid w:val="00A13529"/>
    <w:rsid w:val="00A1354C"/>
    <w:rsid w:val="00A13FE7"/>
    <w:rsid w:val="00A1532D"/>
    <w:rsid w:val="00A15842"/>
    <w:rsid w:val="00A208B1"/>
    <w:rsid w:val="00A2450D"/>
    <w:rsid w:val="00A26FD8"/>
    <w:rsid w:val="00A27F8B"/>
    <w:rsid w:val="00A30A46"/>
    <w:rsid w:val="00A30CE7"/>
    <w:rsid w:val="00A3205D"/>
    <w:rsid w:val="00A325EE"/>
    <w:rsid w:val="00A32774"/>
    <w:rsid w:val="00A3283C"/>
    <w:rsid w:val="00A33A01"/>
    <w:rsid w:val="00A33CA5"/>
    <w:rsid w:val="00A342B7"/>
    <w:rsid w:val="00A34600"/>
    <w:rsid w:val="00A35690"/>
    <w:rsid w:val="00A3669A"/>
    <w:rsid w:val="00A3706B"/>
    <w:rsid w:val="00A40EA4"/>
    <w:rsid w:val="00A43389"/>
    <w:rsid w:val="00A44660"/>
    <w:rsid w:val="00A4565C"/>
    <w:rsid w:val="00A45C42"/>
    <w:rsid w:val="00A47790"/>
    <w:rsid w:val="00A51331"/>
    <w:rsid w:val="00A55E0B"/>
    <w:rsid w:val="00A57239"/>
    <w:rsid w:val="00A62203"/>
    <w:rsid w:val="00A63255"/>
    <w:rsid w:val="00A64FC0"/>
    <w:rsid w:val="00A65645"/>
    <w:rsid w:val="00A66EC2"/>
    <w:rsid w:val="00A67131"/>
    <w:rsid w:val="00A6783B"/>
    <w:rsid w:val="00A7112F"/>
    <w:rsid w:val="00A71758"/>
    <w:rsid w:val="00A72E2D"/>
    <w:rsid w:val="00A73157"/>
    <w:rsid w:val="00A743C4"/>
    <w:rsid w:val="00A75C3F"/>
    <w:rsid w:val="00A76493"/>
    <w:rsid w:val="00A76900"/>
    <w:rsid w:val="00A76FEE"/>
    <w:rsid w:val="00A807A2"/>
    <w:rsid w:val="00A808CC"/>
    <w:rsid w:val="00A82A3E"/>
    <w:rsid w:val="00A82CB3"/>
    <w:rsid w:val="00A82CB4"/>
    <w:rsid w:val="00A843D2"/>
    <w:rsid w:val="00A8481F"/>
    <w:rsid w:val="00A84B63"/>
    <w:rsid w:val="00A8591F"/>
    <w:rsid w:val="00A85C6B"/>
    <w:rsid w:val="00A86A9C"/>
    <w:rsid w:val="00A900D8"/>
    <w:rsid w:val="00A905C8"/>
    <w:rsid w:val="00A90A75"/>
    <w:rsid w:val="00A91269"/>
    <w:rsid w:val="00A91570"/>
    <w:rsid w:val="00A91F4C"/>
    <w:rsid w:val="00A96FFB"/>
    <w:rsid w:val="00A97075"/>
    <w:rsid w:val="00A9724B"/>
    <w:rsid w:val="00AA04BB"/>
    <w:rsid w:val="00AA080D"/>
    <w:rsid w:val="00AA2988"/>
    <w:rsid w:val="00AA2A9E"/>
    <w:rsid w:val="00AA3197"/>
    <w:rsid w:val="00AA3B23"/>
    <w:rsid w:val="00AA581B"/>
    <w:rsid w:val="00AA60B5"/>
    <w:rsid w:val="00AA6A3C"/>
    <w:rsid w:val="00AA7E4B"/>
    <w:rsid w:val="00AB0075"/>
    <w:rsid w:val="00AB0168"/>
    <w:rsid w:val="00AB0B74"/>
    <w:rsid w:val="00AB1160"/>
    <w:rsid w:val="00AB13D0"/>
    <w:rsid w:val="00AB1F70"/>
    <w:rsid w:val="00AB3839"/>
    <w:rsid w:val="00AB5367"/>
    <w:rsid w:val="00AB77CD"/>
    <w:rsid w:val="00AC03B9"/>
    <w:rsid w:val="00AC0573"/>
    <w:rsid w:val="00AC0657"/>
    <w:rsid w:val="00AC0D54"/>
    <w:rsid w:val="00AC2E39"/>
    <w:rsid w:val="00AC357D"/>
    <w:rsid w:val="00AC3CE6"/>
    <w:rsid w:val="00AC5601"/>
    <w:rsid w:val="00AC5760"/>
    <w:rsid w:val="00AC5D70"/>
    <w:rsid w:val="00AC5FF3"/>
    <w:rsid w:val="00AC716A"/>
    <w:rsid w:val="00AC7491"/>
    <w:rsid w:val="00AD1681"/>
    <w:rsid w:val="00AD468F"/>
    <w:rsid w:val="00AD4BA0"/>
    <w:rsid w:val="00AD5C11"/>
    <w:rsid w:val="00AE0637"/>
    <w:rsid w:val="00AE0AEB"/>
    <w:rsid w:val="00AE0CF1"/>
    <w:rsid w:val="00AE219E"/>
    <w:rsid w:val="00AE22FA"/>
    <w:rsid w:val="00AE3A56"/>
    <w:rsid w:val="00AE3D24"/>
    <w:rsid w:val="00AE3ED0"/>
    <w:rsid w:val="00AE43C5"/>
    <w:rsid w:val="00AE48E9"/>
    <w:rsid w:val="00AE5278"/>
    <w:rsid w:val="00AE530A"/>
    <w:rsid w:val="00AE57D4"/>
    <w:rsid w:val="00AE59C7"/>
    <w:rsid w:val="00AF0960"/>
    <w:rsid w:val="00AF0B12"/>
    <w:rsid w:val="00AF11FA"/>
    <w:rsid w:val="00AF20BD"/>
    <w:rsid w:val="00AF2906"/>
    <w:rsid w:val="00AF436C"/>
    <w:rsid w:val="00AF4733"/>
    <w:rsid w:val="00AF71F9"/>
    <w:rsid w:val="00AF7A77"/>
    <w:rsid w:val="00B01497"/>
    <w:rsid w:val="00B019D7"/>
    <w:rsid w:val="00B02AB9"/>
    <w:rsid w:val="00B02E21"/>
    <w:rsid w:val="00B054D6"/>
    <w:rsid w:val="00B05B82"/>
    <w:rsid w:val="00B10F65"/>
    <w:rsid w:val="00B11AB5"/>
    <w:rsid w:val="00B11D24"/>
    <w:rsid w:val="00B12470"/>
    <w:rsid w:val="00B12532"/>
    <w:rsid w:val="00B129C1"/>
    <w:rsid w:val="00B12C98"/>
    <w:rsid w:val="00B133ED"/>
    <w:rsid w:val="00B1500F"/>
    <w:rsid w:val="00B150C3"/>
    <w:rsid w:val="00B16ED8"/>
    <w:rsid w:val="00B229A0"/>
    <w:rsid w:val="00B22F3B"/>
    <w:rsid w:val="00B23099"/>
    <w:rsid w:val="00B23786"/>
    <w:rsid w:val="00B23B87"/>
    <w:rsid w:val="00B245C9"/>
    <w:rsid w:val="00B257DF"/>
    <w:rsid w:val="00B25974"/>
    <w:rsid w:val="00B261BB"/>
    <w:rsid w:val="00B263FA"/>
    <w:rsid w:val="00B27B0A"/>
    <w:rsid w:val="00B27DCA"/>
    <w:rsid w:val="00B30205"/>
    <w:rsid w:val="00B306AB"/>
    <w:rsid w:val="00B30810"/>
    <w:rsid w:val="00B30C06"/>
    <w:rsid w:val="00B31477"/>
    <w:rsid w:val="00B3170D"/>
    <w:rsid w:val="00B32227"/>
    <w:rsid w:val="00B324DB"/>
    <w:rsid w:val="00B32833"/>
    <w:rsid w:val="00B335E4"/>
    <w:rsid w:val="00B34364"/>
    <w:rsid w:val="00B34792"/>
    <w:rsid w:val="00B34B53"/>
    <w:rsid w:val="00B34C0B"/>
    <w:rsid w:val="00B34E52"/>
    <w:rsid w:val="00B35019"/>
    <w:rsid w:val="00B35BEA"/>
    <w:rsid w:val="00B35F5B"/>
    <w:rsid w:val="00B36936"/>
    <w:rsid w:val="00B37149"/>
    <w:rsid w:val="00B37E42"/>
    <w:rsid w:val="00B40C00"/>
    <w:rsid w:val="00B40CE6"/>
    <w:rsid w:val="00B424BC"/>
    <w:rsid w:val="00B42C81"/>
    <w:rsid w:val="00B444C4"/>
    <w:rsid w:val="00B44657"/>
    <w:rsid w:val="00B4488C"/>
    <w:rsid w:val="00B46B76"/>
    <w:rsid w:val="00B473CF"/>
    <w:rsid w:val="00B51AEE"/>
    <w:rsid w:val="00B531EE"/>
    <w:rsid w:val="00B53794"/>
    <w:rsid w:val="00B5482F"/>
    <w:rsid w:val="00B548ED"/>
    <w:rsid w:val="00B5625D"/>
    <w:rsid w:val="00B5663E"/>
    <w:rsid w:val="00B5679C"/>
    <w:rsid w:val="00B5796C"/>
    <w:rsid w:val="00B60274"/>
    <w:rsid w:val="00B609F3"/>
    <w:rsid w:val="00B62155"/>
    <w:rsid w:val="00B6255D"/>
    <w:rsid w:val="00B62764"/>
    <w:rsid w:val="00B646FA"/>
    <w:rsid w:val="00B64FEC"/>
    <w:rsid w:val="00B65877"/>
    <w:rsid w:val="00B65B9D"/>
    <w:rsid w:val="00B65E09"/>
    <w:rsid w:val="00B65FB2"/>
    <w:rsid w:val="00B661A8"/>
    <w:rsid w:val="00B67BF2"/>
    <w:rsid w:val="00B67DE6"/>
    <w:rsid w:val="00B715EF"/>
    <w:rsid w:val="00B721D8"/>
    <w:rsid w:val="00B7237A"/>
    <w:rsid w:val="00B7263C"/>
    <w:rsid w:val="00B73202"/>
    <w:rsid w:val="00B73932"/>
    <w:rsid w:val="00B74E58"/>
    <w:rsid w:val="00B760ED"/>
    <w:rsid w:val="00B762CD"/>
    <w:rsid w:val="00B76D04"/>
    <w:rsid w:val="00B7740A"/>
    <w:rsid w:val="00B80386"/>
    <w:rsid w:val="00B8076C"/>
    <w:rsid w:val="00B80A41"/>
    <w:rsid w:val="00B813FB"/>
    <w:rsid w:val="00B81878"/>
    <w:rsid w:val="00B83D6F"/>
    <w:rsid w:val="00B84853"/>
    <w:rsid w:val="00B84E65"/>
    <w:rsid w:val="00B86064"/>
    <w:rsid w:val="00B900E1"/>
    <w:rsid w:val="00B9248E"/>
    <w:rsid w:val="00B927D8"/>
    <w:rsid w:val="00B931AE"/>
    <w:rsid w:val="00B93E71"/>
    <w:rsid w:val="00B9544D"/>
    <w:rsid w:val="00B95CCE"/>
    <w:rsid w:val="00B96678"/>
    <w:rsid w:val="00B971AC"/>
    <w:rsid w:val="00BA00C6"/>
    <w:rsid w:val="00BA01A2"/>
    <w:rsid w:val="00BA0FB5"/>
    <w:rsid w:val="00BA10B5"/>
    <w:rsid w:val="00BA147F"/>
    <w:rsid w:val="00BA267B"/>
    <w:rsid w:val="00BA2F31"/>
    <w:rsid w:val="00BA3A58"/>
    <w:rsid w:val="00BA5503"/>
    <w:rsid w:val="00BA5A98"/>
    <w:rsid w:val="00BA614F"/>
    <w:rsid w:val="00BA6FB1"/>
    <w:rsid w:val="00BB0329"/>
    <w:rsid w:val="00BB0439"/>
    <w:rsid w:val="00BB0A40"/>
    <w:rsid w:val="00BB15FA"/>
    <w:rsid w:val="00BB1723"/>
    <w:rsid w:val="00BB1956"/>
    <w:rsid w:val="00BB2C6B"/>
    <w:rsid w:val="00BB2CEF"/>
    <w:rsid w:val="00BB38A5"/>
    <w:rsid w:val="00BB3F1F"/>
    <w:rsid w:val="00BB4D20"/>
    <w:rsid w:val="00BB54C1"/>
    <w:rsid w:val="00BB56F7"/>
    <w:rsid w:val="00BB611E"/>
    <w:rsid w:val="00BB65E2"/>
    <w:rsid w:val="00BB71D1"/>
    <w:rsid w:val="00BC010E"/>
    <w:rsid w:val="00BC1D2D"/>
    <w:rsid w:val="00BC2624"/>
    <w:rsid w:val="00BC264F"/>
    <w:rsid w:val="00BC2E18"/>
    <w:rsid w:val="00BC37F2"/>
    <w:rsid w:val="00BC4793"/>
    <w:rsid w:val="00BC49AF"/>
    <w:rsid w:val="00BC597A"/>
    <w:rsid w:val="00BC6100"/>
    <w:rsid w:val="00BC61BC"/>
    <w:rsid w:val="00BD09EC"/>
    <w:rsid w:val="00BD1AE5"/>
    <w:rsid w:val="00BD1EB1"/>
    <w:rsid w:val="00BD2ADD"/>
    <w:rsid w:val="00BD2B5D"/>
    <w:rsid w:val="00BD337C"/>
    <w:rsid w:val="00BD485E"/>
    <w:rsid w:val="00BD594E"/>
    <w:rsid w:val="00BD7A97"/>
    <w:rsid w:val="00BD7BD2"/>
    <w:rsid w:val="00BD7E41"/>
    <w:rsid w:val="00BE024F"/>
    <w:rsid w:val="00BE0A74"/>
    <w:rsid w:val="00BE24A2"/>
    <w:rsid w:val="00BE2AEA"/>
    <w:rsid w:val="00BE3378"/>
    <w:rsid w:val="00BE3595"/>
    <w:rsid w:val="00BE4AF4"/>
    <w:rsid w:val="00BE4E6E"/>
    <w:rsid w:val="00BE5EBA"/>
    <w:rsid w:val="00BE6982"/>
    <w:rsid w:val="00BE7037"/>
    <w:rsid w:val="00BE7962"/>
    <w:rsid w:val="00BF0786"/>
    <w:rsid w:val="00BF0F6D"/>
    <w:rsid w:val="00BF0FF9"/>
    <w:rsid w:val="00BF2747"/>
    <w:rsid w:val="00BF3138"/>
    <w:rsid w:val="00BF4F50"/>
    <w:rsid w:val="00BF5D4B"/>
    <w:rsid w:val="00BF6BBD"/>
    <w:rsid w:val="00BF7DA3"/>
    <w:rsid w:val="00C016F8"/>
    <w:rsid w:val="00C0170B"/>
    <w:rsid w:val="00C01DFA"/>
    <w:rsid w:val="00C022F9"/>
    <w:rsid w:val="00C02DBD"/>
    <w:rsid w:val="00C04A1B"/>
    <w:rsid w:val="00C072F4"/>
    <w:rsid w:val="00C07921"/>
    <w:rsid w:val="00C07EDD"/>
    <w:rsid w:val="00C10A87"/>
    <w:rsid w:val="00C12246"/>
    <w:rsid w:val="00C13C85"/>
    <w:rsid w:val="00C13D05"/>
    <w:rsid w:val="00C152F1"/>
    <w:rsid w:val="00C167FC"/>
    <w:rsid w:val="00C169CF"/>
    <w:rsid w:val="00C17C2E"/>
    <w:rsid w:val="00C2005E"/>
    <w:rsid w:val="00C207B9"/>
    <w:rsid w:val="00C2116D"/>
    <w:rsid w:val="00C2130C"/>
    <w:rsid w:val="00C218DB"/>
    <w:rsid w:val="00C22340"/>
    <w:rsid w:val="00C23055"/>
    <w:rsid w:val="00C2328C"/>
    <w:rsid w:val="00C23D6E"/>
    <w:rsid w:val="00C2771C"/>
    <w:rsid w:val="00C27765"/>
    <w:rsid w:val="00C279FA"/>
    <w:rsid w:val="00C27C57"/>
    <w:rsid w:val="00C3193D"/>
    <w:rsid w:val="00C321E4"/>
    <w:rsid w:val="00C331C2"/>
    <w:rsid w:val="00C33FC5"/>
    <w:rsid w:val="00C34A7C"/>
    <w:rsid w:val="00C34CDC"/>
    <w:rsid w:val="00C3508D"/>
    <w:rsid w:val="00C350AB"/>
    <w:rsid w:val="00C354CF"/>
    <w:rsid w:val="00C35630"/>
    <w:rsid w:val="00C364BC"/>
    <w:rsid w:val="00C371F8"/>
    <w:rsid w:val="00C42118"/>
    <w:rsid w:val="00C42763"/>
    <w:rsid w:val="00C429ED"/>
    <w:rsid w:val="00C42F7E"/>
    <w:rsid w:val="00C437EB"/>
    <w:rsid w:val="00C438A6"/>
    <w:rsid w:val="00C4430A"/>
    <w:rsid w:val="00C45013"/>
    <w:rsid w:val="00C46898"/>
    <w:rsid w:val="00C46D8F"/>
    <w:rsid w:val="00C47064"/>
    <w:rsid w:val="00C47A32"/>
    <w:rsid w:val="00C505B4"/>
    <w:rsid w:val="00C51E16"/>
    <w:rsid w:val="00C52497"/>
    <w:rsid w:val="00C53C31"/>
    <w:rsid w:val="00C5635D"/>
    <w:rsid w:val="00C57013"/>
    <w:rsid w:val="00C57BAB"/>
    <w:rsid w:val="00C57F5D"/>
    <w:rsid w:val="00C60115"/>
    <w:rsid w:val="00C60D9C"/>
    <w:rsid w:val="00C6176E"/>
    <w:rsid w:val="00C62EE9"/>
    <w:rsid w:val="00C63E87"/>
    <w:rsid w:val="00C64961"/>
    <w:rsid w:val="00C657B6"/>
    <w:rsid w:val="00C67200"/>
    <w:rsid w:val="00C675C2"/>
    <w:rsid w:val="00C70A96"/>
    <w:rsid w:val="00C713E2"/>
    <w:rsid w:val="00C72E33"/>
    <w:rsid w:val="00C737B2"/>
    <w:rsid w:val="00C7385A"/>
    <w:rsid w:val="00C738E1"/>
    <w:rsid w:val="00C74BD4"/>
    <w:rsid w:val="00C75D6F"/>
    <w:rsid w:val="00C762B5"/>
    <w:rsid w:val="00C813EA"/>
    <w:rsid w:val="00C817B8"/>
    <w:rsid w:val="00C81DD5"/>
    <w:rsid w:val="00C85516"/>
    <w:rsid w:val="00C85BE4"/>
    <w:rsid w:val="00C86139"/>
    <w:rsid w:val="00C86632"/>
    <w:rsid w:val="00C87948"/>
    <w:rsid w:val="00C90D56"/>
    <w:rsid w:val="00C9225A"/>
    <w:rsid w:val="00C94249"/>
    <w:rsid w:val="00C9513B"/>
    <w:rsid w:val="00C96D89"/>
    <w:rsid w:val="00CA10C2"/>
    <w:rsid w:val="00CA12EF"/>
    <w:rsid w:val="00CA3442"/>
    <w:rsid w:val="00CA3FE5"/>
    <w:rsid w:val="00CA4685"/>
    <w:rsid w:val="00CA4F40"/>
    <w:rsid w:val="00CA5254"/>
    <w:rsid w:val="00CA599B"/>
    <w:rsid w:val="00CA7C8F"/>
    <w:rsid w:val="00CB15F8"/>
    <w:rsid w:val="00CB1711"/>
    <w:rsid w:val="00CB1D4B"/>
    <w:rsid w:val="00CB3D6A"/>
    <w:rsid w:val="00CB40F0"/>
    <w:rsid w:val="00CB7719"/>
    <w:rsid w:val="00CC119E"/>
    <w:rsid w:val="00CC2A73"/>
    <w:rsid w:val="00CC3C21"/>
    <w:rsid w:val="00CC3E0D"/>
    <w:rsid w:val="00CC4EA5"/>
    <w:rsid w:val="00CC5700"/>
    <w:rsid w:val="00CC656F"/>
    <w:rsid w:val="00CC74E3"/>
    <w:rsid w:val="00CD1C72"/>
    <w:rsid w:val="00CD2106"/>
    <w:rsid w:val="00CD2BFD"/>
    <w:rsid w:val="00CD6756"/>
    <w:rsid w:val="00CE050A"/>
    <w:rsid w:val="00CE245F"/>
    <w:rsid w:val="00CE2534"/>
    <w:rsid w:val="00CE25FD"/>
    <w:rsid w:val="00CE70E7"/>
    <w:rsid w:val="00CE78CE"/>
    <w:rsid w:val="00CE7A77"/>
    <w:rsid w:val="00CE7F28"/>
    <w:rsid w:val="00CF25F6"/>
    <w:rsid w:val="00CF31CF"/>
    <w:rsid w:val="00CF4E9F"/>
    <w:rsid w:val="00CF529D"/>
    <w:rsid w:val="00CF567B"/>
    <w:rsid w:val="00CF65E1"/>
    <w:rsid w:val="00CF72D1"/>
    <w:rsid w:val="00CF7718"/>
    <w:rsid w:val="00CF7D97"/>
    <w:rsid w:val="00D00C8C"/>
    <w:rsid w:val="00D016E2"/>
    <w:rsid w:val="00D0227B"/>
    <w:rsid w:val="00D04F0B"/>
    <w:rsid w:val="00D05D2E"/>
    <w:rsid w:val="00D05E39"/>
    <w:rsid w:val="00D0617A"/>
    <w:rsid w:val="00D063CA"/>
    <w:rsid w:val="00D11C86"/>
    <w:rsid w:val="00D13CFB"/>
    <w:rsid w:val="00D148A2"/>
    <w:rsid w:val="00D149D5"/>
    <w:rsid w:val="00D14C9C"/>
    <w:rsid w:val="00D159DD"/>
    <w:rsid w:val="00D16349"/>
    <w:rsid w:val="00D21DCD"/>
    <w:rsid w:val="00D220E7"/>
    <w:rsid w:val="00D22F0A"/>
    <w:rsid w:val="00D2343F"/>
    <w:rsid w:val="00D23B5D"/>
    <w:rsid w:val="00D25A76"/>
    <w:rsid w:val="00D27BCF"/>
    <w:rsid w:val="00D30147"/>
    <w:rsid w:val="00D315DB"/>
    <w:rsid w:val="00D31C1A"/>
    <w:rsid w:val="00D32618"/>
    <w:rsid w:val="00D32E14"/>
    <w:rsid w:val="00D336AF"/>
    <w:rsid w:val="00D33FF0"/>
    <w:rsid w:val="00D345AA"/>
    <w:rsid w:val="00D3493D"/>
    <w:rsid w:val="00D366AD"/>
    <w:rsid w:val="00D37A3C"/>
    <w:rsid w:val="00D37BDF"/>
    <w:rsid w:val="00D40E7F"/>
    <w:rsid w:val="00D420FF"/>
    <w:rsid w:val="00D42668"/>
    <w:rsid w:val="00D428E4"/>
    <w:rsid w:val="00D4350B"/>
    <w:rsid w:val="00D43FEB"/>
    <w:rsid w:val="00D440B7"/>
    <w:rsid w:val="00D441AC"/>
    <w:rsid w:val="00D45BEE"/>
    <w:rsid w:val="00D45F8F"/>
    <w:rsid w:val="00D46E83"/>
    <w:rsid w:val="00D479C8"/>
    <w:rsid w:val="00D47A06"/>
    <w:rsid w:val="00D52CAF"/>
    <w:rsid w:val="00D52EC6"/>
    <w:rsid w:val="00D53180"/>
    <w:rsid w:val="00D535EB"/>
    <w:rsid w:val="00D55BB1"/>
    <w:rsid w:val="00D55E8A"/>
    <w:rsid w:val="00D575F8"/>
    <w:rsid w:val="00D616CC"/>
    <w:rsid w:val="00D6368E"/>
    <w:rsid w:val="00D639C6"/>
    <w:rsid w:val="00D649E0"/>
    <w:rsid w:val="00D64EF6"/>
    <w:rsid w:val="00D66A3D"/>
    <w:rsid w:val="00D67600"/>
    <w:rsid w:val="00D703F3"/>
    <w:rsid w:val="00D70921"/>
    <w:rsid w:val="00D70AD1"/>
    <w:rsid w:val="00D70AED"/>
    <w:rsid w:val="00D70FAB"/>
    <w:rsid w:val="00D71DD7"/>
    <w:rsid w:val="00D72F24"/>
    <w:rsid w:val="00D743F3"/>
    <w:rsid w:val="00D755E1"/>
    <w:rsid w:val="00D764D5"/>
    <w:rsid w:val="00D76674"/>
    <w:rsid w:val="00D76C3D"/>
    <w:rsid w:val="00D76FEC"/>
    <w:rsid w:val="00D77580"/>
    <w:rsid w:val="00D77A14"/>
    <w:rsid w:val="00D83189"/>
    <w:rsid w:val="00D8499B"/>
    <w:rsid w:val="00D84A61"/>
    <w:rsid w:val="00D84D16"/>
    <w:rsid w:val="00D858B3"/>
    <w:rsid w:val="00D90CB4"/>
    <w:rsid w:val="00D90F90"/>
    <w:rsid w:val="00D915E1"/>
    <w:rsid w:val="00D919E8"/>
    <w:rsid w:val="00D9252A"/>
    <w:rsid w:val="00D92E36"/>
    <w:rsid w:val="00D933E9"/>
    <w:rsid w:val="00D95255"/>
    <w:rsid w:val="00D95E00"/>
    <w:rsid w:val="00D95F7B"/>
    <w:rsid w:val="00D97BCA"/>
    <w:rsid w:val="00DA1BE8"/>
    <w:rsid w:val="00DA2553"/>
    <w:rsid w:val="00DA2735"/>
    <w:rsid w:val="00DA3EFC"/>
    <w:rsid w:val="00DA4DE3"/>
    <w:rsid w:val="00DA5204"/>
    <w:rsid w:val="00DA588B"/>
    <w:rsid w:val="00DA619C"/>
    <w:rsid w:val="00DA6D73"/>
    <w:rsid w:val="00DB0330"/>
    <w:rsid w:val="00DB0A60"/>
    <w:rsid w:val="00DB0F9A"/>
    <w:rsid w:val="00DB12C5"/>
    <w:rsid w:val="00DB1453"/>
    <w:rsid w:val="00DB2A05"/>
    <w:rsid w:val="00DB3770"/>
    <w:rsid w:val="00DB455B"/>
    <w:rsid w:val="00DB4C6D"/>
    <w:rsid w:val="00DB4DE0"/>
    <w:rsid w:val="00DB4F92"/>
    <w:rsid w:val="00DB754F"/>
    <w:rsid w:val="00DB7D27"/>
    <w:rsid w:val="00DC08A6"/>
    <w:rsid w:val="00DC25E7"/>
    <w:rsid w:val="00DC2603"/>
    <w:rsid w:val="00DC30CC"/>
    <w:rsid w:val="00DC4AC0"/>
    <w:rsid w:val="00DC4D05"/>
    <w:rsid w:val="00DC57E0"/>
    <w:rsid w:val="00DC65D0"/>
    <w:rsid w:val="00DC6957"/>
    <w:rsid w:val="00DD05D7"/>
    <w:rsid w:val="00DD0C77"/>
    <w:rsid w:val="00DD1025"/>
    <w:rsid w:val="00DD18F4"/>
    <w:rsid w:val="00DD3FCF"/>
    <w:rsid w:val="00DD3FE0"/>
    <w:rsid w:val="00DD429E"/>
    <w:rsid w:val="00DD47E8"/>
    <w:rsid w:val="00DD5BD0"/>
    <w:rsid w:val="00DD7640"/>
    <w:rsid w:val="00DD76E8"/>
    <w:rsid w:val="00DD7CBA"/>
    <w:rsid w:val="00DE0DC4"/>
    <w:rsid w:val="00DE1CA2"/>
    <w:rsid w:val="00DE36D3"/>
    <w:rsid w:val="00DE54B1"/>
    <w:rsid w:val="00DE61CD"/>
    <w:rsid w:val="00DE6B29"/>
    <w:rsid w:val="00DF036E"/>
    <w:rsid w:val="00DF03BA"/>
    <w:rsid w:val="00DF18C4"/>
    <w:rsid w:val="00DF1975"/>
    <w:rsid w:val="00DF244E"/>
    <w:rsid w:val="00DF6A7A"/>
    <w:rsid w:val="00E008F8"/>
    <w:rsid w:val="00E00949"/>
    <w:rsid w:val="00E00B25"/>
    <w:rsid w:val="00E01AA4"/>
    <w:rsid w:val="00E0209C"/>
    <w:rsid w:val="00E02321"/>
    <w:rsid w:val="00E0296B"/>
    <w:rsid w:val="00E04893"/>
    <w:rsid w:val="00E07D83"/>
    <w:rsid w:val="00E106AC"/>
    <w:rsid w:val="00E12FC1"/>
    <w:rsid w:val="00E130DB"/>
    <w:rsid w:val="00E130F1"/>
    <w:rsid w:val="00E13A5A"/>
    <w:rsid w:val="00E13BA0"/>
    <w:rsid w:val="00E15F35"/>
    <w:rsid w:val="00E16CAF"/>
    <w:rsid w:val="00E16DBD"/>
    <w:rsid w:val="00E1724E"/>
    <w:rsid w:val="00E2089B"/>
    <w:rsid w:val="00E20DAB"/>
    <w:rsid w:val="00E22F4E"/>
    <w:rsid w:val="00E245DE"/>
    <w:rsid w:val="00E24903"/>
    <w:rsid w:val="00E24F78"/>
    <w:rsid w:val="00E300A6"/>
    <w:rsid w:val="00E31DC6"/>
    <w:rsid w:val="00E31ECD"/>
    <w:rsid w:val="00E33CCC"/>
    <w:rsid w:val="00E33DBF"/>
    <w:rsid w:val="00E34429"/>
    <w:rsid w:val="00E3470B"/>
    <w:rsid w:val="00E34A4C"/>
    <w:rsid w:val="00E3556A"/>
    <w:rsid w:val="00E37715"/>
    <w:rsid w:val="00E37890"/>
    <w:rsid w:val="00E37A6F"/>
    <w:rsid w:val="00E40334"/>
    <w:rsid w:val="00E4069D"/>
    <w:rsid w:val="00E40824"/>
    <w:rsid w:val="00E41022"/>
    <w:rsid w:val="00E42BAF"/>
    <w:rsid w:val="00E46CC8"/>
    <w:rsid w:val="00E47293"/>
    <w:rsid w:val="00E47617"/>
    <w:rsid w:val="00E47FAD"/>
    <w:rsid w:val="00E50335"/>
    <w:rsid w:val="00E52349"/>
    <w:rsid w:val="00E5278C"/>
    <w:rsid w:val="00E558E1"/>
    <w:rsid w:val="00E56238"/>
    <w:rsid w:val="00E5682B"/>
    <w:rsid w:val="00E5699C"/>
    <w:rsid w:val="00E578F5"/>
    <w:rsid w:val="00E604D1"/>
    <w:rsid w:val="00E607A9"/>
    <w:rsid w:val="00E6338B"/>
    <w:rsid w:val="00E64623"/>
    <w:rsid w:val="00E64CAC"/>
    <w:rsid w:val="00E65946"/>
    <w:rsid w:val="00E65B24"/>
    <w:rsid w:val="00E65E56"/>
    <w:rsid w:val="00E66B3D"/>
    <w:rsid w:val="00E67A35"/>
    <w:rsid w:val="00E701F5"/>
    <w:rsid w:val="00E70C2A"/>
    <w:rsid w:val="00E71655"/>
    <w:rsid w:val="00E72881"/>
    <w:rsid w:val="00E741C2"/>
    <w:rsid w:val="00E74D3A"/>
    <w:rsid w:val="00E752D1"/>
    <w:rsid w:val="00E758A2"/>
    <w:rsid w:val="00E76289"/>
    <w:rsid w:val="00E765E7"/>
    <w:rsid w:val="00E76A7B"/>
    <w:rsid w:val="00E76FBE"/>
    <w:rsid w:val="00E806CF"/>
    <w:rsid w:val="00E80D72"/>
    <w:rsid w:val="00E84D32"/>
    <w:rsid w:val="00E85585"/>
    <w:rsid w:val="00E85FB7"/>
    <w:rsid w:val="00E8763C"/>
    <w:rsid w:val="00E8797A"/>
    <w:rsid w:val="00E902A5"/>
    <w:rsid w:val="00E90E58"/>
    <w:rsid w:val="00E91EF1"/>
    <w:rsid w:val="00E9300B"/>
    <w:rsid w:val="00E93809"/>
    <w:rsid w:val="00E93D7F"/>
    <w:rsid w:val="00E96371"/>
    <w:rsid w:val="00E96FDC"/>
    <w:rsid w:val="00E97C15"/>
    <w:rsid w:val="00EA254F"/>
    <w:rsid w:val="00EA3619"/>
    <w:rsid w:val="00EA3CD8"/>
    <w:rsid w:val="00EA7B52"/>
    <w:rsid w:val="00EB0465"/>
    <w:rsid w:val="00EB05C8"/>
    <w:rsid w:val="00EB0943"/>
    <w:rsid w:val="00EB0CF6"/>
    <w:rsid w:val="00EB224C"/>
    <w:rsid w:val="00EB23E4"/>
    <w:rsid w:val="00EB27DB"/>
    <w:rsid w:val="00EB2EF1"/>
    <w:rsid w:val="00EB3759"/>
    <w:rsid w:val="00EB3AFA"/>
    <w:rsid w:val="00EB55E6"/>
    <w:rsid w:val="00EB5613"/>
    <w:rsid w:val="00EB7420"/>
    <w:rsid w:val="00EB7AD5"/>
    <w:rsid w:val="00EC0C1F"/>
    <w:rsid w:val="00EC0DA7"/>
    <w:rsid w:val="00EC13B9"/>
    <w:rsid w:val="00EC1BA1"/>
    <w:rsid w:val="00EC315B"/>
    <w:rsid w:val="00EC38B6"/>
    <w:rsid w:val="00EC3B48"/>
    <w:rsid w:val="00EC57C3"/>
    <w:rsid w:val="00EC5824"/>
    <w:rsid w:val="00EC5B29"/>
    <w:rsid w:val="00EC61E2"/>
    <w:rsid w:val="00EC6411"/>
    <w:rsid w:val="00EC6438"/>
    <w:rsid w:val="00EC730B"/>
    <w:rsid w:val="00ED008F"/>
    <w:rsid w:val="00ED2C50"/>
    <w:rsid w:val="00ED4297"/>
    <w:rsid w:val="00ED57E3"/>
    <w:rsid w:val="00ED5D43"/>
    <w:rsid w:val="00EE0640"/>
    <w:rsid w:val="00EE2280"/>
    <w:rsid w:val="00EE23D5"/>
    <w:rsid w:val="00EE3438"/>
    <w:rsid w:val="00EE3E61"/>
    <w:rsid w:val="00EE3F43"/>
    <w:rsid w:val="00EE3FBB"/>
    <w:rsid w:val="00EE5129"/>
    <w:rsid w:val="00EE5690"/>
    <w:rsid w:val="00EE6836"/>
    <w:rsid w:val="00EE7421"/>
    <w:rsid w:val="00EF0117"/>
    <w:rsid w:val="00EF0788"/>
    <w:rsid w:val="00EF2961"/>
    <w:rsid w:val="00EF29BC"/>
    <w:rsid w:val="00EF317B"/>
    <w:rsid w:val="00EF3195"/>
    <w:rsid w:val="00EF7A60"/>
    <w:rsid w:val="00F003A5"/>
    <w:rsid w:val="00F016A0"/>
    <w:rsid w:val="00F01E03"/>
    <w:rsid w:val="00F02442"/>
    <w:rsid w:val="00F02778"/>
    <w:rsid w:val="00F02A20"/>
    <w:rsid w:val="00F02F8B"/>
    <w:rsid w:val="00F038ED"/>
    <w:rsid w:val="00F04AB5"/>
    <w:rsid w:val="00F05F41"/>
    <w:rsid w:val="00F06E4F"/>
    <w:rsid w:val="00F07AF4"/>
    <w:rsid w:val="00F10A94"/>
    <w:rsid w:val="00F1121F"/>
    <w:rsid w:val="00F12662"/>
    <w:rsid w:val="00F1376B"/>
    <w:rsid w:val="00F1413E"/>
    <w:rsid w:val="00F1582A"/>
    <w:rsid w:val="00F15B06"/>
    <w:rsid w:val="00F169B3"/>
    <w:rsid w:val="00F16CF1"/>
    <w:rsid w:val="00F16E05"/>
    <w:rsid w:val="00F17175"/>
    <w:rsid w:val="00F17D92"/>
    <w:rsid w:val="00F2454C"/>
    <w:rsid w:val="00F25D94"/>
    <w:rsid w:val="00F26348"/>
    <w:rsid w:val="00F3009D"/>
    <w:rsid w:val="00F30107"/>
    <w:rsid w:val="00F32B06"/>
    <w:rsid w:val="00F36482"/>
    <w:rsid w:val="00F37CDF"/>
    <w:rsid w:val="00F410F1"/>
    <w:rsid w:val="00F42844"/>
    <w:rsid w:val="00F4357F"/>
    <w:rsid w:val="00F444A4"/>
    <w:rsid w:val="00F447C6"/>
    <w:rsid w:val="00F460C8"/>
    <w:rsid w:val="00F461FF"/>
    <w:rsid w:val="00F476D1"/>
    <w:rsid w:val="00F53DA7"/>
    <w:rsid w:val="00F541EC"/>
    <w:rsid w:val="00F54701"/>
    <w:rsid w:val="00F5498C"/>
    <w:rsid w:val="00F56015"/>
    <w:rsid w:val="00F5619B"/>
    <w:rsid w:val="00F56277"/>
    <w:rsid w:val="00F56BC4"/>
    <w:rsid w:val="00F56F4A"/>
    <w:rsid w:val="00F57D78"/>
    <w:rsid w:val="00F57DD3"/>
    <w:rsid w:val="00F57F8A"/>
    <w:rsid w:val="00F60555"/>
    <w:rsid w:val="00F60D95"/>
    <w:rsid w:val="00F619F0"/>
    <w:rsid w:val="00F62869"/>
    <w:rsid w:val="00F62C4B"/>
    <w:rsid w:val="00F64DF7"/>
    <w:rsid w:val="00F65F26"/>
    <w:rsid w:val="00F7265C"/>
    <w:rsid w:val="00F73490"/>
    <w:rsid w:val="00F744BE"/>
    <w:rsid w:val="00F7534B"/>
    <w:rsid w:val="00F753A3"/>
    <w:rsid w:val="00F76C38"/>
    <w:rsid w:val="00F779CD"/>
    <w:rsid w:val="00F80305"/>
    <w:rsid w:val="00F80402"/>
    <w:rsid w:val="00F8042F"/>
    <w:rsid w:val="00F8076C"/>
    <w:rsid w:val="00F80925"/>
    <w:rsid w:val="00F81418"/>
    <w:rsid w:val="00F8276C"/>
    <w:rsid w:val="00F83CE0"/>
    <w:rsid w:val="00F85430"/>
    <w:rsid w:val="00F87B99"/>
    <w:rsid w:val="00F87DA6"/>
    <w:rsid w:val="00F91A9C"/>
    <w:rsid w:val="00F91B4E"/>
    <w:rsid w:val="00F92772"/>
    <w:rsid w:val="00F92E6F"/>
    <w:rsid w:val="00F93489"/>
    <w:rsid w:val="00F93663"/>
    <w:rsid w:val="00F94765"/>
    <w:rsid w:val="00F956E5"/>
    <w:rsid w:val="00F96610"/>
    <w:rsid w:val="00FA2DA7"/>
    <w:rsid w:val="00FA3D2A"/>
    <w:rsid w:val="00FA65F1"/>
    <w:rsid w:val="00FA6BD0"/>
    <w:rsid w:val="00FA7493"/>
    <w:rsid w:val="00FB0D12"/>
    <w:rsid w:val="00FB0E1E"/>
    <w:rsid w:val="00FB20D6"/>
    <w:rsid w:val="00FB2AAC"/>
    <w:rsid w:val="00FB3E89"/>
    <w:rsid w:val="00FB3ED1"/>
    <w:rsid w:val="00FB4206"/>
    <w:rsid w:val="00FB4459"/>
    <w:rsid w:val="00FB5074"/>
    <w:rsid w:val="00FB575F"/>
    <w:rsid w:val="00FB7944"/>
    <w:rsid w:val="00FB7BB3"/>
    <w:rsid w:val="00FC146C"/>
    <w:rsid w:val="00FC18AB"/>
    <w:rsid w:val="00FC1BDC"/>
    <w:rsid w:val="00FC2095"/>
    <w:rsid w:val="00FC2480"/>
    <w:rsid w:val="00FC316B"/>
    <w:rsid w:val="00FC5EE1"/>
    <w:rsid w:val="00FC5F89"/>
    <w:rsid w:val="00FC640B"/>
    <w:rsid w:val="00FD02EB"/>
    <w:rsid w:val="00FD02F8"/>
    <w:rsid w:val="00FD175C"/>
    <w:rsid w:val="00FD26A5"/>
    <w:rsid w:val="00FD2BF3"/>
    <w:rsid w:val="00FD33FF"/>
    <w:rsid w:val="00FD36BF"/>
    <w:rsid w:val="00FD434C"/>
    <w:rsid w:val="00FD4D24"/>
    <w:rsid w:val="00FD5C3C"/>
    <w:rsid w:val="00FD625A"/>
    <w:rsid w:val="00FD6818"/>
    <w:rsid w:val="00FD7201"/>
    <w:rsid w:val="00FD7346"/>
    <w:rsid w:val="00FE1818"/>
    <w:rsid w:val="00FE1B65"/>
    <w:rsid w:val="00FE1B9F"/>
    <w:rsid w:val="00FE274D"/>
    <w:rsid w:val="00FE36F2"/>
    <w:rsid w:val="00FE3C87"/>
    <w:rsid w:val="00FE4383"/>
    <w:rsid w:val="00FF098A"/>
    <w:rsid w:val="00FF0FB1"/>
    <w:rsid w:val="00FF1171"/>
    <w:rsid w:val="00FF1588"/>
    <w:rsid w:val="00FF26B3"/>
    <w:rsid w:val="00FF486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9C7C2"/>
  <w15:chartTrackingRefBased/>
  <w15:docId w15:val="{A5A0841E-0771-4FCA-8AAC-E525C0369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BF4"/>
    <w:pPr>
      <w:spacing w:after="0" w:line="240" w:lineRule="auto"/>
    </w:pPr>
    <w:rPr>
      <w:rFonts w:ascii="Times New Roman" w:eastAsia="Times New Roman" w:hAnsi="Times New Roman" w:cs="Times New Roman"/>
      <w:sz w:val="24"/>
      <w:szCs w:val="24"/>
      <w:lang w:val="en-NG" w:eastAsia="en-NG"/>
    </w:rPr>
  </w:style>
  <w:style w:type="paragraph" w:styleId="Heading1">
    <w:name w:val="heading 1"/>
    <w:basedOn w:val="Normal"/>
    <w:next w:val="Normal"/>
    <w:link w:val="Heading1Char"/>
    <w:uiPriority w:val="9"/>
    <w:qFormat/>
    <w:rsid w:val="00B76D04"/>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link w:val="Heading2Char"/>
    <w:uiPriority w:val="9"/>
    <w:qFormat/>
    <w:rsid w:val="00B054D6"/>
    <w:pPr>
      <w:spacing w:before="100" w:beforeAutospacing="1" w:after="100" w:afterAutospacing="1"/>
      <w:outlineLvl w:val="1"/>
    </w:pPr>
    <w:rPr>
      <w:b/>
      <w:bCs/>
      <w:sz w:val="36"/>
      <w:szCs w:val="36"/>
      <w:lang w:eastAsia="en-US"/>
    </w:rPr>
  </w:style>
  <w:style w:type="paragraph" w:styleId="Heading6">
    <w:name w:val="heading 6"/>
    <w:basedOn w:val="Normal"/>
    <w:next w:val="Normal"/>
    <w:link w:val="Heading6Char"/>
    <w:uiPriority w:val="9"/>
    <w:semiHidden/>
    <w:unhideWhenUsed/>
    <w:qFormat/>
    <w:rsid w:val="005400B4"/>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54D6"/>
    <w:rPr>
      <w:rFonts w:ascii="Times New Roman" w:eastAsia="Times New Roman" w:hAnsi="Times New Roman" w:cs="Times New Roman"/>
      <w:b/>
      <w:bCs/>
      <w:sz w:val="36"/>
      <w:szCs w:val="36"/>
    </w:rPr>
  </w:style>
  <w:style w:type="paragraph" w:styleId="Title">
    <w:name w:val="Title"/>
    <w:basedOn w:val="Normal"/>
    <w:next w:val="Normal"/>
    <w:link w:val="TitleChar"/>
    <w:uiPriority w:val="10"/>
    <w:qFormat/>
    <w:rsid w:val="00B76D04"/>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B76D0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B76D04"/>
    <w:pPr>
      <w:tabs>
        <w:tab w:val="center" w:pos="4513"/>
        <w:tab w:val="right" w:pos="9026"/>
      </w:tabs>
    </w:pPr>
    <w:rPr>
      <w:rFonts w:asciiTheme="minorHAnsi" w:hAnsiTheme="minorHAnsi"/>
      <w:sz w:val="22"/>
      <w:szCs w:val="22"/>
      <w:lang w:eastAsia="en-US"/>
    </w:rPr>
  </w:style>
  <w:style w:type="character" w:customStyle="1" w:styleId="HeaderChar">
    <w:name w:val="Header Char"/>
    <w:basedOn w:val="DefaultParagraphFont"/>
    <w:link w:val="Header"/>
    <w:uiPriority w:val="99"/>
    <w:rsid w:val="00B76D04"/>
  </w:style>
  <w:style w:type="paragraph" w:styleId="Footer">
    <w:name w:val="footer"/>
    <w:basedOn w:val="Normal"/>
    <w:link w:val="FooterChar"/>
    <w:uiPriority w:val="99"/>
    <w:unhideWhenUsed/>
    <w:rsid w:val="00B76D04"/>
    <w:pPr>
      <w:tabs>
        <w:tab w:val="center" w:pos="4513"/>
        <w:tab w:val="right" w:pos="9026"/>
      </w:tabs>
    </w:pPr>
    <w:rPr>
      <w:rFonts w:asciiTheme="minorHAnsi" w:hAnsiTheme="minorHAnsi"/>
      <w:sz w:val="22"/>
      <w:szCs w:val="22"/>
      <w:lang w:eastAsia="en-US"/>
    </w:rPr>
  </w:style>
  <w:style w:type="character" w:customStyle="1" w:styleId="FooterChar">
    <w:name w:val="Footer Char"/>
    <w:basedOn w:val="DefaultParagraphFont"/>
    <w:link w:val="Footer"/>
    <w:uiPriority w:val="99"/>
    <w:rsid w:val="00B76D04"/>
  </w:style>
  <w:style w:type="character" w:customStyle="1" w:styleId="Heading1Char">
    <w:name w:val="Heading 1 Char"/>
    <w:basedOn w:val="DefaultParagraphFont"/>
    <w:link w:val="Heading1"/>
    <w:uiPriority w:val="9"/>
    <w:rsid w:val="00B76D04"/>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BD1AE5"/>
    <w:rPr>
      <w:i/>
      <w:iCs/>
    </w:rPr>
  </w:style>
  <w:style w:type="paragraph" w:styleId="NormalWeb">
    <w:name w:val="Normal (Web)"/>
    <w:basedOn w:val="Normal"/>
    <w:uiPriority w:val="99"/>
    <w:unhideWhenUsed/>
    <w:rsid w:val="00415141"/>
    <w:pPr>
      <w:spacing w:before="100" w:beforeAutospacing="1" w:after="100" w:afterAutospacing="1"/>
    </w:pPr>
    <w:rPr>
      <w:lang w:eastAsia="en-US"/>
    </w:rPr>
  </w:style>
  <w:style w:type="character" w:styleId="Hyperlink">
    <w:name w:val="Hyperlink"/>
    <w:basedOn w:val="DefaultParagraphFont"/>
    <w:uiPriority w:val="99"/>
    <w:semiHidden/>
    <w:unhideWhenUsed/>
    <w:rsid w:val="00415141"/>
    <w:rPr>
      <w:color w:val="0000FF"/>
      <w:u w:val="single"/>
    </w:rPr>
  </w:style>
  <w:style w:type="table" w:styleId="TableGrid">
    <w:name w:val="Table Grid"/>
    <w:basedOn w:val="TableNormal"/>
    <w:uiPriority w:val="39"/>
    <w:rsid w:val="00082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B731B"/>
    <w:pPr>
      <w:spacing w:after="0" w:line="240" w:lineRule="auto"/>
    </w:pPr>
    <w:rPr>
      <w:rFonts w:ascii="Calibri" w:eastAsia="Calibri" w:hAnsi="Calibri" w:cs="Calibri"/>
      <w:lang w:val="en-US" w:eastAsia="x-none"/>
    </w:rPr>
  </w:style>
  <w:style w:type="table" w:styleId="GridTable4-Accent5">
    <w:name w:val="Grid Table 4 Accent 5"/>
    <w:basedOn w:val="TableNormal"/>
    <w:uiPriority w:val="49"/>
    <w:rsid w:val="007B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2">
    <w:name w:val="Grid Table 2 Accent 2"/>
    <w:basedOn w:val="TableNormal"/>
    <w:uiPriority w:val="47"/>
    <w:rsid w:val="004C5E1C"/>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8E4BD4"/>
    <w:rPr>
      <w:rFonts w:ascii="Segoe UI" w:hAnsi="Segoe UI" w:cs="Segoe UI"/>
      <w:sz w:val="18"/>
      <w:szCs w:val="18"/>
      <w:lang w:eastAsia="en-US"/>
    </w:rPr>
  </w:style>
  <w:style w:type="character" w:customStyle="1" w:styleId="BalloonTextChar">
    <w:name w:val="Balloon Text Char"/>
    <w:basedOn w:val="DefaultParagraphFont"/>
    <w:link w:val="BalloonText"/>
    <w:uiPriority w:val="99"/>
    <w:semiHidden/>
    <w:rsid w:val="008E4BD4"/>
    <w:rPr>
      <w:rFonts w:ascii="Segoe UI" w:hAnsi="Segoe UI" w:cs="Segoe UI"/>
      <w:sz w:val="18"/>
      <w:szCs w:val="18"/>
    </w:rPr>
  </w:style>
  <w:style w:type="paragraph" w:styleId="ListParagraph">
    <w:name w:val="List Paragraph"/>
    <w:basedOn w:val="Normal"/>
    <w:uiPriority w:val="34"/>
    <w:qFormat/>
    <w:rsid w:val="00DE54B1"/>
    <w:pPr>
      <w:spacing w:after="160" w:line="259" w:lineRule="auto"/>
      <w:ind w:left="720"/>
      <w:contextualSpacing/>
    </w:pPr>
    <w:rPr>
      <w:rFonts w:asciiTheme="minorHAnsi" w:hAnsiTheme="minorHAnsi"/>
      <w:sz w:val="22"/>
      <w:szCs w:val="22"/>
      <w:lang w:eastAsia="en-US"/>
    </w:rPr>
  </w:style>
  <w:style w:type="table" w:styleId="GridTable2-Accent1">
    <w:name w:val="Grid Table 2 Accent 1"/>
    <w:basedOn w:val="TableNormal"/>
    <w:uiPriority w:val="47"/>
    <w:rsid w:val="00DE54B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3E5B70"/>
    <w:rPr>
      <w:b/>
      <w:bCs/>
    </w:rPr>
  </w:style>
  <w:style w:type="character" w:customStyle="1" w:styleId="line-clamp-1">
    <w:name w:val="line-clamp-1"/>
    <w:basedOn w:val="DefaultParagraphFont"/>
    <w:rsid w:val="00BB1723"/>
  </w:style>
  <w:style w:type="character" w:customStyle="1" w:styleId="overflow-hidden">
    <w:name w:val="overflow-hidden"/>
    <w:basedOn w:val="DefaultParagraphFont"/>
    <w:rsid w:val="00764F58"/>
  </w:style>
  <w:style w:type="character" w:customStyle="1" w:styleId="morecontent">
    <w:name w:val="morecontent"/>
    <w:basedOn w:val="DefaultParagraphFont"/>
    <w:rsid w:val="002D3B56"/>
  </w:style>
  <w:style w:type="paragraph" w:styleId="z-TopofForm">
    <w:name w:val="HTML Top of Form"/>
    <w:basedOn w:val="Normal"/>
    <w:next w:val="Normal"/>
    <w:link w:val="z-TopofFormChar"/>
    <w:hidden/>
    <w:uiPriority w:val="99"/>
    <w:semiHidden/>
    <w:unhideWhenUsed/>
    <w:rsid w:val="007A64B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A64B0"/>
    <w:rPr>
      <w:rFonts w:ascii="Arial" w:eastAsia="Times New Roman" w:hAnsi="Arial" w:cs="Arial"/>
      <w:vanish/>
      <w:sz w:val="16"/>
      <w:szCs w:val="16"/>
      <w:lang w:val="en-NG" w:eastAsia="en-NG"/>
    </w:rPr>
  </w:style>
  <w:style w:type="paragraph" w:customStyle="1" w:styleId="placeholder">
    <w:name w:val="placeholder"/>
    <w:basedOn w:val="Normal"/>
    <w:rsid w:val="007A64B0"/>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7A64B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A64B0"/>
    <w:rPr>
      <w:rFonts w:ascii="Arial" w:eastAsia="Times New Roman" w:hAnsi="Arial" w:cs="Arial"/>
      <w:vanish/>
      <w:sz w:val="16"/>
      <w:szCs w:val="16"/>
      <w:lang w:val="en-NG" w:eastAsia="en-NG"/>
    </w:rPr>
  </w:style>
  <w:style w:type="character" w:customStyle="1" w:styleId="sr-only">
    <w:name w:val="sr-only"/>
    <w:basedOn w:val="DefaultParagraphFont"/>
    <w:rsid w:val="00321C32"/>
  </w:style>
  <w:style w:type="character" w:customStyle="1" w:styleId="Heading6Char">
    <w:name w:val="Heading 6 Char"/>
    <w:basedOn w:val="DefaultParagraphFont"/>
    <w:link w:val="Heading6"/>
    <w:uiPriority w:val="9"/>
    <w:semiHidden/>
    <w:rsid w:val="005400B4"/>
    <w:rPr>
      <w:rFonts w:asciiTheme="majorHAnsi" w:eastAsiaTheme="majorEastAsia" w:hAnsiTheme="majorHAnsi" w:cstheme="majorBidi"/>
      <w:color w:val="1F3763" w:themeColor="accent1" w:themeShade="7F"/>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0867">
      <w:bodyDiv w:val="1"/>
      <w:marLeft w:val="0"/>
      <w:marRight w:val="0"/>
      <w:marTop w:val="0"/>
      <w:marBottom w:val="0"/>
      <w:divBdr>
        <w:top w:val="none" w:sz="0" w:space="0" w:color="auto"/>
        <w:left w:val="none" w:sz="0" w:space="0" w:color="auto"/>
        <w:bottom w:val="none" w:sz="0" w:space="0" w:color="auto"/>
        <w:right w:val="none" w:sz="0" w:space="0" w:color="auto"/>
      </w:divBdr>
      <w:divsChild>
        <w:div w:id="1619214414">
          <w:marLeft w:val="0"/>
          <w:marRight w:val="0"/>
          <w:marTop w:val="0"/>
          <w:marBottom w:val="0"/>
          <w:divBdr>
            <w:top w:val="none" w:sz="0" w:space="0" w:color="auto"/>
            <w:left w:val="none" w:sz="0" w:space="0" w:color="auto"/>
            <w:bottom w:val="none" w:sz="0" w:space="0" w:color="auto"/>
            <w:right w:val="none" w:sz="0" w:space="0" w:color="auto"/>
          </w:divBdr>
          <w:divsChild>
            <w:div w:id="1344624542">
              <w:marLeft w:val="0"/>
              <w:marRight w:val="0"/>
              <w:marTop w:val="0"/>
              <w:marBottom w:val="0"/>
              <w:divBdr>
                <w:top w:val="none" w:sz="0" w:space="0" w:color="auto"/>
                <w:left w:val="none" w:sz="0" w:space="0" w:color="auto"/>
                <w:bottom w:val="none" w:sz="0" w:space="0" w:color="auto"/>
                <w:right w:val="none" w:sz="0" w:space="0" w:color="auto"/>
              </w:divBdr>
              <w:divsChild>
                <w:div w:id="1555123477">
                  <w:marLeft w:val="0"/>
                  <w:marRight w:val="0"/>
                  <w:marTop w:val="0"/>
                  <w:marBottom w:val="0"/>
                  <w:divBdr>
                    <w:top w:val="none" w:sz="0" w:space="0" w:color="auto"/>
                    <w:left w:val="none" w:sz="0" w:space="0" w:color="auto"/>
                    <w:bottom w:val="none" w:sz="0" w:space="0" w:color="auto"/>
                    <w:right w:val="none" w:sz="0" w:space="0" w:color="auto"/>
                  </w:divBdr>
                  <w:divsChild>
                    <w:div w:id="863716636">
                      <w:marLeft w:val="0"/>
                      <w:marRight w:val="0"/>
                      <w:marTop w:val="0"/>
                      <w:marBottom w:val="0"/>
                      <w:divBdr>
                        <w:top w:val="none" w:sz="0" w:space="0" w:color="auto"/>
                        <w:left w:val="none" w:sz="0" w:space="0" w:color="auto"/>
                        <w:bottom w:val="none" w:sz="0" w:space="0" w:color="auto"/>
                        <w:right w:val="none" w:sz="0" w:space="0" w:color="auto"/>
                      </w:divBdr>
                      <w:divsChild>
                        <w:div w:id="848103312">
                          <w:marLeft w:val="0"/>
                          <w:marRight w:val="0"/>
                          <w:marTop w:val="0"/>
                          <w:marBottom w:val="0"/>
                          <w:divBdr>
                            <w:top w:val="none" w:sz="0" w:space="0" w:color="auto"/>
                            <w:left w:val="none" w:sz="0" w:space="0" w:color="auto"/>
                            <w:bottom w:val="none" w:sz="0" w:space="0" w:color="auto"/>
                            <w:right w:val="none" w:sz="0" w:space="0" w:color="auto"/>
                          </w:divBdr>
                          <w:divsChild>
                            <w:div w:id="21292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67375">
      <w:bodyDiv w:val="1"/>
      <w:marLeft w:val="0"/>
      <w:marRight w:val="0"/>
      <w:marTop w:val="0"/>
      <w:marBottom w:val="0"/>
      <w:divBdr>
        <w:top w:val="none" w:sz="0" w:space="0" w:color="auto"/>
        <w:left w:val="none" w:sz="0" w:space="0" w:color="auto"/>
        <w:bottom w:val="none" w:sz="0" w:space="0" w:color="auto"/>
        <w:right w:val="none" w:sz="0" w:space="0" w:color="auto"/>
      </w:divBdr>
    </w:div>
    <w:div w:id="154272997">
      <w:bodyDiv w:val="1"/>
      <w:marLeft w:val="0"/>
      <w:marRight w:val="0"/>
      <w:marTop w:val="0"/>
      <w:marBottom w:val="0"/>
      <w:divBdr>
        <w:top w:val="none" w:sz="0" w:space="0" w:color="auto"/>
        <w:left w:val="none" w:sz="0" w:space="0" w:color="auto"/>
        <w:bottom w:val="none" w:sz="0" w:space="0" w:color="auto"/>
        <w:right w:val="none" w:sz="0" w:space="0" w:color="auto"/>
      </w:divBdr>
    </w:div>
    <w:div w:id="158353481">
      <w:bodyDiv w:val="1"/>
      <w:marLeft w:val="0"/>
      <w:marRight w:val="0"/>
      <w:marTop w:val="0"/>
      <w:marBottom w:val="0"/>
      <w:divBdr>
        <w:top w:val="none" w:sz="0" w:space="0" w:color="auto"/>
        <w:left w:val="none" w:sz="0" w:space="0" w:color="auto"/>
        <w:bottom w:val="none" w:sz="0" w:space="0" w:color="auto"/>
        <w:right w:val="none" w:sz="0" w:space="0" w:color="auto"/>
      </w:divBdr>
    </w:div>
    <w:div w:id="165170020">
      <w:bodyDiv w:val="1"/>
      <w:marLeft w:val="0"/>
      <w:marRight w:val="0"/>
      <w:marTop w:val="0"/>
      <w:marBottom w:val="0"/>
      <w:divBdr>
        <w:top w:val="none" w:sz="0" w:space="0" w:color="auto"/>
        <w:left w:val="none" w:sz="0" w:space="0" w:color="auto"/>
        <w:bottom w:val="none" w:sz="0" w:space="0" w:color="auto"/>
        <w:right w:val="none" w:sz="0" w:space="0" w:color="auto"/>
      </w:divBdr>
      <w:divsChild>
        <w:div w:id="2113277489">
          <w:marLeft w:val="0"/>
          <w:marRight w:val="0"/>
          <w:marTop w:val="0"/>
          <w:marBottom w:val="0"/>
          <w:divBdr>
            <w:top w:val="none" w:sz="0" w:space="0" w:color="auto"/>
            <w:left w:val="none" w:sz="0" w:space="0" w:color="auto"/>
            <w:bottom w:val="none" w:sz="0" w:space="0" w:color="auto"/>
            <w:right w:val="none" w:sz="0" w:space="0" w:color="auto"/>
          </w:divBdr>
          <w:divsChild>
            <w:div w:id="1741899901">
              <w:marLeft w:val="0"/>
              <w:marRight w:val="0"/>
              <w:marTop w:val="0"/>
              <w:marBottom w:val="0"/>
              <w:divBdr>
                <w:top w:val="none" w:sz="0" w:space="0" w:color="auto"/>
                <w:left w:val="none" w:sz="0" w:space="0" w:color="auto"/>
                <w:bottom w:val="none" w:sz="0" w:space="0" w:color="auto"/>
                <w:right w:val="none" w:sz="0" w:space="0" w:color="auto"/>
              </w:divBdr>
              <w:divsChild>
                <w:div w:id="487404620">
                  <w:marLeft w:val="0"/>
                  <w:marRight w:val="0"/>
                  <w:marTop w:val="0"/>
                  <w:marBottom w:val="0"/>
                  <w:divBdr>
                    <w:top w:val="none" w:sz="0" w:space="0" w:color="auto"/>
                    <w:left w:val="none" w:sz="0" w:space="0" w:color="auto"/>
                    <w:bottom w:val="none" w:sz="0" w:space="0" w:color="auto"/>
                    <w:right w:val="none" w:sz="0" w:space="0" w:color="auto"/>
                  </w:divBdr>
                  <w:divsChild>
                    <w:div w:id="51390474">
                      <w:marLeft w:val="0"/>
                      <w:marRight w:val="0"/>
                      <w:marTop w:val="0"/>
                      <w:marBottom w:val="0"/>
                      <w:divBdr>
                        <w:top w:val="none" w:sz="0" w:space="0" w:color="auto"/>
                        <w:left w:val="none" w:sz="0" w:space="0" w:color="auto"/>
                        <w:bottom w:val="none" w:sz="0" w:space="0" w:color="auto"/>
                        <w:right w:val="none" w:sz="0" w:space="0" w:color="auto"/>
                      </w:divBdr>
                      <w:divsChild>
                        <w:div w:id="610935151">
                          <w:marLeft w:val="0"/>
                          <w:marRight w:val="0"/>
                          <w:marTop w:val="0"/>
                          <w:marBottom w:val="0"/>
                          <w:divBdr>
                            <w:top w:val="none" w:sz="0" w:space="0" w:color="auto"/>
                            <w:left w:val="none" w:sz="0" w:space="0" w:color="auto"/>
                            <w:bottom w:val="none" w:sz="0" w:space="0" w:color="auto"/>
                            <w:right w:val="none" w:sz="0" w:space="0" w:color="auto"/>
                          </w:divBdr>
                          <w:divsChild>
                            <w:div w:id="369577310">
                              <w:marLeft w:val="0"/>
                              <w:marRight w:val="0"/>
                              <w:marTop w:val="0"/>
                              <w:marBottom w:val="0"/>
                              <w:divBdr>
                                <w:top w:val="none" w:sz="0" w:space="0" w:color="auto"/>
                                <w:left w:val="none" w:sz="0" w:space="0" w:color="auto"/>
                                <w:bottom w:val="none" w:sz="0" w:space="0" w:color="auto"/>
                                <w:right w:val="none" w:sz="0" w:space="0" w:color="auto"/>
                              </w:divBdr>
                              <w:divsChild>
                                <w:div w:id="1909802546">
                                  <w:marLeft w:val="0"/>
                                  <w:marRight w:val="0"/>
                                  <w:marTop w:val="0"/>
                                  <w:marBottom w:val="0"/>
                                  <w:divBdr>
                                    <w:top w:val="none" w:sz="0" w:space="0" w:color="auto"/>
                                    <w:left w:val="none" w:sz="0" w:space="0" w:color="auto"/>
                                    <w:bottom w:val="none" w:sz="0" w:space="0" w:color="auto"/>
                                    <w:right w:val="none" w:sz="0" w:space="0" w:color="auto"/>
                                  </w:divBdr>
                                  <w:divsChild>
                                    <w:div w:id="137692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5865">
                          <w:marLeft w:val="0"/>
                          <w:marRight w:val="0"/>
                          <w:marTop w:val="0"/>
                          <w:marBottom w:val="0"/>
                          <w:divBdr>
                            <w:top w:val="none" w:sz="0" w:space="0" w:color="auto"/>
                            <w:left w:val="none" w:sz="0" w:space="0" w:color="auto"/>
                            <w:bottom w:val="none" w:sz="0" w:space="0" w:color="auto"/>
                            <w:right w:val="none" w:sz="0" w:space="0" w:color="auto"/>
                          </w:divBdr>
                          <w:divsChild>
                            <w:div w:id="1291089954">
                              <w:marLeft w:val="0"/>
                              <w:marRight w:val="0"/>
                              <w:marTop w:val="0"/>
                              <w:marBottom w:val="0"/>
                              <w:divBdr>
                                <w:top w:val="none" w:sz="0" w:space="0" w:color="auto"/>
                                <w:left w:val="none" w:sz="0" w:space="0" w:color="auto"/>
                                <w:bottom w:val="none" w:sz="0" w:space="0" w:color="auto"/>
                                <w:right w:val="none" w:sz="0" w:space="0" w:color="auto"/>
                              </w:divBdr>
                              <w:divsChild>
                                <w:div w:id="88136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39306">
      <w:bodyDiv w:val="1"/>
      <w:marLeft w:val="0"/>
      <w:marRight w:val="0"/>
      <w:marTop w:val="0"/>
      <w:marBottom w:val="0"/>
      <w:divBdr>
        <w:top w:val="none" w:sz="0" w:space="0" w:color="auto"/>
        <w:left w:val="none" w:sz="0" w:space="0" w:color="auto"/>
        <w:bottom w:val="none" w:sz="0" w:space="0" w:color="auto"/>
        <w:right w:val="none" w:sz="0" w:space="0" w:color="auto"/>
      </w:divBdr>
    </w:div>
    <w:div w:id="201132090">
      <w:bodyDiv w:val="1"/>
      <w:marLeft w:val="0"/>
      <w:marRight w:val="0"/>
      <w:marTop w:val="0"/>
      <w:marBottom w:val="0"/>
      <w:divBdr>
        <w:top w:val="none" w:sz="0" w:space="0" w:color="auto"/>
        <w:left w:val="none" w:sz="0" w:space="0" w:color="auto"/>
        <w:bottom w:val="none" w:sz="0" w:space="0" w:color="auto"/>
        <w:right w:val="none" w:sz="0" w:space="0" w:color="auto"/>
      </w:divBdr>
    </w:div>
    <w:div w:id="203829338">
      <w:bodyDiv w:val="1"/>
      <w:marLeft w:val="0"/>
      <w:marRight w:val="0"/>
      <w:marTop w:val="0"/>
      <w:marBottom w:val="0"/>
      <w:divBdr>
        <w:top w:val="none" w:sz="0" w:space="0" w:color="auto"/>
        <w:left w:val="none" w:sz="0" w:space="0" w:color="auto"/>
        <w:bottom w:val="none" w:sz="0" w:space="0" w:color="auto"/>
        <w:right w:val="none" w:sz="0" w:space="0" w:color="auto"/>
      </w:divBdr>
    </w:div>
    <w:div w:id="236013229">
      <w:bodyDiv w:val="1"/>
      <w:marLeft w:val="0"/>
      <w:marRight w:val="0"/>
      <w:marTop w:val="0"/>
      <w:marBottom w:val="0"/>
      <w:divBdr>
        <w:top w:val="none" w:sz="0" w:space="0" w:color="auto"/>
        <w:left w:val="none" w:sz="0" w:space="0" w:color="auto"/>
        <w:bottom w:val="none" w:sz="0" w:space="0" w:color="auto"/>
        <w:right w:val="none" w:sz="0" w:space="0" w:color="auto"/>
      </w:divBdr>
    </w:div>
    <w:div w:id="243689819">
      <w:bodyDiv w:val="1"/>
      <w:marLeft w:val="0"/>
      <w:marRight w:val="0"/>
      <w:marTop w:val="0"/>
      <w:marBottom w:val="0"/>
      <w:divBdr>
        <w:top w:val="none" w:sz="0" w:space="0" w:color="auto"/>
        <w:left w:val="none" w:sz="0" w:space="0" w:color="auto"/>
        <w:bottom w:val="none" w:sz="0" w:space="0" w:color="auto"/>
        <w:right w:val="none" w:sz="0" w:space="0" w:color="auto"/>
      </w:divBdr>
    </w:div>
    <w:div w:id="249774326">
      <w:bodyDiv w:val="1"/>
      <w:marLeft w:val="0"/>
      <w:marRight w:val="0"/>
      <w:marTop w:val="0"/>
      <w:marBottom w:val="0"/>
      <w:divBdr>
        <w:top w:val="none" w:sz="0" w:space="0" w:color="auto"/>
        <w:left w:val="none" w:sz="0" w:space="0" w:color="auto"/>
        <w:bottom w:val="none" w:sz="0" w:space="0" w:color="auto"/>
        <w:right w:val="none" w:sz="0" w:space="0" w:color="auto"/>
      </w:divBdr>
    </w:div>
    <w:div w:id="259028863">
      <w:bodyDiv w:val="1"/>
      <w:marLeft w:val="0"/>
      <w:marRight w:val="0"/>
      <w:marTop w:val="0"/>
      <w:marBottom w:val="0"/>
      <w:divBdr>
        <w:top w:val="none" w:sz="0" w:space="0" w:color="auto"/>
        <w:left w:val="none" w:sz="0" w:space="0" w:color="auto"/>
        <w:bottom w:val="none" w:sz="0" w:space="0" w:color="auto"/>
        <w:right w:val="none" w:sz="0" w:space="0" w:color="auto"/>
      </w:divBdr>
      <w:divsChild>
        <w:div w:id="1194881549">
          <w:marLeft w:val="0"/>
          <w:marRight w:val="0"/>
          <w:marTop w:val="0"/>
          <w:marBottom w:val="0"/>
          <w:divBdr>
            <w:top w:val="none" w:sz="0" w:space="0" w:color="auto"/>
            <w:left w:val="none" w:sz="0" w:space="0" w:color="auto"/>
            <w:bottom w:val="none" w:sz="0" w:space="0" w:color="auto"/>
            <w:right w:val="none" w:sz="0" w:space="0" w:color="auto"/>
          </w:divBdr>
          <w:divsChild>
            <w:div w:id="172036920">
              <w:marLeft w:val="0"/>
              <w:marRight w:val="0"/>
              <w:marTop w:val="0"/>
              <w:marBottom w:val="0"/>
              <w:divBdr>
                <w:top w:val="none" w:sz="0" w:space="0" w:color="auto"/>
                <w:left w:val="none" w:sz="0" w:space="0" w:color="auto"/>
                <w:bottom w:val="none" w:sz="0" w:space="0" w:color="auto"/>
                <w:right w:val="none" w:sz="0" w:space="0" w:color="auto"/>
              </w:divBdr>
              <w:divsChild>
                <w:div w:id="1933854004">
                  <w:marLeft w:val="0"/>
                  <w:marRight w:val="0"/>
                  <w:marTop w:val="0"/>
                  <w:marBottom w:val="0"/>
                  <w:divBdr>
                    <w:top w:val="none" w:sz="0" w:space="0" w:color="auto"/>
                    <w:left w:val="none" w:sz="0" w:space="0" w:color="auto"/>
                    <w:bottom w:val="none" w:sz="0" w:space="0" w:color="auto"/>
                    <w:right w:val="none" w:sz="0" w:space="0" w:color="auto"/>
                  </w:divBdr>
                  <w:divsChild>
                    <w:div w:id="126885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308680">
          <w:marLeft w:val="0"/>
          <w:marRight w:val="0"/>
          <w:marTop w:val="0"/>
          <w:marBottom w:val="0"/>
          <w:divBdr>
            <w:top w:val="none" w:sz="0" w:space="0" w:color="auto"/>
            <w:left w:val="none" w:sz="0" w:space="0" w:color="auto"/>
            <w:bottom w:val="none" w:sz="0" w:space="0" w:color="auto"/>
            <w:right w:val="none" w:sz="0" w:space="0" w:color="auto"/>
          </w:divBdr>
          <w:divsChild>
            <w:div w:id="400828744">
              <w:marLeft w:val="0"/>
              <w:marRight w:val="0"/>
              <w:marTop w:val="0"/>
              <w:marBottom w:val="0"/>
              <w:divBdr>
                <w:top w:val="none" w:sz="0" w:space="0" w:color="auto"/>
                <w:left w:val="none" w:sz="0" w:space="0" w:color="auto"/>
                <w:bottom w:val="none" w:sz="0" w:space="0" w:color="auto"/>
                <w:right w:val="none" w:sz="0" w:space="0" w:color="auto"/>
              </w:divBdr>
              <w:divsChild>
                <w:div w:id="445974913">
                  <w:marLeft w:val="0"/>
                  <w:marRight w:val="0"/>
                  <w:marTop w:val="0"/>
                  <w:marBottom w:val="0"/>
                  <w:divBdr>
                    <w:top w:val="none" w:sz="0" w:space="0" w:color="auto"/>
                    <w:left w:val="none" w:sz="0" w:space="0" w:color="auto"/>
                    <w:bottom w:val="none" w:sz="0" w:space="0" w:color="auto"/>
                    <w:right w:val="none" w:sz="0" w:space="0" w:color="auto"/>
                  </w:divBdr>
                  <w:divsChild>
                    <w:div w:id="3428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924085">
      <w:bodyDiv w:val="1"/>
      <w:marLeft w:val="0"/>
      <w:marRight w:val="0"/>
      <w:marTop w:val="0"/>
      <w:marBottom w:val="0"/>
      <w:divBdr>
        <w:top w:val="none" w:sz="0" w:space="0" w:color="auto"/>
        <w:left w:val="none" w:sz="0" w:space="0" w:color="auto"/>
        <w:bottom w:val="none" w:sz="0" w:space="0" w:color="auto"/>
        <w:right w:val="none" w:sz="0" w:space="0" w:color="auto"/>
      </w:divBdr>
      <w:divsChild>
        <w:div w:id="1555122011">
          <w:marLeft w:val="0"/>
          <w:marRight w:val="0"/>
          <w:marTop w:val="0"/>
          <w:marBottom w:val="0"/>
          <w:divBdr>
            <w:top w:val="none" w:sz="0" w:space="0" w:color="auto"/>
            <w:left w:val="none" w:sz="0" w:space="0" w:color="auto"/>
            <w:bottom w:val="none" w:sz="0" w:space="0" w:color="auto"/>
            <w:right w:val="none" w:sz="0" w:space="0" w:color="auto"/>
          </w:divBdr>
        </w:div>
      </w:divsChild>
    </w:div>
    <w:div w:id="303199183">
      <w:bodyDiv w:val="1"/>
      <w:marLeft w:val="0"/>
      <w:marRight w:val="0"/>
      <w:marTop w:val="0"/>
      <w:marBottom w:val="0"/>
      <w:divBdr>
        <w:top w:val="none" w:sz="0" w:space="0" w:color="auto"/>
        <w:left w:val="none" w:sz="0" w:space="0" w:color="auto"/>
        <w:bottom w:val="none" w:sz="0" w:space="0" w:color="auto"/>
        <w:right w:val="none" w:sz="0" w:space="0" w:color="auto"/>
      </w:divBdr>
    </w:div>
    <w:div w:id="317467358">
      <w:bodyDiv w:val="1"/>
      <w:marLeft w:val="0"/>
      <w:marRight w:val="0"/>
      <w:marTop w:val="0"/>
      <w:marBottom w:val="0"/>
      <w:divBdr>
        <w:top w:val="none" w:sz="0" w:space="0" w:color="auto"/>
        <w:left w:val="none" w:sz="0" w:space="0" w:color="auto"/>
        <w:bottom w:val="none" w:sz="0" w:space="0" w:color="auto"/>
        <w:right w:val="none" w:sz="0" w:space="0" w:color="auto"/>
      </w:divBdr>
    </w:div>
    <w:div w:id="323360733">
      <w:bodyDiv w:val="1"/>
      <w:marLeft w:val="0"/>
      <w:marRight w:val="0"/>
      <w:marTop w:val="0"/>
      <w:marBottom w:val="0"/>
      <w:divBdr>
        <w:top w:val="none" w:sz="0" w:space="0" w:color="auto"/>
        <w:left w:val="none" w:sz="0" w:space="0" w:color="auto"/>
        <w:bottom w:val="none" w:sz="0" w:space="0" w:color="auto"/>
        <w:right w:val="none" w:sz="0" w:space="0" w:color="auto"/>
      </w:divBdr>
      <w:divsChild>
        <w:div w:id="526718604">
          <w:marLeft w:val="0"/>
          <w:marRight w:val="0"/>
          <w:marTop w:val="0"/>
          <w:marBottom w:val="0"/>
          <w:divBdr>
            <w:top w:val="none" w:sz="0" w:space="0" w:color="auto"/>
            <w:left w:val="none" w:sz="0" w:space="0" w:color="auto"/>
            <w:bottom w:val="none" w:sz="0" w:space="0" w:color="auto"/>
            <w:right w:val="none" w:sz="0" w:space="0" w:color="auto"/>
          </w:divBdr>
          <w:divsChild>
            <w:div w:id="534777050">
              <w:marLeft w:val="0"/>
              <w:marRight w:val="0"/>
              <w:marTop w:val="0"/>
              <w:marBottom w:val="0"/>
              <w:divBdr>
                <w:top w:val="none" w:sz="0" w:space="0" w:color="auto"/>
                <w:left w:val="none" w:sz="0" w:space="0" w:color="auto"/>
                <w:bottom w:val="none" w:sz="0" w:space="0" w:color="auto"/>
                <w:right w:val="none" w:sz="0" w:space="0" w:color="auto"/>
              </w:divBdr>
              <w:divsChild>
                <w:div w:id="372078941">
                  <w:marLeft w:val="0"/>
                  <w:marRight w:val="0"/>
                  <w:marTop w:val="0"/>
                  <w:marBottom w:val="0"/>
                  <w:divBdr>
                    <w:top w:val="none" w:sz="0" w:space="0" w:color="auto"/>
                    <w:left w:val="none" w:sz="0" w:space="0" w:color="auto"/>
                    <w:bottom w:val="none" w:sz="0" w:space="0" w:color="auto"/>
                    <w:right w:val="none" w:sz="0" w:space="0" w:color="auto"/>
                  </w:divBdr>
                  <w:divsChild>
                    <w:div w:id="6107130">
                      <w:marLeft w:val="0"/>
                      <w:marRight w:val="0"/>
                      <w:marTop w:val="0"/>
                      <w:marBottom w:val="0"/>
                      <w:divBdr>
                        <w:top w:val="none" w:sz="0" w:space="0" w:color="auto"/>
                        <w:left w:val="none" w:sz="0" w:space="0" w:color="auto"/>
                        <w:bottom w:val="none" w:sz="0" w:space="0" w:color="auto"/>
                        <w:right w:val="none" w:sz="0" w:space="0" w:color="auto"/>
                      </w:divBdr>
                      <w:divsChild>
                        <w:div w:id="806892714">
                          <w:marLeft w:val="0"/>
                          <w:marRight w:val="0"/>
                          <w:marTop w:val="0"/>
                          <w:marBottom w:val="0"/>
                          <w:divBdr>
                            <w:top w:val="none" w:sz="0" w:space="0" w:color="auto"/>
                            <w:left w:val="none" w:sz="0" w:space="0" w:color="auto"/>
                            <w:bottom w:val="none" w:sz="0" w:space="0" w:color="auto"/>
                            <w:right w:val="none" w:sz="0" w:space="0" w:color="auto"/>
                          </w:divBdr>
                          <w:divsChild>
                            <w:div w:id="9715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259896">
      <w:bodyDiv w:val="1"/>
      <w:marLeft w:val="0"/>
      <w:marRight w:val="0"/>
      <w:marTop w:val="0"/>
      <w:marBottom w:val="0"/>
      <w:divBdr>
        <w:top w:val="none" w:sz="0" w:space="0" w:color="auto"/>
        <w:left w:val="none" w:sz="0" w:space="0" w:color="auto"/>
        <w:bottom w:val="none" w:sz="0" w:space="0" w:color="auto"/>
        <w:right w:val="none" w:sz="0" w:space="0" w:color="auto"/>
      </w:divBdr>
    </w:div>
    <w:div w:id="391854599">
      <w:bodyDiv w:val="1"/>
      <w:marLeft w:val="0"/>
      <w:marRight w:val="0"/>
      <w:marTop w:val="0"/>
      <w:marBottom w:val="0"/>
      <w:divBdr>
        <w:top w:val="none" w:sz="0" w:space="0" w:color="auto"/>
        <w:left w:val="none" w:sz="0" w:space="0" w:color="auto"/>
        <w:bottom w:val="none" w:sz="0" w:space="0" w:color="auto"/>
        <w:right w:val="none" w:sz="0" w:space="0" w:color="auto"/>
      </w:divBdr>
      <w:divsChild>
        <w:div w:id="2106462463">
          <w:marLeft w:val="0"/>
          <w:marRight w:val="0"/>
          <w:marTop w:val="0"/>
          <w:marBottom w:val="0"/>
          <w:divBdr>
            <w:top w:val="none" w:sz="0" w:space="0" w:color="auto"/>
            <w:left w:val="none" w:sz="0" w:space="0" w:color="auto"/>
            <w:bottom w:val="none" w:sz="0" w:space="0" w:color="auto"/>
            <w:right w:val="none" w:sz="0" w:space="0" w:color="auto"/>
          </w:divBdr>
          <w:divsChild>
            <w:div w:id="190193796">
              <w:marLeft w:val="0"/>
              <w:marRight w:val="0"/>
              <w:marTop w:val="0"/>
              <w:marBottom w:val="0"/>
              <w:divBdr>
                <w:top w:val="none" w:sz="0" w:space="0" w:color="auto"/>
                <w:left w:val="none" w:sz="0" w:space="0" w:color="auto"/>
                <w:bottom w:val="none" w:sz="0" w:space="0" w:color="auto"/>
                <w:right w:val="none" w:sz="0" w:space="0" w:color="auto"/>
              </w:divBdr>
              <w:divsChild>
                <w:div w:id="985470571">
                  <w:marLeft w:val="0"/>
                  <w:marRight w:val="0"/>
                  <w:marTop w:val="0"/>
                  <w:marBottom w:val="0"/>
                  <w:divBdr>
                    <w:top w:val="none" w:sz="0" w:space="0" w:color="auto"/>
                    <w:left w:val="none" w:sz="0" w:space="0" w:color="auto"/>
                    <w:bottom w:val="none" w:sz="0" w:space="0" w:color="auto"/>
                    <w:right w:val="none" w:sz="0" w:space="0" w:color="auto"/>
                  </w:divBdr>
                  <w:divsChild>
                    <w:div w:id="3990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73875">
          <w:marLeft w:val="0"/>
          <w:marRight w:val="0"/>
          <w:marTop w:val="0"/>
          <w:marBottom w:val="0"/>
          <w:divBdr>
            <w:top w:val="none" w:sz="0" w:space="0" w:color="auto"/>
            <w:left w:val="none" w:sz="0" w:space="0" w:color="auto"/>
            <w:bottom w:val="none" w:sz="0" w:space="0" w:color="auto"/>
            <w:right w:val="none" w:sz="0" w:space="0" w:color="auto"/>
          </w:divBdr>
          <w:divsChild>
            <w:div w:id="496385747">
              <w:marLeft w:val="0"/>
              <w:marRight w:val="0"/>
              <w:marTop w:val="0"/>
              <w:marBottom w:val="0"/>
              <w:divBdr>
                <w:top w:val="none" w:sz="0" w:space="0" w:color="auto"/>
                <w:left w:val="none" w:sz="0" w:space="0" w:color="auto"/>
                <w:bottom w:val="none" w:sz="0" w:space="0" w:color="auto"/>
                <w:right w:val="none" w:sz="0" w:space="0" w:color="auto"/>
              </w:divBdr>
              <w:divsChild>
                <w:div w:id="671685845">
                  <w:marLeft w:val="0"/>
                  <w:marRight w:val="0"/>
                  <w:marTop w:val="0"/>
                  <w:marBottom w:val="0"/>
                  <w:divBdr>
                    <w:top w:val="none" w:sz="0" w:space="0" w:color="auto"/>
                    <w:left w:val="none" w:sz="0" w:space="0" w:color="auto"/>
                    <w:bottom w:val="none" w:sz="0" w:space="0" w:color="auto"/>
                    <w:right w:val="none" w:sz="0" w:space="0" w:color="auto"/>
                  </w:divBdr>
                  <w:divsChild>
                    <w:div w:id="64936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456004">
      <w:bodyDiv w:val="1"/>
      <w:marLeft w:val="0"/>
      <w:marRight w:val="0"/>
      <w:marTop w:val="0"/>
      <w:marBottom w:val="0"/>
      <w:divBdr>
        <w:top w:val="none" w:sz="0" w:space="0" w:color="auto"/>
        <w:left w:val="none" w:sz="0" w:space="0" w:color="auto"/>
        <w:bottom w:val="none" w:sz="0" w:space="0" w:color="auto"/>
        <w:right w:val="none" w:sz="0" w:space="0" w:color="auto"/>
      </w:divBdr>
    </w:div>
    <w:div w:id="426922907">
      <w:bodyDiv w:val="1"/>
      <w:marLeft w:val="0"/>
      <w:marRight w:val="0"/>
      <w:marTop w:val="0"/>
      <w:marBottom w:val="0"/>
      <w:divBdr>
        <w:top w:val="none" w:sz="0" w:space="0" w:color="auto"/>
        <w:left w:val="none" w:sz="0" w:space="0" w:color="auto"/>
        <w:bottom w:val="none" w:sz="0" w:space="0" w:color="auto"/>
        <w:right w:val="none" w:sz="0" w:space="0" w:color="auto"/>
      </w:divBdr>
    </w:div>
    <w:div w:id="447747288">
      <w:bodyDiv w:val="1"/>
      <w:marLeft w:val="0"/>
      <w:marRight w:val="0"/>
      <w:marTop w:val="0"/>
      <w:marBottom w:val="0"/>
      <w:divBdr>
        <w:top w:val="none" w:sz="0" w:space="0" w:color="auto"/>
        <w:left w:val="none" w:sz="0" w:space="0" w:color="auto"/>
        <w:bottom w:val="none" w:sz="0" w:space="0" w:color="auto"/>
        <w:right w:val="none" w:sz="0" w:space="0" w:color="auto"/>
      </w:divBdr>
      <w:divsChild>
        <w:div w:id="1347436703">
          <w:marLeft w:val="0"/>
          <w:marRight w:val="0"/>
          <w:marTop w:val="0"/>
          <w:marBottom w:val="0"/>
          <w:divBdr>
            <w:top w:val="none" w:sz="0" w:space="0" w:color="auto"/>
            <w:left w:val="none" w:sz="0" w:space="0" w:color="auto"/>
            <w:bottom w:val="none" w:sz="0" w:space="0" w:color="auto"/>
            <w:right w:val="none" w:sz="0" w:space="0" w:color="auto"/>
          </w:divBdr>
          <w:divsChild>
            <w:div w:id="1357972502">
              <w:marLeft w:val="0"/>
              <w:marRight w:val="0"/>
              <w:marTop w:val="0"/>
              <w:marBottom w:val="0"/>
              <w:divBdr>
                <w:top w:val="none" w:sz="0" w:space="0" w:color="auto"/>
                <w:left w:val="none" w:sz="0" w:space="0" w:color="auto"/>
                <w:bottom w:val="none" w:sz="0" w:space="0" w:color="auto"/>
                <w:right w:val="none" w:sz="0" w:space="0" w:color="auto"/>
              </w:divBdr>
              <w:divsChild>
                <w:div w:id="171916845">
                  <w:marLeft w:val="0"/>
                  <w:marRight w:val="0"/>
                  <w:marTop w:val="0"/>
                  <w:marBottom w:val="0"/>
                  <w:divBdr>
                    <w:top w:val="none" w:sz="0" w:space="0" w:color="auto"/>
                    <w:left w:val="none" w:sz="0" w:space="0" w:color="auto"/>
                    <w:bottom w:val="none" w:sz="0" w:space="0" w:color="auto"/>
                    <w:right w:val="none" w:sz="0" w:space="0" w:color="auto"/>
                  </w:divBdr>
                  <w:divsChild>
                    <w:div w:id="7526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4710">
          <w:marLeft w:val="0"/>
          <w:marRight w:val="0"/>
          <w:marTop w:val="0"/>
          <w:marBottom w:val="0"/>
          <w:divBdr>
            <w:top w:val="none" w:sz="0" w:space="0" w:color="auto"/>
            <w:left w:val="none" w:sz="0" w:space="0" w:color="auto"/>
            <w:bottom w:val="none" w:sz="0" w:space="0" w:color="auto"/>
            <w:right w:val="none" w:sz="0" w:space="0" w:color="auto"/>
          </w:divBdr>
          <w:divsChild>
            <w:div w:id="334184773">
              <w:marLeft w:val="0"/>
              <w:marRight w:val="0"/>
              <w:marTop w:val="0"/>
              <w:marBottom w:val="0"/>
              <w:divBdr>
                <w:top w:val="none" w:sz="0" w:space="0" w:color="auto"/>
                <w:left w:val="none" w:sz="0" w:space="0" w:color="auto"/>
                <w:bottom w:val="none" w:sz="0" w:space="0" w:color="auto"/>
                <w:right w:val="none" w:sz="0" w:space="0" w:color="auto"/>
              </w:divBdr>
              <w:divsChild>
                <w:div w:id="1861696380">
                  <w:marLeft w:val="0"/>
                  <w:marRight w:val="0"/>
                  <w:marTop w:val="0"/>
                  <w:marBottom w:val="0"/>
                  <w:divBdr>
                    <w:top w:val="none" w:sz="0" w:space="0" w:color="auto"/>
                    <w:left w:val="none" w:sz="0" w:space="0" w:color="auto"/>
                    <w:bottom w:val="none" w:sz="0" w:space="0" w:color="auto"/>
                    <w:right w:val="none" w:sz="0" w:space="0" w:color="auto"/>
                  </w:divBdr>
                  <w:divsChild>
                    <w:div w:id="107134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95878">
      <w:bodyDiv w:val="1"/>
      <w:marLeft w:val="0"/>
      <w:marRight w:val="0"/>
      <w:marTop w:val="0"/>
      <w:marBottom w:val="0"/>
      <w:divBdr>
        <w:top w:val="none" w:sz="0" w:space="0" w:color="auto"/>
        <w:left w:val="none" w:sz="0" w:space="0" w:color="auto"/>
        <w:bottom w:val="none" w:sz="0" w:space="0" w:color="auto"/>
        <w:right w:val="none" w:sz="0" w:space="0" w:color="auto"/>
      </w:divBdr>
    </w:div>
    <w:div w:id="490487850">
      <w:bodyDiv w:val="1"/>
      <w:marLeft w:val="0"/>
      <w:marRight w:val="0"/>
      <w:marTop w:val="0"/>
      <w:marBottom w:val="0"/>
      <w:divBdr>
        <w:top w:val="none" w:sz="0" w:space="0" w:color="auto"/>
        <w:left w:val="none" w:sz="0" w:space="0" w:color="auto"/>
        <w:bottom w:val="none" w:sz="0" w:space="0" w:color="auto"/>
        <w:right w:val="none" w:sz="0" w:space="0" w:color="auto"/>
      </w:divBdr>
      <w:divsChild>
        <w:div w:id="1526943076">
          <w:marLeft w:val="0"/>
          <w:marRight w:val="0"/>
          <w:marTop w:val="0"/>
          <w:marBottom w:val="0"/>
          <w:divBdr>
            <w:top w:val="none" w:sz="0" w:space="0" w:color="auto"/>
            <w:left w:val="none" w:sz="0" w:space="0" w:color="auto"/>
            <w:bottom w:val="none" w:sz="0" w:space="0" w:color="auto"/>
            <w:right w:val="none" w:sz="0" w:space="0" w:color="auto"/>
          </w:divBdr>
          <w:divsChild>
            <w:div w:id="2120642523">
              <w:marLeft w:val="0"/>
              <w:marRight w:val="0"/>
              <w:marTop w:val="0"/>
              <w:marBottom w:val="0"/>
              <w:divBdr>
                <w:top w:val="none" w:sz="0" w:space="0" w:color="auto"/>
                <w:left w:val="none" w:sz="0" w:space="0" w:color="auto"/>
                <w:bottom w:val="none" w:sz="0" w:space="0" w:color="auto"/>
                <w:right w:val="none" w:sz="0" w:space="0" w:color="auto"/>
              </w:divBdr>
              <w:divsChild>
                <w:div w:id="682247927">
                  <w:marLeft w:val="0"/>
                  <w:marRight w:val="0"/>
                  <w:marTop w:val="0"/>
                  <w:marBottom w:val="0"/>
                  <w:divBdr>
                    <w:top w:val="none" w:sz="0" w:space="0" w:color="auto"/>
                    <w:left w:val="none" w:sz="0" w:space="0" w:color="auto"/>
                    <w:bottom w:val="none" w:sz="0" w:space="0" w:color="auto"/>
                    <w:right w:val="none" w:sz="0" w:space="0" w:color="auto"/>
                  </w:divBdr>
                  <w:divsChild>
                    <w:div w:id="519708839">
                      <w:marLeft w:val="0"/>
                      <w:marRight w:val="0"/>
                      <w:marTop w:val="0"/>
                      <w:marBottom w:val="0"/>
                      <w:divBdr>
                        <w:top w:val="none" w:sz="0" w:space="0" w:color="auto"/>
                        <w:left w:val="none" w:sz="0" w:space="0" w:color="auto"/>
                        <w:bottom w:val="none" w:sz="0" w:space="0" w:color="auto"/>
                        <w:right w:val="none" w:sz="0" w:space="0" w:color="auto"/>
                      </w:divBdr>
                      <w:divsChild>
                        <w:div w:id="141314374">
                          <w:marLeft w:val="0"/>
                          <w:marRight w:val="0"/>
                          <w:marTop w:val="0"/>
                          <w:marBottom w:val="0"/>
                          <w:divBdr>
                            <w:top w:val="none" w:sz="0" w:space="0" w:color="auto"/>
                            <w:left w:val="none" w:sz="0" w:space="0" w:color="auto"/>
                            <w:bottom w:val="none" w:sz="0" w:space="0" w:color="auto"/>
                            <w:right w:val="none" w:sz="0" w:space="0" w:color="auto"/>
                          </w:divBdr>
                          <w:divsChild>
                            <w:div w:id="201244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460796">
      <w:bodyDiv w:val="1"/>
      <w:marLeft w:val="0"/>
      <w:marRight w:val="0"/>
      <w:marTop w:val="0"/>
      <w:marBottom w:val="0"/>
      <w:divBdr>
        <w:top w:val="none" w:sz="0" w:space="0" w:color="auto"/>
        <w:left w:val="none" w:sz="0" w:space="0" w:color="auto"/>
        <w:bottom w:val="none" w:sz="0" w:space="0" w:color="auto"/>
        <w:right w:val="none" w:sz="0" w:space="0" w:color="auto"/>
      </w:divBdr>
    </w:div>
    <w:div w:id="521239445">
      <w:bodyDiv w:val="1"/>
      <w:marLeft w:val="0"/>
      <w:marRight w:val="0"/>
      <w:marTop w:val="0"/>
      <w:marBottom w:val="0"/>
      <w:divBdr>
        <w:top w:val="none" w:sz="0" w:space="0" w:color="auto"/>
        <w:left w:val="none" w:sz="0" w:space="0" w:color="auto"/>
        <w:bottom w:val="none" w:sz="0" w:space="0" w:color="auto"/>
        <w:right w:val="none" w:sz="0" w:space="0" w:color="auto"/>
      </w:divBdr>
    </w:div>
    <w:div w:id="553811931">
      <w:bodyDiv w:val="1"/>
      <w:marLeft w:val="0"/>
      <w:marRight w:val="0"/>
      <w:marTop w:val="0"/>
      <w:marBottom w:val="0"/>
      <w:divBdr>
        <w:top w:val="none" w:sz="0" w:space="0" w:color="auto"/>
        <w:left w:val="none" w:sz="0" w:space="0" w:color="auto"/>
        <w:bottom w:val="none" w:sz="0" w:space="0" w:color="auto"/>
        <w:right w:val="none" w:sz="0" w:space="0" w:color="auto"/>
      </w:divBdr>
      <w:divsChild>
        <w:div w:id="1412778814">
          <w:marLeft w:val="0"/>
          <w:marRight w:val="0"/>
          <w:marTop w:val="0"/>
          <w:marBottom w:val="0"/>
          <w:divBdr>
            <w:top w:val="none" w:sz="0" w:space="0" w:color="auto"/>
            <w:left w:val="none" w:sz="0" w:space="0" w:color="auto"/>
            <w:bottom w:val="none" w:sz="0" w:space="0" w:color="auto"/>
            <w:right w:val="none" w:sz="0" w:space="0" w:color="auto"/>
          </w:divBdr>
          <w:divsChild>
            <w:div w:id="338049974">
              <w:marLeft w:val="0"/>
              <w:marRight w:val="0"/>
              <w:marTop w:val="0"/>
              <w:marBottom w:val="0"/>
              <w:divBdr>
                <w:top w:val="none" w:sz="0" w:space="0" w:color="auto"/>
                <w:left w:val="none" w:sz="0" w:space="0" w:color="auto"/>
                <w:bottom w:val="none" w:sz="0" w:space="0" w:color="auto"/>
                <w:right w:val="none" w:sz="0" w:space="0" w:color="auto"/>
              </w:divBdr>
              <w:divsChild>
                <w:div w:id="1557007985">
                  <w:marLeft w:val="0"/>
                  <w:marRight w:val="0"/>
                  <w:marTop w:val="0"/>
                  <w:marBottom w:val="0"/>
                  <w:divBdr>
                    <w:top w:val="none" w:sz="0" w:space="0" w:color="auto"/>
                    <w:left w:val="none" w:sz="0" w:space="0" w:color="auto"/>
                    <w:bottom w:val="none" w:sz="0" w:space="0" w:color="auto"/>
                    <w:right w:val="none" w:sz="0" w:space="0" w:color="auto"/>
                  </w:divBdr>
                  <w:divsChild>
                    <w:div w:id="307976908">
                      <w:marLeft w:val="0"/>
                      <w:marRight w:val="0"/>
                      <w:marTop w:val="0"/>
                      <w:marBottom w:val="0"/>
                      <w:divBdr>
                        <w:top w:val="none" w:sz="0" w:space="0" w:color="auto"/>
                        <w:left w:val="none" w:sz="0" w:space="0" w:color="auto"/>
                        <w:bottom w:val="none" w:sz="0" w:space="0" w:color="auto"/>
                        <w:right w:val="none" w:sz="0" w:space="0" w:color="auto"/>
                      </w:divBdr>
                      <w:divsChild>
                        <w:div w:id="626468430">
                          <w:marLeft w:val="0"/>
                          <w:marRight w:val="0"/>
                          <w:marTop w:val="0"/>
                          <w:marBottom w:val="0"/>
                          <w:divBdr>
                            <w:top w:val="none" w:sz="0" w:space="0" w:color="auto"/>
                            <w:left w:val="none" w:sz="0" w:space="0" w:color="auto"/>
                            <w:bottom w:val="none" w:sz="0" w:space="0" w:color="auto"/>
                            <w:right w:val="none" w:sz="0" w:space="0" w:color="auto"/>
                          </w:divBdr>
                          <w:divsChild>
                            <w:div w:id="3836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842177">
      <w:bodyDiv w:val="1"/>
      <w:marLeft w:val="0"/>
      <w:marRight w:val="0"/>
      <w:marTop w:val="0"/>
      <w:marBottom w:val="0"/>
      <w:divBdr>
        <w:top w:val="none" w:sz="0" w:space="0" w:color="auto"/>
        <w:left w:val="none" w:sz="0" w:space="0" w:color="auto"/>
        <w:bottom w:val="none" w:sz="0" w:space="0" w:color="auto"/>
        <w:right w:val="none" w:sz="0" w:space="0" w:color="auto"/>
      </w:divBdr>
    </w:div>
    <w:div w:id="585194264">
      <w:bodyDiv w:val="1"/>
      <w:marLeft w:val="0"/>
      <w:marRight w:val="0"/>
      <w:marTop w:val="0"/>
      <w:marBottom w:val="0"/>
      <w:divBdr>
        <w:top w:val="none" w:sz="0" w:space="0" w:color="auto"/>
        <w:left w:val="none" w:sz="0" w:space="0" w:color="auto"/>
        <w:bottom w:val="none" w:sz="0" w:space="0" w:color="auto"/>
        <w:right w:val="none" w:sz="0" w:space="0" w:color="auto"/>
      </w:divBdr>
    </w:div>
    <w:div w:id="588733273">
      <w:bodyDiv w:val="1"/>
      <w:marLeft w:val="0"/>
      <w:marRight w:val="0"/>
      <w:marTop w:val="0"/>
      <w:marBottom w:val="0"/>
      <w:divBdr>
        <w:top w:val="none" w:sz="0" w:space="0" w:color="auto"/>
        <w:left w:val="none" w:sz="0" w:space="0" w:color="auto"/>
        <w:bottom w:val="none" w:sz="0" w:space="0" w:color="auto"/>
        <w:right w:val="none" w:sz="0" w:space="0" w:color="auto"/>
      </w:divBdr>
    </w:div>
    <w:div w:id="589630314">
      <w:bodyDiv w:val="1"/>
      <w:marLeft w:val="0"/>
      <w:marRight w:val="0"/>
      <w:marTop w:val="0"/>
      <w:marBottom w:val="0"/>
      <w:divBdr>
        <w:top w:val="none" w:sz="0" w:space="0" w:color="auto"/>
        <w:left w:val="none" w:sz="0" w:space="0" w:color="auto"/>
        <w:bottom w:val="none" w:sz="0" w:space="0" w:color="auto"/>
        <w:right w:val="none" w:sz="0" w:space="0" w:color="auto"/>
      </w:divBdr>
    </w:div>
    <w:div w:id="602105571">
      <w:bodyDiv w:val="1"/>
      <w:marLeft w:val="0"/>
      <w:marRight w:val="0"/>
      <w:marTop w:val="0"/>
      <w:marBottom w:val="0"/>
      <w:divBdr>
        <w:top w:val="none" w:sz="0" w:space="0" w:color="auto"/>
        <w:left w:val="none" w:sz="0" w:space="0" w:color="auto"/>
        <w:bottom w:val="none" w:sz="0" w:space="0" w:color="auto"/>
        <w:right w:val="none" w:sz="0" w:space="0" w:color="auto"/>
      </w:divBdr>
    </w:div>
    <w:div w:id="624430340">
      <w:bodyDiv w:val="1"/>
      <w:marLeft w:val="0"/>
      <w:marRight w:val="0"/>
      <w:marTop w:val="0"/>
      <w:marBottom w:val="0"/>
      <w:divBdr>
        <w:top w:val="none" w:sz="0" w:space="0" w:color="auto"/>
        <w:left w:val="none" w:sz="0" w:space="0" w:color="auto"/>
        <w:bottom w:val="none" w:sz="0" w:space="0" w:color="auto"/>
        <w:right w:val="none" w:sz="0" w:space="0" w:color="auto"/>
      </w:divBdr>
    </w:div>
    <w:div w:id="626739652">
      <w:bodyDiv w:val="1"/>
      <w:marLeft w:val="0"/>
      <w:marRight w:val="0"/>
      <w:marTop w:val="0"/>
      <w:marBottom w:val="0"/>
      <w:divBdr>
        <w:top w:val="none" w:sz="0" w:space="0" w:color="auto"/>
        <w:left w:val="none" w:sz="0" w:space="0" w:color="auto"/>
        <w:bottom w:val="none" w:sz="0" w:space="0" w:color="auto"/>
        <w:right w:val="none" w:sz="0" w:space="0" w:color="auto"/>
      </w:divBdr>
    </w:div>
    <w:div w:id="680084456">
      <w:bodyDiv w:val="1"/>
      <w:marLeft w:val="0"/>
      <w:marRight w:val="0"/>
      <w:marTop w:val="0"/>
      <w:marBottom w:val="0"/>
      <w:divBdr>
        <w:top w:val="none" w:sz="0" w:space="0" w:color="auto"/>
        <w:left w:val="none" w:sz="0" w:space="0" w:color="auto"/>
        <w:bottom w:val="none" w:sz="0" w:space="0" w:color="auto"/>
        <w:right w:val="none" w:sz="0" w:space="0" w:color="auto"/>
      </w:divBdr>
    </w:div>
    <w:div w:id="698972694">
      <w:bodyDiv w:val="1"/>
      <w:marLeft w:val="0"/>
      <w:marRight w:val="0"/>
      <w:marTop w:val="0"/>
      <w:marBottom w:val="0"/>
      <w:divBdr>
        <w:top w:val="none" w:sz="0" w:space="0" w:color="auto"/>
        <w:left w:val="none" w:sz="0" w:space="0" w:color="auto"/>
        <w:bottom w:val="none" w:sz="0" w:space="0" w:color="auto"/>
        <w:right w:val="none" w:sz="0" w:space="0" w:color="auto"/>
      </w:divBdr>
      <w:divsChild>
        <w:div w:id="365259481">
          <w:marLeft w:val="0"/>
          <w:marRight w:val="0"/>
          <w:marTop w:val="0"/>
          <w:marBottom w:val="0"/>
          <w:divBdr>
            <w:top w:val="none" w:sz="0" w:space="0" w:color="auto"/>
            <w:left w:val="none" w:sz="0" w:space="0" w:color="auto"/>
            <w:bottom w:val="none" w:sz="0" w:space="0" w:color="auto"/>
            <w:right w:val="none" w:sz="0" w:space="0" w:color="auto"/>
          </w:divBdr>
          <w:divsChild>
            <w:div w:id="1960138215">
              <w:marLeft w:val="0"/>
              <w:marRight w:val="0"/>
              <w:marTop w:val="0"/>
              <w:marBottom w:val="0"/>
              <w:divBdr>
                <w:top w:val="none" w:sz="0" w:space="0" w:color="auto"/>
                <w:left w:val="none" w:sz="0" w:space="0" w:color="auto"/>
                <w:bottom w:val="none" w:sz="0" w:space="0" w:color="auto"/>
                <w:right w:val="none" w:sz="0" w:space="0" w:color="auto"/>
              </w:divBdr>
              <w:divsChild>
                <w:div w:id="1660697670">
                  <w:marLeft w:val="0"/>
                  <w:marRight w:val="0"/>
                  <w:marTop w:val="0"/>
                  <w:marBottom w:val="0"/>
                  <w:divBdr>
                    <w:top w:val="none" w:sz="0" w:space="0" w:color="auto"/>
                    <w:left w:val="none" w:sz="0" w:space="0" w:color="auto"/>
                    <w:bottom w:val="none" w:sz="0" w:space="0" w:color="auto"/>
                    <w:right w:val="none" w:sz="0" w:space="0" w:color="auto"/>
                  </w:divBdr>
                  <w:divsChild>
                    <w:div w:id="1804738238">
                      <w:marLeft w:val="0"/>
                      <w:marRight w:val="0"/>
                      <w:marTop w:val="0"/>
                      <w:marBottom w:val="0"/>
                      <w:divBdr>
                        <w:top w:val="none" w:sz="0" w:space="0" w:color="auto"/>
                        <w:left w:val="none" w:sz="0" w:space="0" w:color="auto"/>
                        <w:bottom w:val="none" w:sz="0" w:space="0" w:color="auto"/>
                        <w:right w:val="none" w:sz="0" w:space="0" w:color="auto"/>
                      </w:divBdr>
                      <w:divsChild>
                        <w:div w:id="1863586393">
                          <w:marLeft w:val="0"/>
                          <w:marRight w:val="0"/>
                          <w:marTop w:val="0"/>
                          <w:marBottom w:val="0"/>
                          <w:divBdr>
                            <w:top w:val="none" w:sz="0" w:space="0" w:color="auto"/>
                            <w:left w:val="none" w:sz="0" w:space="0" w:color="auto"/>
                            <w:bottom w:val="none" w:sz="0" w:space="0" w:color="auto"/>
                            <w:right w:val="none" w:sz="0" w:space="0" w:color="auto"/>
                          </w:divBdr>
                          <w:divsChild>
                            <w:div w:id="16129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332633">
      <w:bodyDiv w:val="1"/>
      <w:marLeft w:val="0"/>
      <w:marRight w:val="0"/>
      <w:marTop w:val="0"/>
      <w:marBottom w:val="0"/>
      <w:divBdr>
        <w:top w:val="none" w:sz="0" w:space="0" w:color="auto"/>
        <w:left w:val="none" w:sz="0" w:space="0" w:color="auto"/>
        <w:bottom w:val="none" w:sz="0" w:space="0" w:color="auto"/>
        <w:right w:val="none" w:sz="0" w:space="0" w:color="auto"/>
      </w:divBdr>
    </w:div>
    <w:div w:id="812216966">
      <w:bodyDiv w:val="1"/>
      <w:marLeft w:val="0"/>
      <w:marRight w:val="0"/>
      <w:marTop w:val="0"/>
      <w:marBottom w:val="0"/>
      <w:divBdr>
        <w:top w:val="none" w:sz="0" w:space="0" w:color="auto"/>
        <w:left w:val="none" w:sz="0" w:space="0" w:color="auto"/>
        <w:bottom w:val="none" w:sz="0" w:space="0" w:color="auto"/>
        <w:right w:val="none" w:sz="0" w:space="0" w:color="auto"/>
      </w:divBdr>
      <w:divsChild>
        <w:div w:id="1409155814">
          <w:marLeft w:val="0"/>
          <w:marRight w:val="0"/>
          <w:marTop w:val="0"/>
          <w:marBottom w:val="0"/>
          <w:divBdr>
            <w:top w:val="none" w:sz="0" w:space="0" w:color="auto"/>
            <w:left w:val="none" w:sz="0" w:space="0" w:color="auto"/>
            <w:bottom w:val="none" w:sz="0" w:space="0" w:color="auto"/>
            <w:right w:val="none" w:sz="0" w:space="0" w:color="auto"/>
          </w:divBdr>
          <w:divsChild>
            <w:div w:id="870728854">
              <w:marLeft w:val="0"/>
              <w:marRight w:val="0"/>
              <w:marTop w:val="0"/>
              <w:marBottom w:val="0"/>
              <w:divBdr>
                <w:top w:val="none" w:sz="0" w:space="0" w:color="auto"/>
                <w:left w:val="none" w:sz="0" w:space="0" w:color="auto"/>
                <w:bottom w:val="none" w:sz="0" w:space="0" w:color="auto"/>
                <w:right w:val="none" w:sz="0" w:space="0" w:color="auto"/>
              </w:divBdr>
              <w:divsChild>
                <w:div w:id="552808633">
                  <w:marLeft w:val="0"/>
                  <w:marRight w:val="0"/>
                  <w:marTop w:val="0"/>
                  <w:marBottom w:val="0"/>
                  <w:divBdr>
                    <w:top w:val="none" w:sz="0" w:space="0" w:color="auto"/>
                    <w:left w:val="none" w:sz="0" w:space="0" w:color="auto"/>
                    <w:bottom w:val="none" w:sz="0" w:space="0" w:color="auto"/>
                    <w:right w:val="none" w:sz="0" w:space="0" w:color="auto"/>
                  </w:divBdr>
                  <w:divsChild>
                    <w:div w:id="800221985">
                      <w:marLeft w:val="0"/>
                      <w:marRight w:val="0"/>
                      <w:marTop w:val="0"/>
                      <w:marBottom w:val="0"/>
                      <w:divBdr>
                        <w:top w:val="none" w:sz="0" w:space="0" w:color="auto"/>
                        <w:left w:val="none" w:sz="0" w:space="0" w:color="auto"/>
                        <w:bottom w:val="none" w:sz="0" w:space="0" w:color="auto"/>
                        <w:right w:val="none" w:sz="0" w:space="0" w:color="auto"/>
                      </w:divBdr>
                      <w:divsChild>
                        <w:div w:id="1548570994">
                          <w:marLeft w:val="0"/>
                          <w:marRight w:val="0"/>
                          <w:marTop w:val="0"/>
                          <w:marBottom w:val="0"/>
                          <w:divBdr>
                            <w:top w:val="none" w:sz="0" w:space="0" w:color="auto"/>
                            <w:left w:val="none" w:sz="0" w:space="0" w:color="auto"/>
                            <w:bottom w:val="none" w:sz="0" w:space="0" w:color="auto"/>
                            <w:right w:val="none" w:sz="0" w:space="0" w:color="auto"/>
                          </w:divBdr>
                          <w:divsChild>
                            <w:div w:id="1092312210">
                              <w:marLeft w:val="0"/>
                              <w:marRight w:val="0"/>
                              <w:marTop w:val="0"/>
                              <w:marBottom w:val="0"/>
                              <w:divBdr>
                                <w:top w:val="none" w:sz="0" w:space="0" w:color="auto"/>
                                <w:left w:val="none" w:sz="0" w:space="0" w:color="auto"/>
                                <w:bottom w:val="none" w:sz="0" w:space="0" w:color="auto"/>
                                <w:right w:val="none" w:sz="0" w:space="0" w:color="auto"/>
                              </w:divBdr>
                              <w:divsChild>
                                <w:div w:id="1810857501">
                                  <w:marLeft w:val="0"/>
                                  <w:marRight w:val="0"/>
                                  <w:marTop w:val="0"/>
                                  <w:marBottom w:val="0"/>
                                  <w:divBdr>
                                    <w:top w:val="none" w:sz="0" w:space="0" w:color="auto"/>
                                    <w:left w:val="none" w:sz="0" w:space="0" w:color="auto"/>
                                    <w:bottom w:val="none" w:sz="0" w:space="0" w:color="auto"/>
                                    <w:right w:val="none" w:sz="0" w:space="0" w:color="auto"/>
                                  </w:divBdr>
                                </w:div>
                              </w:divsChild>
                            </w:div>
                            <w:div w:id="981160561">
                              <w:marLeft w:val="0"/>
                              <w:marRight w:val="0"/>
                              <w:marTop w:val="0"/>
                              <w:marBottom w:val="0"/>
                              <w:divBdr>
                                <w:top w:val="none" w:sz="0" w:space="0" w:color="auto"/>
                                <w:left w:val="none" w:sz="0" w:space="0" w:color="auto"/>
                                <w:bottom w:val="none" w:sz="0" w:space="0" w:color="auto"/>
                                <w:right w:val="none" w:sz="0" w:space="0" w:color="auto"/>
                              </w:divBdr>
                              <w:divsChild>
                                <w:div w:id="1469662875">
                                  <w:marLeft w:val="0"/>
                                  <w:marRight w:val="0"/>
                                  <w:marTop w:val="0"/>
                                  <w:marBottom w:val="0"/>
                                  <w:divBdr>
                                    <w:top w:val="none" w:sz="0" w:space="0" w:color="auto"/>
                                    <w:left w:val="none" w:sz="0" w:space="0" w:color="auto"/>
                                    <w:bottom w:val="none" w:sz="0" w:space="0" w:color="auto"/>
                                    <w:right w:val="none" w:sz="0" w:space="0" w:color="auto"/>
                                  </w:divBdr>
                                  <w:divsChild>
                                    <w:div w:id="716783472">
                                      <w:marLeft w:val="0"/>
                                      <w:marRight w:val="0"/>
                                      <w:marTop w:val="0"/>
                                      <w:marBottom w:val="0"/>
                                      <w:divBdr>
                                        <w:top w:val="none" w:sz="0" w:space="0" w:color="auto"/>
                                        <w:left w:val="none" w:sz="0" w:space="0" w:color="auto"/>
                                        <w:bottom w:val="none" w:sz="0" w:space="0" w:color="auto"/>
                                        <w:right w:val="none" w:sz="0" w:space="0" w:color="auto"/>
                                      </w:divBdr>
                                      <w:divsChild>
                                        <w:div w:id="899511255">
                                          <w:marLeft w:val="0"/>
                                          <w:marRight w:val="0"/>
                                          <w:marTop w:val="0"/>
                                          <w:marBottom w:val="0"/>
                                          <w:divBdr>
                                            <w:top w:val="none" w:sz="0" w:space="0" w:color="auto"/>
                                            <w:left w:val="none" w:sz="0" w:space="0" w:color="auto"/>
                                            <w:bottom w:val="none" w:sz="0" w:space="0" w:color="auto"/>
                                            <w:right w:val="none" w:sz="0" w:space="0" w:color="auto"/>
                                          </w:divBdr>
                                          <w:divsChild>
                                            <w:div w:id="183134730">
                                              <w:marLeft w:val="0"/>
                                              <w:marRight w:val="0"/>
                                              <w:marTop w:val="0"/>
                                              <w:marBottom w:val="0"/>
                                              <w:divBdr>
                                                <w:top w:val="none" w:sz="0" w:space="0" w:color="auto"/>
                                                <w:left w:val="none" w:sz="0" w:space="0" w:color="auto"/>
                                                <w:bottom w:val="none" w:sz="0" w:space="0" w:color="auto"/>
                                                <w:right w:val="none" w:sz="0" w:space="0" w:color="auto"/>
                                              </w:divBdr>
                                              <w:divsChild>
                                                <w:div w:id="339940544">
                                                  <w:marLeft w:val="0"/>
                                                  <w:marRight w:val="0"/>
                                                  <w:marTop w:val="0"/>
                                                  <w:marBottom w:val="0"/>
                                                  <w:divBdr>
                                                    <w:top w:val="none" w:sz="0" w:space="0" w:color="auto"/>
                                                    <w:left w:val="none" w:sz="0" w:space="0" w:color="auto"/>
                                                    <w:bottom w:val="none" w:sz="0" w:space="0" w:color="auto"/>
                                                    <w:right w:val="none" w:sz="0" w:space="0" w:color="auto"/>
                                                  </w:divBdr>
                                                  <w:divsChild>
                                                    <w:div w:id="193690623">
                                                      <w:marLeft w:val="0"/>
                                                      <w:marRight w:val="0"/>
                                                      <w:marTop w:val="0"/>
                                                      <w:marBottom w:val="0"/>
                                                      <w:divBdr>
                                                        <w:top w:val="none" w:sz="0" w:space="0" w:color="auto"/>
                                                        <w:left w:val="none" w:sz="0" w:space="0" w:color="auto"/>
                                                        <w:bottom w:val="none" w:sz="0" w:space="0" w:color="auto"/>
                                                        <w:right w:val="none" w:sz="0" w:space="0" w:color="auto"/>
                                                      </w:divBdr>
                                                      <w:divsChild>
                                                        <w:div w:id="198473069">
                                                          <w:marLeft w:val="0"/>
                                                          <w:marRight w:val="0"/>
                                                          <w:marTop w:val="0"/>
                                                          <w:marBottom w:val="0"/>
                                                          <w:divBdr>
                                                            <w:top w:val="none" w:sz="0" w:space="0" w:color="auto"/>
                                                            <w:left w:val="none" w:sz="0" w:space="0" w:color="auto"/>
                                                            <w:bottom w:val="none" w:sz="0" w:space="0" w:color="auto"/>
                                                            <w:right w:val="none" w:sz="0" w:space="0" w:color="auto"/>
                                                          </w:divBdr>
                                                          <w:divsChild>
                                                            <w:div w:id="1170949569">
                                                              <w:marLeft w:val="0"/>
                                                              <w:marRight w:val="0"/>
                                                              <w:marTop w:val="0"/>
                                                              <w:marBottom w:val="0"/>
                                                              <w:divBdr>
                                                                <w:top w:val="none" w:sz="0" w:space="0" w:color="auto"/>
                                                                <w:left w:val="none" w:sz="0" w:space="0" w:color="auto"/>
                                                                <w:bottom w:val="none" w:sz="0" w:space="0" w:color="auto"/>
                                                                <w:right w:val="none" w:sz="0" w:space="0" w:color="auto"/>
                                                              </w:divBdr>
                                                              <w:divsChild>
                                                                <w:div w:id="559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7614389">
                      <w:marLeft w:val="0"/>
                      <w:marRight w:val="0"/>
                      <w:marTop w:val="0"/>
                      <w:marBottom w:val="0"/>
                      <w:divBdr>
                        <w:top w:val="none" w:sz="0" w:space="0" w:color="auto"/>
                        <w:left w:val="none" w:sz="0" w:space="0" w:color="auto"/>
                        <w:bottom w:val="none" w:sz="0" w:space="0" w:color="auto"/>
                        <w:right w:val="none" w:sz="0" w:space="0" w:color="auto"/>
                      </w:divBdr>
                      <w:divsChild>
                        <w:div w:id="1199271222">
                          <w:marLeft w:val="0"/>
                          <w:marRight w:val="0"/>
                          <w:marTop w:val="0"/>
                          <w:marBottom w:val="0"/>
                          <w:divBdr>
                            <w:top w:val="none" w:sz="0" w:space="0" w:color="auto"/>
                            <w:left w:val="none" w:sz="0" w:space="0" w:color="auto"/>
                            <w:bottom w:val="none" w:sz="0" w:space="0" w:color="auto"/>
                            <w:right w:val="none" w:sz="0" w:space="0" w:color="auto"/>
                          </w:divBdr>
                          <w:divsChild>
                            <w:div w:id="18313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672100">
      <w:bodyDiv w:val="1"/>
      <w:marLeft w:val="0"/>
      <w:marRight w:val="0"/>
      <w:marTop w:val="0"/>
      <w:marBottom w:val="0"/>
      <w:divBdr>
        <w:top w:val="none" w:sz="0" w:space="0" w:color="auto"/>
        <w:left w:val="none" w:sz="0" w:space="0" w:color="auto"/>
        <w:bottom w:val="none" w:sz="0" w:space="0" w:color="auto"/>
        <w:right w:val="none" w:sz="0" w:space="0" w:color="auto"/>
      </w:divBdr>
    </w:div>
    <w:div w:id="829246676">
      <w:bodyDiv w:val="1"/>
      <w:marLeft w:val="0"/>
      <w:marRight w:val="0"/>
      <w:marTop w:val="0"/>
      <w:marBottom w:val="0"/>
      <w:divBdr>
        <w:top w:val="none" w:sz="0" w:space="0" w:color="auto"/>
        <w:left w:val="none" w:sz="0" w:space="0" w:color="auto"/>
        <w:bottom w:val="none" w:sz="0" w:space="0" w:color="auto"/>
        <w:right w:val="none" w:sz="0" w:space="0" w:color="auto"/>
      </w:divBdr>
    </w:div>
    <w:div w:id="842817415">
      <w:bodyDiv w:val="1"/>
      <w:marLeft w:val="0"/>
      <w:marRight w:val="0"/>
      <w:marTop w:val="0"/>
      <w:marBottom w:val="0"/>
      <w:divBdr>
        <w:top w:val="none" w:sz="0" w:space="0" w:color="auto"/>
        <w:left w:val="none" w:sz="0" w:space="0" w:color="auto"/>
        <w:bottom w:val="none" w:sz="0" w:space="0" w:color="auto"/>
        <w:right w:val="none" w:sz="0" w:space="0" w:color="auto"/>
      </w:divBdr>
    </w:div>
    <w:div w:id="905190124">
      <w:bodyDiv w:val="1"/>
      <w:marLeft w:val="0"/>
      <w:marRight w:val="0"/>
      <w:marTop w:val="0"/>
      <w:marBottom w:val="0"/>
      <w:divBdr>
        <w:top w:val="none" w:sz="0" w:space="0" w:color="auto"/>
        <w:left w:val="none" w:sz="0" w:space="0" w:color="auto"/>
        <w:bottom w:val="none" w:sz="0" w:space="0" w:color="auto"/>
        <w:right w:val="none" w:sz="0" w:space="0" w:color="auto"/>
      </w:divBdr>
      <w:divsChild>
        <w:div w:id="945497898">
          <w:marLeft w:val="0"/>
          <w:marRight w:val="0"/>
          <w:marTop w:val="0"/>
          <w:marBottom w:val="0"/>
          <w:divBdr>
            <w:top w:val="none" w:sz="0" w:space="0" w:color="auto"/>
            <w:left w:val="none" w:sz="0" w:space="0" w:color="auto"/>
            <w:bottom w:val="none" w:sz="0" w:space="0" w:color="auto"/>
            <w:right w:val="none" w:sz="0" w:space="0" w:color="auto"/>
          </w:divBdr>
          <w:divsChild>
            <w:div w:id="1500927063">
              <w:marLeft w:val="0"/>
              <w:marRight w:val="0"/>
              <w:marTop w:val="0"/>
              <w:marBottom w:val="0"/>
              <w:divBdr>
                <w:top w:val="none" w:sz="0" w:space="0" w:color="auto"/>
                <w:left w:val="none" w:sz="0" w:space="0" w:color="auto"/>
                <w:bottom w:val="none" w:sz="0" w:space="0" w:color="auto"/>
                <w:right w:val="none" w:sz="0" w:space="0" w:color="auto"/>
              </w:divBdr>
              <w:divsChild>
                <w:div w:id="835921218">
                  <w:marLeft w:val="0"/>
                  <w:marRight w:val="0"/>
                  <w:marTop w:val="0"/>
                  <w:marBottom w:val="0"/>
                  <w:divBdr>
                    <w:top w:val="none" w:sz="0" w:space="0" w:color="auto"/>
                    <w:left w:val="none" w:sz="0" w:space="0" w:color="auto"/>
                    <w:bottom w:val="none" w:sz="0" w:space="0" w:color="auto"/>
                    <w:right w:val="none" w:sz="0" w:space="0" w:color="auto"/>
                  </w:divBdr>
                  <w:divsChild>
                    <w:div w:id="2105373752">
                      <w:marLeft w:val="0"/>
                      <w:marRight w:val="0"/>
                      <w:marTop w:val="0"/>
                      <w:marBottom w:val="0"/>
                      <w:divBdr>
                        <w:top w:val="none" w:sz="0" w:space="0" w:color="auto"/>
                        <w:left w:val="none" w:sz="0" w:space="0" w:color="auto"/>
                        <w:bottom w:val="none" w:sz="0" w:space="0" w:color="auto"/>
                        <w:right w:val="none" w:sz="0" w:space="0" w:color="auto"/>
                      </w:divBdr>
                      <w:divsChild>
                        <w:div w:id="213200349">
                          <w:marLeft w:val="0"/>
                          <w:marRight w:val="0"/>
                          <w:marTop w:val="0"/>
                          <w:marBottom w:val="0"/>
                          <w:divBdr>
                            <w:top w:val="none" w:sz="0" w:space="0" w:color="auto"/>
                            <w:left w:val="none" w:sz="0" w:space="0" w:color="auto"/>
                            <w:bottom w:val="none" w:sz="0" w:space="0" w:color="auto"/>
                            <w:right w:val="none" w:sz="0" w:space="0" w:color="auto"/>
                          </w:divBdr>
                          <w:divsChild>
                            <w:div w:id="1672758907">
                              <w:marLeft w:val="0"/>
                              <w:marRight w:val="0"/>
                              <w:marTop w:val="0"/>
                              <w:marBottom w:val="0"/>
                              <w:divBdr>
                                <w:top w:val="none" w:sz="0" w:space="0" w:color="auto"/>
                                <w:left w:val="none" w:sz="0" w:space="0" w:color="auto"/>
                                <w:bottom w:val="none" w:sz="0" w:space="0" w:color="auto"/>
                                <w:right w:val="none" w:sz="0" w:space="0" w:color="auto"/>
                              </w:divBdr>
                              <w:divsChild>
                                <w:div w:id="1920216527">
                                  <w:marLeft w:val="0"/>
                                  <w:marRight w:val="0"/>
                                  <w:marTop w:val="0"/>
                                  <w:marBottom w:val="0"/>
                                  <w:divBdr>
                                    <w:top w:val="none" w:sz="0" w:space="0" w:color="auto"/>
                                    <w:left w:val="none" w:sz="0" w:space="0" w:color="auto"/>
                                    <w:bottom w:val="none" w:sz="0" w:space="0" w:color="auto"/>
                                    <w:right w:val="none" w:sz="0" w:space="0" w:color="auto"/>
                                  </w:divBdr>
                                  <w:divsChild>
                                    <w:div w:id="419065973">
                                      <w:marLeft w:val="0"/>
                                      <w:marRight w:val="0"/>
                                      <w:marTop w:val="0"/>
                                      <w:marBottom w:val="0"/>
                                      <w:divBdr>
                                        <w:top w:val="none" w:sz="0" w:space="0" w:color="auto"/>
                                        <w:left w:val="none" w:sz="0" w:space="0" w:color="auto"/>
                                        <w:bottom w:val="none" w:sz="0" w:space="0" w:color="auto"/>
                                        <w:right w:val="none" w:sz="0" w:space="0" w:color="auto"/>
                                      </w:divBdr>
                                      <w:divsChild>
                                        <w:div w:id="228854251">
                                          <w:marLeft w:val="0"/>
                                          <w:marRight w:val="0"/>
                                          <w:marTop w:val="0"/>
                                          <w:marBottom w:val="0"/>
                                          <w:divBdr>
                                            <w:top w:val="none" w:sz="0" w:space="0" w:color="auto"/>
                                            <w:left w:val="none" w:sz="0" w:space="0" w:color="auto"/>
                                            <w:bottom w:val="none" w:sz="0" w:space="0" w:color="auto"/>
                                            <w:right w:val="none" w:sz="0" w:space="0" w:color="auto"/>
                                          </w:divBdr>
                                          <w:divsChild>
                                            <w:div w:id="879170035">
                                              <w:marLeft w:val="0"/>
                                              <w:marRight w:val="0"/>
                                              <w:marTop w:val="0"/>
                                              <w:marBottom w:val="0"/>
                                              <w:divBdr>
                                                <w:top w:val="none" w:sz="0" w:space="0" w:color="auto"/>
                                                <w:left w:val="none" w:sz="0" w:space="0" w:color="auto"/>
                                                <w:bottom w:val="none" w:sz="0" w:space="0" w:color="auto"/>
                                                <w:right w:val="none" w:sz="0" w:space="0" w:color="auto"/>
                                              </w:divBdr>
                                              <w:divsChild>
                                                <w:div w:id="811562454">
                                                  <w:marLeft w:val="0"/>
                                                  <w:marRight w:val="0"/>
                                                  <w:marTop w:val="0"/>
                                                  <w:marBottom w:val="0"/>
                                                  <w:divBdr>
                                                    <w:top w:val="none" w:sz="0" w:space="0" w:color="auto"/>
                                                    <w:left w:val="none" w:sz="0" w:space="0" w:color="auto"/>
                                                    <w:bottom w:val="none" w:sz="0" w:space="0" w:color="auto"/>
                                                    <w:right w:val="none" w:sz="0" w:space="0" w:color="auto"/>
                                                  </w:divBdr>
                                                  <w:divsChild>
                                                    <w:div w:id="784886786">
                                                      <w:marLeft w:val="0"/>
                                                      <w:marRight w:val="0"/>
                                                      <w:marTop w:val="0"/>
                                                      <w:marBottom w:val="0"/>
                                                      <w:divBdr>
                                                        <w:top w:val="none" w:sz="0" w:space="0" w:color="auto"/>
                                                        <w:left w:val="none" w:sz="0" w:space="0" w:color="auto"/>
                                                        <w:bottom w:val="none" w:sz="0" w:space="0" w:color="auto"/>
                                                        <w:right w:val="none" w:sz="0" w:space="0" w:color="auto"/>
                                                      </w:divBdr>
                                                      <w:divsChild>
                                                        <w:div w:id="972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9270">
                                              <w:marLeft w:val="0"/>
                                              <w:marRight w:val="0"/>
                                              <w:marTop w:val="0"/>
                                              <w:marBottom w:val="0"/>
                                              <w:divBdr>
                                                <w:top w:val="none" w:sz="0" w:space="0" w:color="auto"/>
                                                <w:left w:val="none" w:sz="0" w:space="0" w:color="auto"/>
                                                <w:bottom w:val="none" w:sz="0" w:space="0" w:color="auto"/>
                                                <w:right w:val="none" w:sz="0" w:space="0" w:color="auto"/>
                                              </w:divBdr>
                                              <w:divsChild>
                                                <w:div w:id="1684740174">
                                                  <w:marLeft w:val="0"/>
                                                  <w:marRight w:val="0"/>
                                                  <w:marTop w:val="0"/>
                                                  <w:marBottom w:val="0"/>
                                                  <w:divBdr>
                                                    <w:top w:val="none" w:sz="0" w:space="0" w:color="auto"/>
                                                    <w:left w:val="none" w:sz="0" w:space="0" w:color="auto"/>
                                                    <w:bottom w:val="none" w:sz="0" w:space="0" w:color="auto"/>
                                                    <w:right w:val="none" w:sz="0" w:space="0" w:color="auto"/>
                                                  </w:divBdr>
                                                  <w:divsChild>
                                                    <w:div w:id="850602807">
                                                      <w:marLeft w:val="0"/>
                                                      <w:marRight w:val="0"/>
                                                      <w:marTop w:val="0"/>
                                                      <w:marBottom w:val="0"/>
                                                      <w:divBdr>
                                                        <w:top w:val="none" w:sz="0" w:space="0" w:color="auto"/>
                                                        <w:left w:val="none" w:sz="0" w:space="0" w:color="auto"/>
                                                        <w:bottom w:val="none" w:sz="0" w:space="0" w:color="auto"/>
                                                        <w:right w:val="none" w:sz="0" w:space="0" w:color="auto"/>
                                                      </w:divBdr>
                                                      <w:divsChild>
                                                        <w:div w:id="84917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044492">
          <w:marLeft w:val="0"/>
          <w:marRight w:val="0"/>
          <w:marTop w:val="0"/>
          <w:marBottom w:val="0"/>
          <w:divBdr>
            <w:top w:val="none" w:sz="0" w:space="0" w:color="auto"/>
            <w:left w:val="none" w:sz="0" w:space="0" w:color="auto"/>
            <w:bottom w:val="none" w:sz="0" w:space="0" w:color="auto"/>
            <w:right w:val="none" w:sz="0" w:space="0" w:color="auto"/>
          </w:divBdr>
          <w:divsChild>
            <w:div w:id="1594821659">
              <w:marLeft w:val="0"/>
              <w:marRight w:val="0"/>
              <w:marTop w:val="0"/>
              <w:marBottom w:val="0"/>
              <w:divBdr>
                <w:top w:val="none" w:sz="0" w:space="0" w:color="auto"/>
                <w:left w:val="none" w:sz="0" w:space="0" w:color="auto"/>
                <w:bottom w:val="none" w:sz="0" w:space="0" w:color="auto"/>
                <w:right w:val="none" w:sz="0" w:space="0" w:color="auto"/>
              </w:divBdr>
              <w:divsChild>
                <w:div w:id="1202747109">
                  <w:marLeft w:val="0"/>
                  <w:marRight w:val="0"/>
                  <w:marTop w:val="0"/>
                  <w:marBottom w:val="0"/>
                  <w:divBdr>
                    <w:top w:val="none" w:sz="0" w:space="0" w:color="auto"/>
                    <w:left w:val="none" w:sz="0" w:space="0" w:color="auto"/>
                    <w:bottom w:val="none" w:sz="0" w:space="0" w:color="auto"/>
                    <w:right w:val="none" w:sz="0" w:space="0" w:color="auto"/>
                  </w:divBdr>
                  <w:divsChild>
                    <w:div w:id="1374842759">
                      <w:marLeft w:val="0"/>
                      <w:marRight w:val="0"/>
                      <w:marTop w:val="0"/>
                      <w:marBottom w:val="0"/>
                      <w:divBdr>
                        <w:top w:val="none" w:sz="0" w:space="0" w:color="auto"/>
                        <w:left w:val="none" w:sz="0" w:space="0" w:color="auto"/>
                        <w:bottom w:val="none" w:sz="0" w:space="0" w:color="auto"/>
                        <w:right w:val="none" w:sz="0" w:space="0" w:color="auto"/>
                      </w:divBdr>
                      <w:divsChild>
                        <w:div w:id="1647661024">
                          <w:marLeft w:val="0"/>
                          <w:marRight w:val="0"/>
                          <w:marTop w:val="0"/>
                          <w:marBottom w:val="0"/>
                          <w:divBdr>
                            <w:top w:val="none" w:sz="0" w:space="0" w:color="auto"/>
                            <w:left w:val="none" w:sz="0" w:space="0" w:color="auto"/>
                            <w:bottom w:val="none" w:sz="0" w:space="0" w:color="auto"/>
                            <w:right w:val="none" w:sz="0" w:space="0" w:color="auto"/>
                          </w:divBdr>
                          <w:divsChild>
                            <w:div w:id="621884983">
                              <w:marLeft w:val="0"/>
                              <w:marRight w:val="0"/>
                              <w:marTop w:val="0"/>
                              <w:marBottom w:val="0"/>
                              <w:divBdr>
                                <w:top w:val="none" w:sz="0" w:space="0" w:color="auto"/>
                                <w:left w:val="none" w:sz="0" w:space="0" w:color="auto"/>
                                <w:bottom w:val="none" w:sz="0" w:space="0" w:color="auto"/>
                                <w:right w:val="none" w:sz="0" w:space="0" w:color="auto"/>
                              </w:divBdr>
                              <w:divsChild>
                                <w:div w:id="1279408460">
                                  <w:marLeft w:val="0"/>
                                  <w:marRight w:val="0"/>
                                  <w:marTop w:val="0"/>
                                  <w:marBottom w:val="0"/>
                                  <w:divBdr>
                                    <w:top w:val="none" w:sz="0" w:space="0" w:color="auto"/>
                                    <w:left w:val="none" w:sz="0" w:space="0" w:color="auto"/>
                                    <w:bottom w:val="none" w:sz="0" w:space="0" w:color="auto"/>
                                    <w:right w:val="none" w:sz="0" w:space="0" w:color="auto"/>
                                  </w:divBdr>
                                  <w:divsChild>
                                    <w:div w:id="337466142">
                                      <w:marLeft w:val="0"/>
                                      <w:marRight w:val="0"/>
                                      <w:marTop w:val="0"/>
                                      <w:marBottom w:val="0"/>
                                      <w:divBdr>
                                        <w:top w:val="none" w:sz="0" w:space="0" w:color="auto"/>
                                        <w:left w:val="none" w:sz="0" w:space="0" w:color="auto"/>
                                        <w:bottom w:val="none" w:sz="0" w:space="0" w:color="auto"/>
                                        <w:right w:val="none" w:sz="0" w:space="0" w:color="auto"/>
                                      </w:divBdr>
                                      <w:divsChild>
                                        <w:div w:id="21175906">
                                          <w:marLeft w:val="0"/>
                                          <w:marRight w:val="0"/>
                                          <w:marTop w:val="0"/>
                                          <w:marBottom w:val="0"/>
                                          <w:divBdr>
                                            <w:top w:val="none" w:sz="0" w:space="0" w:color="auto"/>
                                            <w:left w:val="none" w:sz="0" w:space="0" w:color="auto"/>
                                            <w:bottom w:val="none" w:sz="0" w:space="0" w:color="auto"/>
                                            <w:right w:val="none" w:sz="0" w:space="0" w:color="auto"/>
                                          </w:divBdr>
                                          <w:divsChild>
                                            <w:div w:id="1719402506">
                                              <w:marLeft w:val="0"/>
                                              <w:marRight w:val="0"/>
                                              <w:marTop w:val="0"/>
                                              <w:marBottom w:val="0"/>
                                              <w:divBdr>
                                                <w:top w:val="none" w:sz="0" w:space="0" w:color="auto"/>
                                                <w:left w:val="none" w:sz="0" w:space="0" w:color="auto"/>
                                                <w:bottom w:val="none" w:sz="0" w:space="0" w:color="auto"/>
                                                <w:right w:val="none" w:sz="0" w:space="0" w:color="auto"/>
                                              </w:divBdr>
                                              <w:divsChild>
                                                <w:div w:id="25521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748502">
      <w:bodyDiv w:val="1"/>
      <w:marLeft w:val="0"/>
      <w:marRight w:val="0"/>
      <w:marTop w:val="0"/>
      <w:marBottom w:val="0"/>
      <w:divBdr>
        <w:top w:val="none" w:sz="0" w:space="0" w:color="auto"/>
        <w:left w:val="none" w:sz="0" w:space="0" w:color="auto"/>
        <w:bottom w:val="none" w:sz="0" w:space="0" w:color="auto"/>
        <w:right w:val="none" w:sz="0" w:space="0" w:color="auto"/>
      </w:divBdr>
      <w:divsChild>
        <w:div w:id="1748764572">
          <w:marLeft w:val="0"/>
          <w:marRight w:val="0"/>
          <w:marTop w:val="0"/>
          <w:marBottom w:val="0"/>
          <w:divBdr>
            <w:top w:val="none" w:sz="0" w:space="0" w:color="auto"/>
            <w:left w:val="none" w:sz="0" w:space="0" w:color="auto"/>
            <w:bottom w:val="none" w:sz="0" w:space="0" w:color="auto"/>
            <w:right w:val="none" w:sz="0" w:space="0" w:color="auto"/>
          </w:divBdr>
          <w:divsChild>
            <w:div w:id="1106927372">
              <w:marLeft w:val="0"/>
              <w:marRight w:val="0"/>
              <w:marTop w:val="0"/>
              <w:marBottom w:val="0"/>
              <w:divBdr>
                <w:top w:val="none" w:sz="0" w:space="0" w:color="auto"/>
                <w:left w:val="none" w:sz="0" w:space="0" w:color="auto"/>
                <w:bottom w:val="none" w:sz="0" w:space="0" w:color="auto"/>
                <w:right w:val="none" w:sz="0" w:space="0" w:color="auto"/>
              </w:divBdr>
              <w:divsChild>
                <w:div w:id="604456920">
                  <w:marLeft w:val="0"/>
                  <w:marRight w:val="0"/>
                  <w:marTop w:val="0"/>
                  <w:marBottom w:val="0"/>
                  <w:divBdr>
                    <w:top w:val="none" w:sz="0" w:space="0" w:color="auto"/>
                    <w:left w:val="none" w:sz="0" w:space="0" w:color="auto"/>
                    <w:bottom w:val="none" w:sz="0" w:space="0" w:color="auto"/>
                    <w:right w:val="none" w:sz="0" w:space="0" w:color="auto"/>
                  </w:divBdr>
                  <w:divsChild>
                    <w:div w:id="491526737">
                      <w:marLeft w:val="0"/>
                      <w:marRight w:val="0"/>
                      <w:marTop w:val="0"/>
                      <w:marBottom w:val="0"/>
                      <w:divBdr>
                        <w:top w:val="none" w:sz="0" w:space="0" w:color="auto"/>
                        <w:left w:val="none" w:sz="0" w:space="0" w:color="auto"/>
                        <w:bottom w:val="none" w:sz="0" w:space="0" w:color="auto"/>
                        <w:right w:val="none" w:sz="0" w:space="0" w:color="auto"/>
                      </w:divBdr>
                      <w:divsChild>
                        <w:div w:id="45184042">
                          <w:marLeft w:val="0"/>
                          <w:marRight w:val="0"/>
                          <w:marTop w:val="0"/>
                          <w:marBottom w:val="0"/>
                          <w:divBdr>
                            <w:top w:val="none" w:sz="0" w:space="0" w:color="auto"/>
                            <w:left w:val="none" w:sz="0" w:space="0" w:color="auto"/>
                            <w:bottom w:val="none" w:sz="0" w:space="0" w:color="auto"/>
                            <w:right w:val="none" w:sz="0" w:space="0" w:color="auto"/>
                          </w:divBdr>
                          <w:divsChild>
                            <w:div w:id="42563976">
                              <w:marLeft w:val="0"/>
                              <w:marRight w:val="0"/>
                              <w:marTop w:val="0"/>
                              <w:marBottom w:val="0"/>
                              <w:divBdr>
                                <w:top w:val="none" w:sz="0" w:space="0" w:color="auto"/>
                                <w:left w:val="none" w:sz="0" w:space="0" w:color="auto"/>
                                <w:bottom w:val="none" w:sz="0" w:space="0" w:color="auto"/>
                                <w:right w:val="none" w:sz="0" w:space="0" w:color="auto"/>
                              </w:divBdr>
                              <w:divsChild>
                                <w:div w:id="927614207">
                                  <w:marLeft w:val="0"/>
                                  <w:marRight w:val="0"/>
                                  <w:marTop w:val="0"/>
                                  <w:marBottom w:val="0"/>
                                  <w:divBdr>
                                    <w:top w:val="none" w:sz="0" w:space="0" w:color="auto"/>
                                    <w:left w:val="none" w:sz="0" w:space="0" w:color="auto"/>
                                    <w:bottom w:val="none" w:sz="0" w:space="0" w:color="auto"/>
                                    <w:right w:val="none" w:sz="0" w:space="0" w:color="auto"/>
                                  </w:divBdr>
                                  <w:divsChild>
                                    <w:div w:id="149760031">
                                      <w:marLeft w:val="0"/>
                                      <w:marRight w:val="0"/>
                                      <w:marTop w:val="0"/>
                                      <w:marBottom w:val="0"/>
                                      <w:divBdr>
                                        <w:top w:val="none" w:sz="0" w:space="0" w:color="auto"/>
                                        <w:left w:val="none" w:sz="0" w:space="0" w:color="auto"/>
                                        <w:bottom w:val="none" w:sz="0" w:space="0" w:color="auto"/>
                                        <w:right w:val="none" w:sz="0" w:space="0" w:color="auto"/>
                                      </w:divBdr>
                                      <w:divsChild>
                                        <w:div w:id="846481069">
                                          <w:marLeft w:val="0"/>
                                          <w:marRight w:val="0"/>
                                          <w:marTop w:val="0"/>
                                          <w:marBottom w:val="0"/>
                                          <w:divBdr>
                                            <w:top w:val="none" w:sz="0" w:space="0" w:color="auto"/>
                                            <w:left w:val="none" w:sz="0" w:space="0" w:color="auto"/>
                                            <w:bottom w:val="none" w:sz="0" w:space="0" w:color="auto"/>
                                            <w:right w:val="none" w:sz="0" w:space="0" w:color="auto"/>
                                          </w:divBdr>
                                          <w:divsChild>
                                            <w:div w:id="1553033770">
                                              <w:marLeft w:val="0"/>
                                              <w:marRight w:val="0"/>
                                              <w:marTop w:val="0"/>
                                              <w:marBottom w:val="0"/>
                                              <w:divBdr>
                                                <w:top w:val="none" w:sz="0" w:space="0" w:color="auto"/>
                                                <w:left w:val="none" w:sz="0" w:space="0" w:color="auto"/>
                                                <w:bottom w:val="none" w:sz="0" w:space="0" w:color="auto"/>
                                                <w:right w:val="none" w:sz="0" w:space="0" w:color="auto"/>
                                              </w:divBdr>
                                              <w:divsChild>
                                                <w:div w:id="349649189">
                                                  <w:marLeft w:val="0"/>
                                                  <w:marRight w:val="0"/>
                                                  <w:marTop w:val="0"/>
                                                  <w:marBottom w:val="0"/>
                                                  <w:divBdr>
                                                    <w:top w:val="none" w:sz="0" w:space="0" w:color="auto"/>
                                                    <w:left w:val="none" w:sz="0" w:space="0" w:color="auto"/>
                                                    <w:bottom w:val="none" w:sz="0" w:space="0" w:color="auto"/>
                                                    <w:right w:val="none" w:sz="0" w:space="0" w:color="auto"/>
                                                  </w:divBdr>
                                                  <w:divsChild>
                                                    <w:div w:id="1164054233">
                                                      <w:marLeft w:val="0"/>
                                                      <w:marRight w:val="0"/>
                                                      <w:marTop w:val="0"/>
                                                      <w:marBottom w:val="0"/>
                                                      <w:divBdr>
                                                        <w:top w:val="none" w:sz="0" w:space="0" w:color="auto"/>
                                                        <w:left w:val="none" w:sz="0" w:space="0" w:color="auto"/>
                                                        <w:bottom w:val="none" w:sz="0" w:space="0" w:color="auto"/>
                                                        <w:right w:val="none" w:sz="0" w:space="0" w:color="auto"/>
                                                      </w:divBdr>
                                                      <w:divsChild>
                                                        <w:div w:id="148504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170738">
                                              <w:marLeft w:val="0"/>
                                              <w:marRight w:val="0"/>
                                              <w:marTop w:val="0"/>
                                              <w:marBottom w:val="0"/>
                                              <w:divBdr>
                                                <w:top w:val="none" w:sz="0" w:space="0" w:color="auto"/>
                                                <w:left w:val="none" w:sz="0" w:space="0" w:color="auto"/>
                                                <w:bottom w:val="none" w:sz="0" w:space="0" w:color="auto"/>
                                                <w:right w:val="none" w:sz="0" w:space="0" w:color="auto"/>
                                              </w:divBdr>
                                              <w:divsChild>
                                                <w:div w:id="2115860148">
                                                  <w:marLeft w:val="0"/>
                                                  <w:marRight w:val="0"/>
                                                  <w:marTop w:val="0"/>
                                                  <w:marBottom w:val="0"/>
                                                  <w:divBdr>
                                                    <w:top w:val="none" w:sz="0" w:space="0" w:color="auto"/>
                                                    <w:left w:val="none" w:sz="0" w:space="0" w:color="auto"/>
                                                    <w:bottom w:val="none" w:sz="0" w:space="0" w:color="auto"/>
                                                    <w:right w:val="none" w:sz="0" w:space="0" w:color="auto"/>
                                                  </w:divBdr>
                                                  <w:divsChild>
                                                    <w:div w:id="767820620">
                                                      <w:marLeft w:val="0"/>
                                                      <w:marRight w:val="0"/>
                                                      <w:marTop w:val="0"/>
                                                      <w:marBottom w:val="0"/>
                                                      <w:divBdr>
                                                        <w:top w:val="none" w:sz="0" w:space="0" w:color="auto"/>
                                                        <w:left w:val="none" w:sz="0" w:space="0" w:color="auto"/>
                                                        <w:bottom w:val="none" w:sz="0" w:space="0" w:color="auto"/>
                                                        <w:right w:val="none" w:sz="0" w:space="0" w:color="auto"/>
                                                      </w:divBdr>
                                                      <w:divsChild>
                                                        <w:div w:id="175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885053">
          <w:marLeft w:val="0"/>
          <w:marRight w:val="0"/>
          <w:marTop w:val="0"/>
          <w:marBottom w:val="0"/>
          <w:divBdr>
            <w:top w:val="none" w:sz="0" w:space="0" w:color="auto"/>
            <w:left w:val="none" w:sz="0" w:space="0" w:color="auto"/>
            <w:bottom w:val="none" w:sz="0" w:space="0" w:color="auto"/>
            <w:right w:val="none" w:sz="0" w:space="0" w:color="auto"/>
          </w:divBdr>
          <w:divsChild>
            <w:div w:id="1609195595">
              <w:marLeft w:val="0"/>
              <w:marRight w:val="0"/>
              <w:marTop w:val="0"/>
              <w:marBottom w:val="0"/>
              <w:divBdr>
                <w:top w:val="none" w:sz="0" w:space="0" w:color="auto"/>
                <w:left w:val="none" w:sz="0" w:space="0" w:color="auto"/>
                <w:bottom w:val="none" w:sz="0" w:space="0" w:color="auto"/>
                <w:right w:val="none" w:sz="0" w:space="0" w:color="auto"/>
              </w:divBdr>
              <w:divsChild>
                <w:div w:id="2124879522">
                  <w:marLeft w:val="0"/>
                  <w:marRight w:val="0"/>
                  <w:marTop w:val="0"/>
                  <w:marBottom w:val="0"/>
                  <w:divBdr>
                    <w:top w:val="none" w:sz="0" w:space="0" w:color="auto"/>
                    <w:left w:val="none" w:sz="0" w:space="0" w:color="auto"/>
                    <w:bottom w:val="none" w:sz="0" w:space="0" w:color="auto"/>
                    <w:right w:val="none" w:sz="0" w:space="0" w:color="auto"/>
                  </w:divBdr>
                  <w:divsChild>
                    <w:div w:id="325983724">
                      <w:marLeft w:val="0"/>
                      <w:marRight w:val="0"/>
                      <w:marTop w:val="0"/>
                      <w:marBottom w:val="0"/>
                      <w:divBdr>
                        <w:top w:val="none" w:sz="0" w:space="0" w:color="auto"/>
                        <w:left w:val="none" w:sz="0" w:space="0" w:color="auto"/>
                        <w:bottom w:val="none" w:sz="0" w:space="0" w:color="auto"/>
                        <w:right w:val="none" w:sz="0" w:space="0" w:color="auto"/>
                      </w:divBdr>
                      <w:divsChild>
                        <w:div w:id="2029524403">
                          <w:marLeft w:val="0"/>
                          <w:marRight w:val="0"/>
                          <w:marTop w:val="0"/>
                          <w:marBottom w:val="0"/>
                          <w:divBdr>
                            <w:top w:val="none" w:sz="0" w:space="0" w:color="auto"/>
                            <w:left w:val="none" w:sz="0" w:space="0" w:color="auto"/>
                            <w:bottom w:val="none" w:sz="0" w:space="0" w:color="auto"/>
                            <w:right w:val="none" w:sz="0" w:space="0" w:color="auto"/>
                          </w:divBdr>
                          <w:divsChild>
                            <w:div w:id="758527500">
                              <w:marLeft w:val="0"/>
                              <w:marRight w:val="0"/>
                              <w:marTop w:val="0"/>
                              <w:marBottom w:val="0"/>
                              <w:divBdr>
                                <w:top w:val="none" w:sz="0" w:space="0" w:color="auto"/>
                                <w:left w:val="none" w:sz="0" w:space="0" w:color="auto"/>
                                <w:bottom w:val="none" w:sz="0" w:space="0" w:color="auto"/>
                                <w:right w:val="none" w:sz="0" w:space="0" w:color="auto"/>
                              </w:divBdr>
                              <w:divsChild>
                                <w:div w:id="347679161">
                                  <w:marLeft w:val="0"/>
                                  <w:marRight w:val="0"/>
                                  <w:marTop w:val="0"/>
                                  <w:marBottom w:val="0"/>
                                  <w:divBdr>
                                    <w:top w:val="none" w:sz="0" w:space="0" w:color="auto"/>
                                    <w:left w:val="none" w:sz="0" w:space="0" w:color="auto"/>
                                    <w:bottom w:val="none" w:sz="0" w:space="0" w:color="auto"/>
                                    <w:right w:val="none" w:sz="0" w:space="0" w:color="auto"/>
                                  </w:divBdr>
                                  <w:divsChild>
                                    <w:div w:id="1549412338">
                                      <w:marLeft w:val="0"/>
                                      <w:marRight w:val="0"/>
                                      <w:marTop w:val="0"/>
                                      <w:marBottom w:val="0"/>
                                      <w:divBdr>
                                        <w:top w:val="none" w:sz="0" w:space="0" w:color="auto"/>
                                        <w:left w:val="none" w:sz="0" w:space="0" w:color="auto"/>
                                        <w:bottom w:val="none" w:sz="0" w:space="0" w:color="auto"/>
                                        <w:right w:val="none" w:sz="0" w:space="0" w:color="auto"/>
                                      </w:divBdr>
                                      <w:divsChild>
                                        <w:div w:id="2012953670">
                                          <w:marLeft w:val="0"/>
                                          <w:marRight w:val="0"/>
                                          <w:marTop w:val="0"/>
                                          <w:marBottom w:val="0"/>
                                          <w:divBdr>
                                            <w:top w:val="none" w:sz="0" w:space="0" w:color="auto"/>
                                            <w:left w:val="none" w:sz="0" w:space="0" w:color="auto"/>
                                            <w:bottom w:val="none" w:sz="0" w:space="0" w:color="auto"/>
                                            <w:right w:val="none" w:sz="0" w:space="0" w:color="auto"/>
                                          </w:divBdr>
                                          <w:divsChild>
                                            <w:div w:id="1592398352">
                                              <w:marLeft w:val="0"/>
                                              <w:marRight w:val="0"/>
                                              <w:marTop w:val="0"/>
                                              <w:marBottom w:val="0"/>
                                              <w:divBdr>
                                                <w:top w:val="none" w:sz="0" w:space="0" w:color="auto"/>
                                                <w:left w:val="none" w:sz="0" w:space="0" w:color="auto"/>
                                                <w:bottom w:val="none" w:sz="0" w:space="0" w:color="auto"/>
                                                <w:right w:val="none" w:sz="0" w:space="0" w:color="auto"/>
                                              </w:divBdr>
                                              <w:divsChild>
                                                <w:div w:id="312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3874969">
      <w:bodyDiv w:val="1"/>
      <w:marLeft w:val="0"/>
      <w:marRight w:val="0"/>
      <w:marTop w:val="0"/>
      <w:marBottom w:val="0"/>
      <w:divBdr>
        <w:top w:val="none" w:sz="0" w:space="0" w:color="auto"/>
        <w:left w:val="none" w:sz="0" w:space="0" w:color="auto"/>
        <w:bottom w:val="none" w:sz="0" w:space="0" w:color="auto"/>
        <w:right w:val="none" w:sz="0" w:space="0" w:color="auto"/>
      </w:divBdr>
    </w:div>
    <w:div w:id="968126511">
      <w:bodyDiv w:val="1"/>
      <w:marLeft w:val="0"/>
      <w:marRight w:val="0"/>
      <w:marTop w:val="0"/>
      <w:marBottom w:val="0"/>
      <w:divBdr>
        <w:top w:val="none" w:sz="0" w:space="0" w:color="auto"/>
        <w:left w:val="none" w:sz="0" w:space="0" w:color="auto"/>
        <w:bottom w:val="none" w:sz="0" w:space="0" w:color="auto"/>
        <w:right w:val="none" w:sz="0" w:space="0" w:color="auto"/>
      </w:divBdr>
      <w:divsChild>
        <w:div w:id="3408387">
          <w:marLeft w:val="0"/>
          <w:marRight w:val="0"/>
          <w:marTop w:val="0"/>
          <w:marBottom w:val="0"/>
          <w:divBdr>
            <w:top w:val="none" w:sz="0" w:space="0" w:color="auto"/>
            <w:left w:val="none" w:sz="0" w:space="0" w:color="auto"/>
            <w:bottom w:val="none" w:sz="0" w:space="0" w:color="auto"/>
            <w:right w:val="none" w:sz="0" w:space="0" w:color="auto"/>
          </w:divBdr>
          <w:divsChild>
            <w:div w:id="1812556621">
              <w:marLeft w:val="0"/>
              <w:marRight w:val="0"/>
              <w:marTop w:val="0"/>
              <w:marBottom w:val="0"/>
              <w:divBdr>
                <w:top w:val="none" w:sz="0" w:space="0" w:color="auto"/>
                <w:left w:val="none" w:sz="0" w:space="0" w:color="auto"/>
                <w:bottom w:val="none" w:sz="0" w:space="0" w:color="auto"/>
                <w:right w:val="none" w:sz="0" w:space="0" w:color="auto"/>
              </w:divBdr>
              <w:divsChild>
                <w:div w:id="362168104">
                  <w:marLeft w:val="0"/>
                  <w:marRight w:val="0"/>
                  <w:marTop w:val="0"/>
                  <w:marBottom w:val="0"/>
                  <w:divBdr>
                    <w:top w:val="none" w:sz="0" w:space="0" w:color="auto"/>
                    <w:left w:val="none" w:sz="0" w:space="0" w:color="auto"/>
                    <w:bottom w:val="none" w:sz="0" w:space="0" w:color="auto"/>
                    <w:right w:val="none" w:sz="0" w:space="0" w:color="auto"/>
                  </w:divBdr>
                  <w:divsChild>
                    <w:div w:id="367754953">
                      <w:marLeft w:val="0"/>
                      <w:marRight w:val="0"/>
                      <w:marTop w:val="0"/>
                      <w:marBottom w:val="0"/>
                      <w:divBdr>
                        <w:top w:val="none" w:sz="0" w:space="0" w:color="auto"/>
                        <w:left w:val="none" w:sz="0" w:space="0" w:color="auto"/>
                        <w:bottom w:val="none" w:sz="0" w:space="0" w:color="auto"/>
                        <w:right w:val="none" w:sz="0" w:space="0" w:color="auto"/>
                      </w:divBdr>
                      <w:divsChild>
                        <w:div w:id="2044623861">
                          <w:marLeft w:val="0"/>
                          <w:marRight w:val="0"/>
                          <w:marTop w:val="0"/>
                          <w:marBottom w:val="0"/>
                          <w:divBdr>
                            <w:top w:val="none" w:sz="0" w:space="0" w:color="auto"/>
                            <w:left w:val="none" w:sz="0" w:space="0" w:color="auto"/>
                            <w:bottom w:val="none" w:sz="0" w:space="0" w:color="auto"/>
                            <w:right w:val="none" w:sz="0" w:space="0" w:color="auto"/>
                          </w:divBdr>
                          <w:divsChild>
                            <w:div w:id="86293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929668">
      <w:bodyDiv w:val="1"/>
      <w:marLeft w:val="0"/>
      <w:marRight w:val="0"/>
      <w:marTop w:val="0"/>
      <w:marBottom w:val="0"/>
      <w:divBdr>
        <w:top w:val="none" w:sz="0" w:space="0" w:color="auto"/>
        <w:left w:val="none" w:sz="0" w:space="0" w:color="auto"/>
        <w:bottom w:val="none" w:sz="0" w:space="0" w:color="auto"/>
        <w:right w:val="none" w:sz="0" w:space="0" w:color="auto"/>
      </w:divBdr>
      <w:divsChild>
        <w:div w:id="1533572645">
          <w:marLeft w:val="0"/>
          <w:marRight w:val="0"/>
          <w:marTop w:val="0"/>
          <w:marBottom w:val="0"/>
          <w:divBdr>
            <w:top w:val="none" w:sz="0" w:space="0" w:color="auto"/>
            <w:left w:val="none" w:sz="0" w:space="0" w:color="auto"/>
            <w:bottom w:val="none" w:sz="0" w:space="0" w:color="auto"/>
            <w:right w:val="none" w:sz="0" w:space="0" w:color="auto"/>
          </w:divBdr>
          <w:divsChild>
            <w:div w:id="621036514">
              <w:marLeft w:val="0"/>
              <w:marRight w:val="0"/>
              <w:marTop w:val="0"/>
              <w:marBottom w:val="0"/>
              <w:divBdr>
                <w:top w:val="none" w:sz="0" w:space="0" w:color="auto"/>
                <w:left w:val="none" w:sz="0" w:space="0" w:color="auto"/>
                <w:bottom w:val="none" w:sz="0" w:space="0" w:color="auto"/>
                <w:right w:val="none" w:sz="0" w:space="0" w:color="auto"/>
              </w:divBdr>
              <w:divsChild>
                <w:div w:id="418602488">
                  <w:marLeft w:val="0"/>
                  <w:marRight w:val="0"/>
                  <w:marTop w:val="0"/>
                  <w:marBottom w:val="0"/>
                  <w:divBdr>
                    <w:top w:val="none" w:sz="0" w:space="0" w:color="auto"/>
                    <w:left w:val="none" w:sz="0" w:space="0" w:color="auto"/>
                    <w:bottom w:val="none" w:sz="0" w:space="0" w:color="auto"/>
                    <w:right w:val="none" w:sz="0" w:space="0" w:color="auto"/>
                  </w:divBdr>
                  <w:divsChild>
                    <w:div w:id="4820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941655">
          <w:marLeft w:val="0"/>
          <w:marRight w:val="0"/>
          <w:marTop w:val="0"/>
          <w:marBottom w:val="0"/>
          <w:divBdr>
            <w:top w:val="none" w:sz="0" w:space="0" w:color="auto"/>
            <w:left w:val="none" w:sz="0" w:space="0" w:color="auto"/>
            <w:bottom w:val="none" w:sz="0" w:space="0" w:color="auto"/>
            <w:right w:val="none" w:sz="0" w:space="0" w:color="auto"/>
          </w:divBdr>
          <w:divsChild>
            <w:div w:id="12536488">
              <w:marLeft w:val="0"/>
              <w:marRight w:val="0"/>
              <w:marTop w:val="0"/>
              <w:marBottom w:val="0"/>
              <w:divBdr>
                <w:top w:val="none" w:sz="0" w:space="0" w:color="auto"/>
                <w:left w:val="none" w:sz="0" w:space="0" w:color="auto"/>
                <w:bottom w:val="none" w:sz="0" w:space="0" w:color="auto"/>
                <w:right w:val="none" w:sz="0" w:space="0" w:color="auto"/>
              </w:divBdr>
              <w:divsChild>
                <w:div w:id="849681827">
                  <w:marLeft w:val="0"/>
                  <w:marRight w:val="0"/>
                  <w:marTop w:val="0"/>
                  <w:marBottom w:val="0"/>
                  <w:divBdr>
                    <w:top w:val="none" w:sz="0" w:space="0" w:color="auto"/>
                    <w:left w:val="none" w:sz="0" w:space="0" w:color="auto"/>
                    <w:bottom w:val="none" w:sz="0" w:space="0" w:color="auto"/>
                    <w:right w:val="none" w:sz="0" w:space="0" w:color="auto"/>
                  </w:divBdr>
                  <w:divsChild>
                    <w:div w:id="12481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470767">
      <w:bodyDiv w:val="1"/>
      <w:marLeft w:val="0"/>
      <w:marRight w:val="0"/>
      <w:marTop w:val="0"/>
      <w:marBottom w:val="0"/>
      <w:divBdr>
        <w:top w:val="none" w:sz="0" w:space="0" w:color="auto"/>
        <w:left w:val="none" w:sz="0" w:space="0" w:color="auto"/>
        <w:bottom w:val="none" w:sz="0" w:space="0" w:color="auto"/>
        <w:right w:val="none" w:sz="0" w:space="0" w:color="auto"/>
      </w:divBdr>
    </w:div>
    <w:div w:id="992953259">
      <w:bodyDiv w:val="1"/>
      <w:marLeft w:val="0"/>
      <w:marRight w:val="0"/>
      <w:marTop w:val="0"/>
      <w:marBottom w:val="0"/>
      <w:divBdr>
        <w:top w:val="none" w:sz="0" w:space="0" w:color="auto"/>
        <w:left w:val="none" w:sz="0" w:space="0" w:color="auto"/>
        <w:bottom w:val="none" w:sz="0" w:space="0" w:color="auto"/>
        <w:right w:val="none" w:sz="0" w:space="0" w:color="auto"/>
      </w:divBdr>
    </w:div>
    <w:div w:id="1047144911">
      <w:bodyDiv w:val="1"/>
      <w:marLeft w:val="0"/>
      <w:marRight w:val="0"/>
      <w:marTop w:val="0"/>
      <w:marBottom w:val="0"/>
      <w:divBdr>
        <w:top w:val="none" w:sz="0" w:space="0" w:color="auto"/>
        <w:left w:val="none" w:sz="0" w:space="0" w:color="auto"/>
        <w:bottom w:val="none" w:sz="0" w:space="0" w:color="auto"/>
        <w:right w:val="none" w:sz="0" w:space="0" w:color="auto"/>
      </w:divBdr>
    </w:div>
    <w:div w:id="1053500032">
      <w:bodyDiv w:val="1"/>
      <w:marLeft w:val="0"/>
      <w:marRight w:val="0"/>
      <w:marTop w:val="0"/>
      <w:marBottom w:val="0"/>
      <w:divBdr>
        <w:top w:val="none" w:sz="0" w:space="0" w:color="auto"/>
        <w:left w:val="none" w:sz="0" w:space="0" w:color="auto"/>
        <w:bottom w:val="none" w:sz="0" w:space="0" w:color="auto"/>
        <w:right w:val="none" w:sz="0" w:space="0" w:color="auto"/>
      </w:divBdr>
      <w:divsChild>
        <w:div w:id="170998275">
          <w:marLeft w:val="0"/>
          <w:marRight w:val="0"/>
          <w:marTop w:val="0"/>
          <w:marBottom w:val="0"/>
          <w:divBdr>
            <w:top w:val="none" w:sz="0" w:space="0" w:color="auto"/>
            <w:left w:val="none" w:sz="0" w:space="0" w:color="auto"/>
            <w:bottom w:val="none" w:sz="0" w:space="0" w:color="auto"/>
            <w:right w:val="none" w:sz="0" w:space="0" w:color="auto"/>
          </w:divBdr>
          <w:divsChild>
            <w:div w:id="718018045">
              <w:marLeft w:val="0"/>
              <w:marRight w:val="0"/>
              <w:marTop w:val="0"/>
              <w:marBottom w:val="0"/>
              <w:divBdr>
                <w:top w:val="none" w:sz="0" w:space="0" w:color="auto"/>
                <w:left w:val="none" w:sz="0" w:space="0" w:color="auto"/>
                <w:bottom w:val="none" w:sz="0" w:space="0" w:color="auto"/>
                <w:right w:val="none" w:sz="0" w:space="0" w:color="auto"/>
              </w:divBdr>
              <w:divsChild>
                <w:div w:id="1488549897">
                  <w:marLeft w:val="0"/>
                  <w:marRight w:val="0"/>
                  <w:marTop w:val="0"/>
                  <w:marBottom w:val="0"/>
                  <w:divBdr>
                    <w:top w:val="none" w:sz="0" w:space="0" w:color="auto"/>
                    <w:left w:val="none" w:sz="0" w:space="0" w:color="auto"/>
                    <w:bottom w:val="none" w:sz="0" w:space="0" w:color="auto"/>
                    <w:right w:val="none" w:sz="0" w:space="0" w:color="auto"/>
                  </w:divBdr>
                  <w:divsChild>
                    <w:div w:id="618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34666">
          <w:marLeft w:val="0"/>
          <w:marRight w:val="0"/>
          <w:marTop w:val="0"/>
          <w:marBottom w:val="0"/>
          <w:divBdr>
            <w:top w:val="none" w:sz="0" w:space="0" w:color="auto"/>
            <w:left w:val="none" w:sz="0" w:space="0" w:color="auto"/>
            <w:bottom w:val="none" w:sz="0" w:space="0" w:color="auto"/>
            <w:right w:val="none" w:sz="0" w:space="0" w:color="auto"/>
          </w:divBdr>
          <w:divsChild>
            <w:div w:id="973173377">
              <w:marLeft w:val="0"/>
              <w:marRight w:val="0"/>
              <w:marTop w:val="0"/>
              <w:marBottom w:val="0"/>
              <w:divBdr>
                <w:top w:val="none" w:sz="0" w:space="0" w:color="auto"/>
                <w:left w:val="none" w:sz="0" w:space="0" w:color="auto"/>
                <w:bottom w:val="none" w:sz="0" w:space="0" w:color="auto"/>
                <w:right w:val="none" w:sz="0" w:space="0" w:color="auto"/>
              </w:divBdr>
              <w:divsChild>
                <w:div w:id="923537470">
                  <w:marLeft w:val="0"/>
                  <w:marRight w:val="0"/>
                  <w:marTop w:val="0"/>
                  <w:marBottom w:val="0"/>
                  <w:divBdr>
                    <w:top w:val="none" w:sz="0" w:space="0" w:color="auto"/>
                    <w:left w:val="none" w:sz="0" w:space="0" w:color="auto"/>
                    <w:bottom w:val="none" w:sz="0" w:space="0" w:color="auto"/>
                    <w:right w:val="none" w:sz="0" w:space="0" w:color="auto"/>
                  </w:divBdr>
                  <w:divsChild>
                    <w:div w:id="6464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986341">
      <w:bodyDiv w:val="1"/>
      <w:marLeft w:val="0"/>
      <w:marRight w:val="0"/>
      <w:marTop w:val="0"/>
      <w:marBottom w:val="0"/>
      <w:divBdr>
        <w:top w:val="none" w:sz="0" w:space="0" w:color="auto"/>
        <w:left w:val="none" w:sz="0" w:space="0" w:color="auto"/>
        <w:bottom w:val="none" w:sz="0" w:space="0" w:color="auto"/>
        <w:right w:val="none" w:sz="0" w:space="0" w:color="auto"/>
      </w:divBdr>
    </w:div>
    <w:div w:id="1081872943">
      <w:bodyDiv w:val="1"/>
      <w:marLeft w:val="0"/>
      <w:marRight w:val="0"/>
      <w:marTop w:val="0"/>
      <w:marBottom w:val="0"/>
      <w:divBdr>
        <w:top w:val="none" w:sz="0" w:space="0" w:color="auto"/>
        <w:left w:val="none" w:sz="0" w:space="0" w:color="auto"/>
        <w:bottom w:val="none" w:sz="0" w:space="0" w:color="auto"/>
        <w:right w:val="none" w:sz="0" w:space="0" w:color="auto"/>
      </w:divBdr>
    </w:div>
    <w:div w:id="1107122733">
      <w:bodyDiv w:val="1"/>
      <w:marLeft w:val="0"/>
      <w:marRight w:val="0"/>
      <w:marTop w:val="0"/>
      <w:marBottom w:val="0"/>
      <w:divBdr>
        <w:top w:val="none" w:sz="0" w:space="0" w:color="auto"/>
        <w:left w:val="none" w:sz="0" w:space="0" w:color="auto"/>
        <w:bottom w:val="none" w:sz="0" w:space="0" w:color="auto"/>
        <w:right w:val="none" w:sz="0" w:space="0" w:color="auto"/>
      </w:divBdr>
    </w:div>
    <w:div w:id="1152721102">
      <w:bodyDiv w:val="1"/>
      <w:marLeft w:val="0"/>
      <w:marRight w:val="0"/>
      <w:marTop w:val="0"/>
      <w:marBottom w:val="0"/>
      <w:divBdr>
        <w:top w:val="none" w:sz="0" w:space="0" w:color="auto"/>
        <w:left w:val="none" w:sz="0" w:space="0" w:color="auto"/>
        <w:bottom w:val="none" w:sz="0" w:space="0" w:color="auto"/>
        <w:right w:val="none" w:sz="0" w:space="0" w:color="auto"/>
      </w:divBdr>
    </w:div>
    <w:div w:id="1185097457">
      <w:bodyDiv w:val="1"/>
      <w:marLeft w:val="0"/>
      <w:marRight w:val="0"/>
      <w:marTop w:val="0"/>
      <w:marBottom w:val="0"/>
      <w:divBdr>
        <w:top w:val="none" w:sz="0" w:space="0" w:color="auto"/>
        <w:left w:val="none" w:sz="0" w:space="0" w:color="auto"/>
        <w:bottom w:val="none" w:sz="0" w:space="0" w:color="auto"/>
        <w:right w:val="none" w:sz="0" w:space="0" w:color="auto"/>
      </w:divBdr>
    </w:div>
    <w:div w:id="1230531038">
      <w:bodyDiv w:val="1"/>
      <w:marLeft w:val="0"/>
      <w:marRight w:val="0"/>
      <w:marTop w:val="0"/>
      <w:marBottom w:val="0"/>
      <w:divBdr>
        <w:top w:val="none" w:sz="0" w:space="0" w:color="auto"/>
        <w:left w:val="none" w:sz="0" w:space="0" w:color="auto"/>
        <w:bottom w:val="none" w:sz="0" w:space="0" w:color="auto"/>
        <w:right w:val="none" w:sz="0" w:space="0" w:color="auto"/>
      </w:divBdr>
    </w:div>
    <w:div w:id="1238173779">
      <w:bodyDiv w:val="1"/>
      <w:marLeft w:val="0"/>
      <w:marRight w:val="0"/>
      <w:marTop w:val="0"/>
      <w:marBottom w:val="0"/>
      <w:divBdr>
        <w:top w:val="none" w:sz="0" w:space="0" w:color="auto"/>
        <w:left w:val="none" w:sz="0" w:space="0" w:color="auto"/>
        <w:bottom w:val="none" w:sz="0" w:space="0" w:color="auto"/>
        <w:right w:val="none" w:sz="0" w:space="0" w:color="auto"/>
      </w:divBdr>
    </w:div>
    <w:div w:id="1253124424">
      <w:bodyDiv w:val="1"/>
      <w:marLeft w:val="0"/>
      <w:marRight w:val="0"/>
      <w:marTop w:val="0"/>
      <w:marBottom w:val="0"/>
      <w:divBdr>
        <w:top w:val="none" w:sz="0" w:space="0" w:color="auto"/>
        <w:left w:val="none" w:sz="0" w:space="0" w:color="auto"/>
        <w:bottom w:val="none" w:sz="0" w:space="0" w:color="auto"/>
        <w:right w:val="none" w:sz="0" w:space="0" w:color="auto"/>
      </w:divBdr>
    </w:div>
    <w:div w:id="1266614689">
      <w:bodyDiv w:val="1"/>
      <w:marLeft w:val="0"/>
      <w:marRight w:val="0"/>
      <w:marTop w:val="0"/>
      <w:marBottom w:val="0"/>
      <w:divBdr>
        <w:top w:val="none" w:sz="0" w:space="0" w:color="auto"/>
        <w:left w:val="none" w:sz="0" w:space="0" w:color="auto"/>
        <w:bottom w:val="none" w:sz="0" w:space="0" w:color="auto"/>
        <w:right w:val="none" w:sz="0" w:space="0" w:color="auto"/>
      </w:divBdr>
      <w:divsChild>
        <w:div w:id="228542215">
          <w:marLeft w:val="0"/>
          <w:marRight w:val="0"/>
          <w:marTop w:val="0"/>
          <w:marBottom w:val="0"/>
          <w:divBdr>
            <w:top w:val="none" w:sz="0" w:space="0" w:color="auto"/>
            <w:left w:val="none" w:sz="0" w:space="0" w:color="auto"/>
            <w:bottom w:val="none" w:sz="0" w:space="0" w:color="auto"/>
            <w:right w:val="none" w:sz="0" w:space="0" w:color="auto"/>
          </w:divBdr>
        </w:div>
        <w:div w:id="1656884093">
          <w:marLeft w:val="0"/>
          <w:marRight w:val="0"/>
          <w:marTop w:val="0"/>
          <w:marBottom w:val="0"/>
          <w:divBdr>
            <w:top w:val="none" w:sz="0" w:space="0" w:color="auto"/>
            <w:left w:val="none" w:sz="0" w:space="0" w:color="auto"/>
            <w:bottom w:val="none" w:sz="0" w:space="0" w:color="auto"/>
            <w:right w:val="none" w:sz="0" w:space="0" w:color="auto"/>
          </w:divBdr>
        </w:div>
      </w:divsChild>
    </w:div>
    <w:div w:id="1294484186">
      <w:bodyDiv w:val="1"/>
      <w:marLeft w:val="0"/>
      <w:marRight w:val="0"/>
      <w:marTop w:val="0"/>
      <w:marBottom w:val="0"/>
      <w:divBdr>
        <w:top w:val="none" w:sz="0" w:space="0" w:color="auto"/>
        <w:left w:val="none" w:sz="0" w:space="0" w:color="auto"/>
        <w:bottom w:val="none" w:sz="0" w:space="0" w:color="auto"/>
        <w:right w:val="none" w:sz="0" w:space="0" w:color="auto"/>
      </w:divBdr>
    </w:div>
    <w:div w:id="1326400790">
      <w:bodyDiv w:val="1"/>
      <w:marLeft w:val="0"/>
      <w:marRight w:val="0"/>
      <w:marTop w:val="0"/>
      <w:marBottom w:val="0"/>
      <w:divBdr>
        <w:top w:val="none" w:sz="0" w:space="0" w:color="auto"/>
        <w:left w:val="none" w:sz="0" w:space="0" w:color="auto"/>
        <w:bottom w:val="none" w:sz="0" w:space="0" w:color="auto"/>
        <w:right w:val="none" w:sz="0" w:space="0" w:color="auto"/>
      </w:divBdr>
    </w:div>
    <w:div w:id="1344624785">
      <w:bodyDiv w:val="1"/>
      <w:marLeft w:val="0"/>
      <w:marRight w:val="0"/>
      <w:marTop w:val="0"/>
      <w:marBottom w:val="0"/>
      <w:divBdr>
        <w:top w:val="none" w:sz="0" w:space="0" w:color="auto"/>
        <w:left w:val="none" w:sz="0" w:space="0" w:color="auto"/>
        <w:bottom w:val="none" w:sz="0" w:space="0" w:color="auto"/>
        <w:right w:val="none" w:sz="0" w:space="0" w:color="auto"/>
      </w:divBdr>
    </w:div>
    <w:div w:id="1358116763">
      <w:bodyDiv w:val="1"/>
      <w:marLeft w:val="0"/>
      <w:marRight w:val="0"/>
      <w:marTop w:val="0"/>
      <w:marBottom w:val="0"/>
      <w:divBdr>
        <w:top w:val="none" w:sz="0" w:space="0" w:color="auto"/>
        <w:left w:val="none" w:sz="0" w:space="0" w:color="auto"/>
        <w:bottom w:val="none" w:sz="0" w:space="0" w:color="auto"/>
        <w:right w:val="none" w:sz="0" w:space="0" w:color="auto"/>
      </w:divBdr>
    </w:div>
    <w:div w:id="1363825594">
      <w:bodyDiv w:val="1"/>
      <w:marLeft w:val="0"/>
      <w:marRight w:val="0"/>
      <w:marTop w:val="0"/>
      <w:marBottom w:val="0"/>
      <w:divBdr>
        <w:top w:val="none" w:sz="0" w:space="0" w:color="auto"/>
        <w:left w:val="none" w:sz="0" w:space="0" w:color="auto"/>
        <w:bottom w:val="none" w:sz="0" w:space="0" w:color="auto"/>
        <w:right w:val="none" w:sz="0" w:space="0" w:color="auto"/>
      </w:divBdr>
    </w:div>
    <w:div w:id="1406488595">
      <w:bodyDiv w:val="1"/>
      <w:marLeft w:val="0"/>
      <w:marRight w:val="0"/>
      <w:marTop w:val="0"/>
      <w:marBottom w:val="0"/>
      <w:divBdr>
        <w:top w:val="none" w:sz="0" w:space="0" w:color="auto"/>
        <w:left w:val="none" w:sz="0" w:space="0" w:color="auto"/>
        <w:bottom w:val="none" w:sz="0" w:space="0" w:color="auto"/>
        <w:right w:val="none" w:sz="0" w:space="0" w:color="auto"/>
      </w:divBdr>
    </w:div>
    <w:div w:id="1420369674">
      <w:bodyDiv w:val="1"/>
      <w:marLeft w:val="0"/>
      <w:marRight w:val="0"/>
      <w:marTop w:val="0"/>
      <w:marBottom w:val="0"/>
      <w:divBdr>
        <w:top w:val="none" w:sz="0" w:space="0" w:color="auto"/>
        <w:left w:val="none" w:sz="0" w:space="0" w:color="auto"/>
        <w:bottom w:val="none" w:sz="0" w:space="0" w:color="auto"/>
        <w:right w:val="none" w:sz="0" w:space="0" w:color="auto"/>
      </w:divBdr>
      <w:divsChild>
        <w:div w:id="950169490">
          <w:marLeft w:val="0"/>
          <w:marRight w:val="0"/>
          <w:marTop w:val="0"/>
          <w:marBottom w:val="0"/>
          <w:divBdr>
            <w:top w:val="none" w:sz="0" w:space="0" w:color="auto"/>
            <w:left w:val="none" w:sz="0" w:space="0" w:color="auto"/>
            <w:bottom w:val="none" w:sz="0" w:space="0" w:color="auto"/>
            <w:right w:val="none" w:sz="0" w:space="0" w:color="auto"/>
          </w:divBdr>
          <w:divsChild>
            <w:div w:id="388119271">
              <w:marLeft w:val="0"/>
              <w:marRight w:val="0"/>
              <w:marTop w:val="0"/>
              <w:marBottom w:val="0"/>
              <w:divBdr>
                <w:top w:val="none" w:sz="0" w:space="0" w:color="auto"/>
                <w:left w:val="none" w:sz="0" w:space="0" w:color="auto"/>
                <w:bottom w:val="none" w:sz="0" w:space="0" w:color="auto"/>
                <w:right w:val="none" w:sz="0" w:space="0" w:color="auto"/>
              </w:divBdr>
              <w:divsChild>
                <w:div w:id="733116955">
                  <w:marLeft w:val="0"/>
                  <w:marRight w:val="0"/>
                  <w:marTop w:val="0"/>
                  <w:marBottom w:val="0"/>
                  <w:divBdr>
                    <w:top w:val="none" w:sz="0" w:space="0" w:color="auto"/>
                    <w:left w:val="none" w:sz="0" w:space="0" w:color="auto"/>
                    <w:bottom w:val="none" w:sz="0" w:space="0" w:color="auto"/>
                    <w:right w:val="none" w:sz="0" w:space="0" w:color="auto"/>
                  </w:divBdr>
                  <w:divsChild>
                    <w:div w:id="1745059733">
                      <w:marLeft w:val="0"/>
                      <w:marRight w:val="0"/>
                      <w:marTop w:val="0"/>
                      <w:marBottom w:val="0"/>
                      <w:divBdr>
                        <w:top w:val="none" w:sz="0" w:space="0" w:color="auto"/>
                        <w:left w:val="none" w:sz="0" w:space="0" w:color="auto"/>
                        <w:bottom w:val="none" w:sz="0" w:space="0" w:color="auto"/>
                        <w:right w:val="none" w:sz="0" w:space="0" w:color="auto"/>
                      </w:divBdr>
                      <w:divsChild>
                        <w:div w:id="2122988174">
                          <w:marLeft w:val="0"/>
                          <w:marRight w:val="0"/>
                          <w:marTop w:val="0"/>
                          <w:marBottom w:val="0"/>
                          <w:divBdr>
                            <w:top w:val="none" w:sz="0" w:space="0" w:color="auto"/>
                            <w:left w:val="none" w:sz="0" w:space="0" w:color="auto"/>
                            <w:bottom w:val="none" w:sz="0" w:space="0" w:color="auto"/>
                            <w:right w:val="none" w:sz="0" w:space="0" w:color="auto"/>
                          </w:divBdr>
                          <w:divsChild>
                            <w:div w:id="189808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036629">
      <w:bodyDiv w:val="1"/>
      <w:marLeft w:val="0"/>
      <w:marRight w:val="0"/>
      <w:marTop w:val="0"/>
      <w:marBottom w:val="0"/>
      <w:divBdr>
        <w:top w:val="none" w:sz="0" w:space="0" w:color="auto"/>
        <w:left w:val="none" w:sz="0" w:space="0" w:color="auto"/>
        <w:bottom w:val="none" w:sz="0" w:space="0" w:color="auto"/>
        <w:right w:val="none" w:sz="0" w:space="0" w:color="auto"/>
      </w:divBdr>
    </w:div>
    <w:div w:id="1491409301">
      <w:bodyDiv w:val="1"/>
      <w:marLeft w:val="0"/>
      <w:marRight w:val="0"/>
      <w:marTop w:val="0"/>
      <w:marBottom w:val="0"/>
      <w:divBdr>
        <w:top w:val="none" w:sz="0" w:space="0" w:color="auto"/>
        <w:left w:val="none" w:sz="0" w:space="0" w:color="auto"/>
        <w:bottom w:val="none" w:sz="0" w:space="0" w:color="auto"/>
        <w:right w:val="none" w:sz="0" w:space="0" w:color="auto"/>
      </w:divBdr>
    </w:div>
    <w:div w:id="1504122520">
      <w:bodyDiv w:val="1"/>
      <w:marLeft w:val="0"/>
      <w:marRight w:val="0"/>
      <w:marTop w:val="0"/>
      <w:marBottom w:val="0"/>
      <w:divBdr>
        <w:top w:val="none" w:sz="0" w:space="0" w:color="auto"/>
        <w:left w:val="none" w:sz="0" w:space="0" w:color="auto"/>
        <w:bottom w:val="none" w:sz="0" w:space="0" w:color="auto"/>
        <w:right w:val="none" w:sz="0" w:space="0" w:color="auto"/>
      </w:divBdr>
      <w:divsChild>
        <w:div w:id="1629122590">
          <w:marLeft w:val="-360"/>
          <w:marRight w:val="0"/>
          <w:marTop w:val="0"/>
          <w:marBottom w:val="0"/>
          <w:divBdr>
            <w:top w:val="none" w:sz="0" w:space="0" w:color="auto"/>
            <w:left w:val="none" w:sz="0" w:space="0" w:color="auto"/>
            <w:bottom w:val="none" w:sz="0" w:space="0" w:color="auto"/>
            <w:right w:val="none" w:sz="0" w:space="0" w:color="auto"/>
          </w:divBdr>
          <w:divsChild>
            <w:div w:id="1770077988">
              <w:marLeft w:val="0"/>
              <w:marRight w:val="0"/>
              <w:marTop w:val="0"/>
              <w:marBottom w:val="360"/>
              <w:divBdr>
                <w:top w:val="none" w:sz="0" w:space="0" w:color="auto"/>
                <w:left w:val="none" w:sz="0" w:space="0" w:color="auto"/>
                <w:bottom w:val="none" w:sz="0" w:space="0" w:color="auto"/>
                <w:right w:val="none" w:sz="0" w:space="0" w:color="auto"/>
              </w:divBdr>
            </w:div>
          </w:divsChild>
        </w:div>
        <w:div w:id="1161430149">
          <w:marLeft w:val="0"/>
          <w:marRight w:val="0"/>
          <w:marTop w:val="0"/>
          <w:marBottom w:val="0"/>
          <w:divBdr>
            <w:top w:val="none" w:sz="0" w:space="0" w:color="auto"/>
            <w:left w:val="none" w:sz="0" w:space="0" w:color="auto"/>
            <w:bottom w:val="none" w:sz="0" w:space="0" w:color="auto"/>
            <w:right w:val="none" w:sz="0" w:space="0" w:color="auto"/>
          </w:divBdr>
        </w:div>
      </w:divsChild>
    </w:div>
    <w:div w:id="1507212567">
      <w:bodyDiv w:val="1"/>
      <w:marLeft w:val="0"/>
      <w:marRight w:val="0"/>
      <w:marTop w:val="0"/>
      <w:marBottom w:val="0"/>
      <w:divBdr>
        <w:top w:val="none" w:sz="0" w:space="0" w:color="auto"/>
        <w:left w:val="none" w:sz="0" w:space="0" w:color="auto"/>
        <w:bottom w:val="none" w:sz="0" w:space="0" w:color="auto"/>
        <w:right w:val="none" w:sz="0" w:space="0" w:color="auto"/>
      </w:divBdr>
      <w:divsChild>
        <w:div w:id="488177860">
          <w:marLeft w:val="0"/>
          <w:marRight w:val="0"/>
          <w:marTop w:val="0"/>
          <w:marBottom w:val="0"/>
          <w:divBdr>
            <w:top w:val="none" w:sz="0" w:space="0" w:color="auto"/>
            <w:left w:val="none" w:sz="0" w:space="0" w:color="auto"/>
            <w:bottom w:val="none" w:sz="0" w:space="0" w:color="auto"/>
            <w:right w:val="none" w:sz="0" w:space="0" w:color="auto"/>
          </w:divBdr>
          <w:divsChild>
            <w:div w:id="1685940612">
              <w:marLeft w:val="0"/>
              <w:marRight w:val="0"/>
              <w:marTop w:val="0"/>
              <w:marBottom w:val="0"/>
              <w:divBdr>
                <w:top w:val="none" w:sz="0" w:space="0" w:color="auto"/>
                <w:left w:val="none" w:sz="0" w:space="0" w:color="auto"/>
                <w:bottom w:val="none" w:sz="0" w:space="0" w:color="auto"/>
                <w:right w:val="none" w:sz="0" w:space="0" w:color="auto"/>
              </w:divBdr>
              <w:divsChild>
                <w:div w:id="432865740">
                  <w:marLeft w:val="0"/>
                  <w:marRight w:val="0"/>
                  <w:marTop w:val="0"/>
                  <w:marBottom w:val="0"/>
                  <w:divBdr>
                    <w:top w:val="none" w:sz="0" w:space="0" w:color="auto"/>
                    <w:left w:val="none" w:sz="0" w:space="0" w:color="auto"/>
                    <w:bottom w:val="none" w:sz="0" w:space="0" w:color="auto"/>
                    <w:right w:val="none" w:sz="0" w:space="0" w:color="auto"/>
                  </w:divBdr>
                  <w:divsChild>
                    <w:div w:id="213009453">
                      <w:marLeft w:val="0"/>
                      <w:marRight w:val="0"/>
                      <w:marTop w:val="0"/>
                      <w:marBottom w:val="0"/>
                      <w:divBdr>
                        <w:top w:val="none" w:sz="0" w:space="0" w:color="auto"/>
                        <w:left w:val="none" w:sz="0" w:space="0" w:color="auto"/>
                        <w:bottom w:val="none" w:sz="0" w:space="0" w:color="auto"/>
                        <w:right w:val="none" w:sz="0" w:space="0" w:color="auto"/>
                      </w:divBdr>
                      <w:divsChild>
                        <w:div w:id="1041244990">
                          <w:marLeft w:val="0"/>
                          <w:marRight w:val="0"/>
                          <w:marTop w:val="0"/>
                          <w:marBottom w:val="0"/>
                          <w:divBdr>
                            <w:top w:val="none" w:sz="0" w:space="0" w:color="auto"/>
                            <w:left w:val="none" w:sz="0" w:space="0" w:color="auto"/>
                            <w:bottom w:val="none" w:sz="0" w:space="0" w:color="auto"/>
                            <w:right w:val="none" w:sz="0" w:space="0" w:color="auto"/>
                          </w:divBdr>
                          <w:divsChild>
                            <w:div w:id="75590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31596">
                  <w:marLeft w:val="0"/>
                  <w:marRight w:val="0"/>
                  <w:marTop w:val="0"/>
                  <w:marBottom w:val="0"/>
                  <w:divBdr>
                    <w:top w:val="none" w:sz="0" w:space="0" w:color="auto"/>
                    <w:left w:val="none" w:sz="0" w:space="0" w:color="auto"/>
                    <w:bottom w:val="none" w:sz="0" w:space="0" w:color="auto"/>
                    <w:right w:val="none" w:sz="0" w:space="0" w:color="auto"/>
                  </w:divBdr>
                  <w:divsChild>
                    <w:div w:id="1414476065">
                      <w:marLeft w:val="0"/>
                      <w:marRight w:val="0"/>
                      <w:marTop w:val="0"/>
                      <w:marBottom w:val="0"/>
                      <w:divBdr>
                        <w:top w:val="none" w:sz="0" w:space="0" w:color="auto"/>
                        <w:left w:val="none" w:sz="0" w:space="0" w:color="auto"/>
                        <w:bottom w:val="none" w:sz="0" w:space="0" w:color="auto"/>
                        <w:right w:val="none" w:sz="0" w:space="0" w:color="auto"/>
                      </w:divBdr>
                      <w:divsChild>
                        <w:div w:id="17970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0099">
                  <w:marLeft w:val="0"/>
                  <w:marRight w:val="0"/>
                  <w:marTop w:val="0"/>
                  <w:marBottom w:val="0"/>
                  <w:divBdr>
                    <w:top w:val="none" w:sz="0" w:space="0" w:color="auto"/>
                    <w:left w:val="none" w:sz="0" w:space="0" w:color="auto"/>
                    <w:bottom w:val="none" w:sz="0" w:space="0" w:color="auto"/>
                    <w:right w:val="none" w:sz="0" w:space="0" w:color="auto"/>
                  </w:divBdr>
                  <w:divsChild>
                    <w:div w:id="97183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883684">
      <w:bodyDiv w:val="1"/>
      <w:marLeft w:val="0"/>
      <w:marRight w:val="0"/>
      <w:marTop w:val="0"/>
      <w:marBottom w:val="0"/>
      <w:divBdr>
        <w:top w:val="none" w:sz="0" w:space="0" w:color="auto"/>
        <w:left w:val="none" w:sz="0" w:space="0" w:color="auto"/>
        <w:bottom w:val="none" w:sz="0" w:space="0" w:color="auto"/>
        <w:right w:val="none" w:sz="0" w:space="0" w:color="auto"/>
      </w:divBdr>
      <w:divsChild>
        <w:div w:id="1853255323">
          <w:marLeft w:val="0"/>
          <w:marRight w:val="0"/>
          <w:marTop w:val="0"/>
          <w:marBottom w:val="0"/>
          <w:divBdr>
            <w:top w:val="none" w:sz="0" w:space="0" w:color="auto"/>
            <w:left w:val="none" w:sz="0" w:space="0" w:color="auto"/>
            <w:bottom w:val="none" w:sz="0" w:space="0" w:color="auto"/>
            <w:right w:val="none" w:sz="0" w:space="0" w:color="auto"/>
          </w:divBdr>
          <w:divsChild>
            <w:div w:id="370033762">
              <w:marLeft w:val="0"/>
              <w:marRight w:val="0"/>
              <w:marTop w:val="0"/>
              <w:marBottom w:val="0"/>
              <w:divBdr>
                <w:top w:val="none" w:sz="0" w:space="0" w:color="auto"/>
                <w:left w:val="none" w:sz="0" w:space="0" w:color="auto"/>
                <w:bottom w:val="none" w:sz="0" w:space="0" w:color="auto"/>
                <w:right w:val="none" w:sz="0" w:space="0" w:color="auto"/>
              </w:divBdr>
              <w:divsChild>
                <w:div w:id="1497723589">
                  <w:marLeft w:val="0"/>
                  <w:marRight w:val="0"/>
                  <w:marTop w:val="0"/>
                  <w:marBottom w:val="0"/>
                  <w:divBdr>
                    <w:top w:val="none" w:sz="0" w:space="0" w:color="auto"/>
                    <w:left w:val="none" w:sz="0" w:space="0" w:color="auto"/>
                    <w:bottom w:val="none" w:sz="0" w:space="0" w:color="auto"/>
                    <w:right w:val="none" w:sz="0" w:space="0" w:color="auto"/>
                  </w:divBdr>
                  <w:divsChild>
                    <w:div w:id="1939216411">
                      <w:marLeft w:val="0"/>
                      <w:marRight w:val="0"/>
                      <w:marTop w:val="0"/>
                      <w:marBottom w:val="0"/>
                      <w:divBdr>
                        <w:top w:val="none" w:sz="0" w:space="0" w:color="auto"/>
                        <w:left w:val="none" w:sz="0" w:space="0" w:color="auto"/>
                        <w:bottom w:val="none" w:sz="0" w:space="0" w:color="auto"/>
                        <w:right w:val="none" w:sz="0" w:space="0" w:color="auto"/>
                      </w:divBdr>
                      <w:divsChild>
                        <w:div w:id="354041633">
                          <w:marLeft w:val="0"/>
                          <w:marRight w:val="0"/>
                          <w:marTop w:val="0"/>
                          <w:marBottom w:val="0"/>
                          <w:divBdr>
                            <w:top w:val="none" w:sz="0" w:space="0" w:color="auto"/>
                            <w:left w:val="none" w:sz="0" w:space="0" w:color="auto"/>
                            <w:bottom w:val="none" w:sz="0" w:space="0" w:color="auto"/>
                            <w:right w:val="none" w:sz="0" w:space="0" w:color="auto"/>
                          </w:divBdr>
                          <w:divsChild>
                            <w:div w:id="19291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623587">
      <w:bodyDiv w:val="1"/>
      <w:marLeft w:val="0"/>
      <w:marRight w:val="0"/>
      <w:marTop w:val="0"/>
      <w:marBottom w:val="0"/>
      <w:divBdr>
        <w:top w:val="none" w:sz="0" w:space="0" w:color="auto"/>
        <w:left w:val="none" w:sz="0" w:space="0" w:color="auto"/>
        <w:bottom w:val="none" w:sz="0" w:space="0" w:color="auto"/>
        <w:right w:val="none" w:sz="0" w:space="0" w:color="auto"/>
      </w:divBdr>
    </w:div>
    <w:div w:id="1538935322">
      <w:bodyDiv w:val="1"/>
      <w:marLeft w:val="0"/>
      <w:marRight w:val="0"/>
      <w:marTop w:val="0"/>
      <w:marBottom w:val="0"/>
      <w:divBdr>
        <w:top w:val="none" w:sz="0" w:space="0" w:color="auto"/>
        <w:left w:val="none" w:sz="0" w:space="0" w:color="auto"/>
        <w:bottom w:val="none" w:sz="0" w:space="0" w:color="auto"/>
        <w:right w:val="none" w:sz="0" w:space="0" w:color="auto"/>
      </w:divBdr>
    </w:div>
    <w:div w:id="1579904528">
      <w:bodyDiv w:val="1"/>
      <w:marLeft w:val="0"/>
      <w:marRight w:val="0"/>
      <w:marTop w:val="0"/>
      <w:marBottom w:val="0"/>
      <w:divBdr>
        <w:top w:val="none" w:sz="0" w:space="0" w:color="auto"/>
        <w:left w:val="none" w:sz="0" w:space="0" w:color="auto"/>
        <w:bottom w:val="none" w:sz="0" w:space="0" w:color="auto"/>
        <w:right w:val="none" w:sz="0" w:space="0" w:color="auto"/>
      </w:divBdr>
    </w:div>
    <w:div w:id="1585601366">
      <w:bodyDiv w:val="1"/>
      <w:marLeft w:val="0"/>
      <w:marRight w:val="0"/>
      <w:marTop w:val="0"/>
      <w:marBottom w:val="0"/>
      <w:divBdr>
        <w:top w:val="none" w:sz="0" w:space="0" w:color="auto"/>
        <w:left w:val="none" w:sz="0" w:space="0" w:color="auto"/>
        <w:bottom w:val="none" w:sz="0" w:space="0" w:color="auto"/>
        <w:right w:val="none" w:sz="0" w:space="0" w:color="auto"/>
      </w:divBdr>
      <w:divsChild>
        <w:div w:id="1976519226">
          <w:marLeft w:val="0"/>
          <w:marRight w:val="0"/>
          <w:marTop w:val="0"/>
          <w:marBottom w:val="0"/>
          <w:divBdr>
            <w:top w:val="none" w:sz="0" w:space="0" w:color="auto"/>
            <w:left w:val="none" w:sz="0" w:space="0" w:color="auto"/>
            <w:bottom w:val="none" w:sz="0" w:space="0" w:color="auto"/>
            <w:right w:val="none" w:sz="0" w:space="0" w:color="auto"/>
          </w:divBdr>
          <w:divsChild>
            <w:div w:id="1891762199">
              <w:marLeft w:val="0"/>
              <w:marRight w:val="0"/>
              <w:marTop w:val="0"/>
              <w:marBottom w:val="0"/>
              <w:divBdr>
                <w:top w:val="none" w:sz="0" w:space="0" w:color="auto"/>
                <w:left w:val="none" w:sz="0" w:space="0" w:color="auto"/>
                <w:bottom w:val="none" w:sz="0" w:space="0" w:color="auto"/>
                <w:right w:val="none" w:sz="0" w:space="0" w:color="auto"/>
              </w:divBdr>
              <w:divsChild>
                <w:div w:id="1514613272">
                  <w:marLeft w:val="0"/>
                  <w:marRight w:val="0"/>
                  <w:marTop w:val="0"/>
                  <w:marBottom w:val="0"/>
                  <w:divBdr>
                    <w:top w:val="none" w:sz="0" w:space="0" w:color="auto"/>
                    <w:left w:val="none" w:sz="0" w:space="0" w:color="auto"/>
                    <w:bottom w:val="none" w:sz="0" w:space="0" w:color="auto"/>
                    <w:right w:val="none" w:sz="0" w:space="0" w:color="auto"/>
                  </w:divBdr>
                  <w:divsChild>
                    <w:div w:id="9663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18130">
          <w:marLeft w:val="0"/>
          <w:marRight w:val="0"/>
          <w:marTop w:val="0"/>
          <w:marBottom w:val="0"/>
          <w:divBdr>
            <w:top w:val="none" w:sz="0" w:space="0" w:color="auto"/>
            <w:left w:val="none" w:sz="0" w:space="0" w:color="auto"/>
            <w:bottom w:val="none" w:sz="0" w:space="0" w:color="auto"/>
            <w:right w:val="none" w:sz="0" w:space="0" w:color="auto"/>
          </w:divBdr>
          <w:divsChild>
            <w:div w:id="1705864732">
              <w:marLeft w:val="0"/>
              <w:marRight w:val="0"/>
              <w:marTop w:val="0"/>
              <w:marBottom w:val="0"/>
              <w:divBdr>
                <w:top w:val="none" w:sz="0" w:space="0" w:color="auto"/>
                <w:left w:val="none" w:sz="0" w:space="0" w:color="auto"/>
                <w:bottom w:val="none" w:sz="0" w:space="0" w:color="auto"/>
                <w:right w:val="none" w:sz="0" w:space="0" w:color="auto"/>
              </w:divBdr>
              <w:divsChild>
                <w:div w:id="995497685">
                  <w:marLeft w:val="0"/>
                  <w:marRight w:val="0"/>
                  <w:marTop w:val="0"/>
                  <w:marBottom w:val="0"/>
                  <w:divBdr>
                    <w:top w:val="none" w:sz="0" w:space="0" w:color="auto"/>
                    <w:left w:val="none" w:sz="0" w:space="0" w:color="auto"/>
                    <w:bottom w:val="none" w:sz="0" w:space="0" w:color="auto"/>
                    <w:right w:val="none" w:sz="0" w:space="0" w:color="auto"/>
                  </w:divBdr>
                  <w:divsChild>
                    <w:div w:id="7782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978551">
      <w:bodyDiv w:val="1"/>
      <w:marLeft w:val="0"/>
      <w:marRight w:val="0"/>
      <w:marTop w:val="0"/>
      <w:marBottom w:val="0"/>
      <w:divBdr>
        <w:top w:val="none" w:sz="0" w:space="0" w:color="auto"/>
        <w:left w:val="none" w:sz="0" w:space="0" w:color="auto"/>
        <w:bottom w:val="none" w:sz="0" w:space="0" w:color="auto"/>
        <w:right w:val="none" w:sz="0" w:space="0" w:color="auto"/>
      </w:divBdr>
    </w:div>
    <w:div w:id="1671908095">
      <w:bodyDiv w:val="1"/>
      <w:marLeft w:val="0"/>
      <w:marRight w:val="0"/>
      <w:marTop w:val="0"/>
      <w:marBottom w:val="0"/>
      <w:divBdr>
        <w:top w:val="none" w:sz="0" w:space="0" w:color="auto"/>
        <w:left w:val="none" w:sz="0" w:space="0" w:color="auto"/>
        <w:bottom w:val="none" w:sz="0" w:space="0" w:color="auto"/>
        <w:right w:val="none" w:sz="0" w:space="0" w:color="auto"/>
      </w:divBdr>
    </w:div>
    <w:div w:id="1699349076">
      <w:bodyDiv w:val="1"/>
      <w:marLeft w:val="0"/>
      <w:marRight w:val="0"/>
      <w:marTop w:val="0"/>
      <w:marBottom w:val="0"/>
      <w:divBdr>
        <w:top w:val="none" w:sz="0" w:space="0" w:color="auto"/>
        <w:left w:val="none" w:sz="0" w:space="0" w:color="auto"/>
        <w:bottom w:val="none" w:sz="0" w:space="0" w:color="auto"/>
        <w:right w:val="none" w:sz="0" w:space="0" w:color="auto"/>
      </w:divBdr>
    </w:div>
    <w:div w:id="1743982696">
      <w:bodyDiv w:val="1"/>
      <w:marLeft w:val="0"/>
      <w:marRight w:val="0"/>
      <w:marTop w:val="0"/>
      <w:marBottom w:val="0"/>
      <w:divBdr>
        <w:top w:val="none" w:sz="0" w:space="0" w:color="auto"/>
        <w:left w:val="none" w:sz="0" w:space="0" w:color="auto"/>
        <w:bottom w:val="none" w:sz="0" w:space="0" w:color="auto"/>
        <w:right w:val="none" w:sz="0" w:space="0" w:color="auto"/>
      </w:divBdr>
    </w:div>
    <w:div w:id="1754471390">
      <w:bodyDiv w:val="1"/>
      <w:marLeft w:val="0"/>
      <w:marRight w:val="0"/>
      <w:marTop w:val="0"/>
      <w:marBottom w:val="0"/>
      <w:divBdr>
        <w:top w:val="none" w:sz="0" w:space="0" w:color="auto"/>
        <w:left w:val="none" w:sz="0" w:space="0" w:color="auto"/>
        <w:bottom w:val="none" w:sz="0" w:space="0" w:color="auto"/>
        <w:right w:val="none" w:sz="0" w:space="0" w:color="auto"/>
      </w:divBdr>
    </w:div>
    <w:div w:id="1774323640">
      <w:bodyDiv w:val="1"/>
      <w:marLeft w:val="0"/>
      <w:marRight w:val="0"/>
      <w:marTop w:val="0"/>
      <w:marBottom w:val="0"/>
      <w:divBdr>
        <w:top w:val="none" w:sz="0" w:space="0" w:color="auto"/>
        <w:left w:val="none" w:sz="0" w:space="0" w:color="auto"/>
        <w:bottom w:val="none" w:sz="0" w:space="0" w:color="auto"/>
        <w:right w:val="none" w:sz="0" w:space="0" w:color="auto"/>
      </w:divBdr>
    </w:div>
    <w:div w:id="1783842797">
      <w:bodyDiv w:val="1"/>
      <w:marLeft w:val="0"/>
      <w:marRight w:val="0"/>
      <w:marTop w:val="0"/>
      <w:marBottom w:val="0"/>
      <w:divBdr>
        <w:top w:val="none" w:sz="0" w:space="0" w:color="auto"/>
        <w:left w:val="none" w:sz="0" w:space="0" w:color="auto"/>
        <w:bottom w:val="none" w:sz="0" w:space="0" w:color="auto"/>
        <w:right w:val="none" w:sz="0" w:space="0" w:color="auto"/>
      </w:divBdr>
    </w:div>
    <w:div w:id="1801066361">
      <w:bodyDiv w:val="1"/>
      <w:marLeft w:val="0"/>
      <w:marRight w:val="0"/>
      <w:marTop w:val="0"/>
      <w:marBottom w:val="0"/>
      <w:divBdr>
        <w:top w:val="none" w:sz="0" w:space="0" w:color="auto"/>
        <w:left w:val="none" w:sz="0" w:space="0" w:color="auto"/>
        <w:bottom w:val="none" w:sz="0" w:space="0" w:color="auto"/>
        <w:right w:val="none" w:sz="0" w:space="0" w:color="auto"/>
      </w:divBdr>
    </w:div>
    <w:div w:id="1906254394">
      <w:bodyDiv w:val="1"/>
      <w:marLeft w:val="0"/>
      <w:marRight w:val="0"/>
      <w:marTop w:val="0"/>
      <w:marBottom w:val="0"/>
      <w:divBdr>
        <w:top w:val="none" w:sz="0" w:space="0" w:color="auto"/>
        <w:left w:val="none" w:sz="0" w:space="0" w:color="auto"/>
        <w:bottom w:val="none" w:sz="0" w:space="0" w:color="auto"/>
        <w:right w:val="none" w:sz="0" w:space="0" w:color="auto"/>
      </w:divBdr>
      <w:divsChild>
        <w:div w:id="1889951950">
          <w:marLeft w:val="0"/>
          <w:marRight w:val="0"/>
          <w:marTop w:val="0"/>
          <w:marBottom w:val="0"/>
          <w:divBdr>
            <w:top w:val="none" w:sz="0" w:space="0" w:color="auto"/>
            <w:left w:val="none" w:sz="0" w:space="0" w:color="auto"/>
            <w:bottom w:val="none" w:sz="0" w:space="0" w:color="auto"/>
            <w:right w:val="none" w:sz="0" w:space="0" w:color="auto"/>
          </w:divBdr>
          <w:divsChild>
            <w:div w:id="1728721336">
              <w:marLeft w:val="0"/>
              <w:marRight w:val="0"/>
              <w:marTop w:val="0"/>
              <w:marBottom w:val="0"/>
              <w:divBdr>
                <w:top w:val="none" w:sz="0" w:space="0" w:color="auto"/>
                <w:left w:val="none" w:sz="0" w:space="0" w:color="auto"/>
                <w:bottom w:val="none" w:sz="0" w:space="0" w:color="auto"/>
                <w:right w:val="none" w:sz="0" w:space="0" w:color="auto"/>
              </w:divBdr>
              <w:divsChild>
                <w:div w:id="1687093724">
                  <w:marLeft w:val="0"/>
                  <w:marRight w:val="0"/>
                  <w:marTop w:val="0"/>
                  <w:marBottom w:val="0"/>
                  <w:divBdr>
                    <w:top w:val="none" w:sz="0" w:space="0" w:color="auto"/>
                    <w:left w:val="none" w:sz="0" w:space="0" w:color="auto"/>
                    <w:bottom w:val="none" w:sz="0" w:space="0" w:color="auto"/>
                    <w:right w:val="none" w:sz="0" w:space="0" w:color="auto"/>
                  </w:divBdr>
                  <w:divsChild>
                    <w:div w:id="641228023">
                      <w:marLeft w:val="0"/>
                      <w:marRight w:val="0"/>
                      <w:marTop w:val="0"/>
                      <w:marBottom w:val="0"/>
                      <w:divBdr>
                        <w:top w:val="none" w:sz="0" w:space="0" w:color="auto"/>
                        <w:left w:val="none" w:sz="0" w:space="0" w:color="auto"/>
                        <w:bottom w:val="none" w:sz="0" w:space="0" w:color="auto"/>
                        <w:right w:val="none" w:sz="0" w:space="0" w:color="auto"/>
                      </w:divBdr>
                      <w:divsChild>
                        <w:div w:id="358434608">
                          <w:marLeft w:val="0"/>
                          <w:marRight w:val="0"/>
                          <w:marTop w:val="0"/>
                          <w:marBottom w:val="0"/>
                          <w:divBdr>
                            <w:top w:val="none" w:sz="0" w:space="0" w:color="auto"/>
                            <w:left w:val="none" w:sz="0" w:space="0" w:color="auto"/>
                            <w:bottom w:val="none" w:sz="0" w:space="0" w:color="auto"/>
                            <w:right w:val="none" w:sz="0" w:space="0" w:color="auto"/>
                          </w:divBdr>
                          <w:divsChild>
                            <w:div w:id="1087733422">
                              <w:marLeft w:val="0"/>
                              <w:marRight w:val="0"/>
                              <w:marTop w:val="0"/>
                              <w:marBottom w:val="0"/>
                              <w:divBdr>
                                <w:top w:val="none" w:sz="0" w:space="0" w:color="auto"/>
                                <w:left w:val="none" w:sz="0" w:space="0" w:color="auto"/>
                                <w:bottom w:val="none" w:sz="0" w:space="0" w:color="auto"/>
                                <w:right w:val="none" w:sz="0" w:space="0" w:color="auto"/>
                              </w:divBdr>
                              <w:divsChild>
                                <w:div w:id="537397687">
                                  <w:marLeft w:val="0"/>
                                  <w:marRight w:val="0"/>
                                  <w:marTop w:val="0"/>
                                  <w:marBottom w:val="0"/>
                                  <w:divBdr>
                                    <w:top w:val="none" w:sz="0" w:space="0" w:color="auto"/>
                                    <w:left w:val="none" w:sz="0" w:space="0" w:color="auto"/>
                                    <w:bottom w:val="none" w:sz="0" w:space="0" w:color="auto"/>
                                    <w:right w:val="none" w:sz="0" w:space="0" w:color="auto"/>
                                  </w:divBdr>
                                </w:div>
                              </w:divsChild>
                            </w:div>
                            <w:div w:id="1970622503">
                              <w:marLeft w:val="0"/>
                              <w:marRight w:val="0"/>
                              <w:marTop w:val="0"/>
                              <w:marBottom w:val="0"/>
                              <w:divBdr>
                                <w:top w:val="none" w:sz="0" w:space="0" w:color="auto"/>
                                <w:left w:val="none" w:sz="0" w:space="0" w:color="auto"/>
                                <w:bottom w:val="none" w:sz="0" w:space="0" w:color="auto"/>
                                <w:right w:val="none" w:sz="0" w:space="0" w:color="auto"/>
                              </w:divBdr>
                              <w:divsChild>
                                <w:div w:id="550657641">
                                  <w:marLeft w:val="0"/>
                                  <w:marRight w:val="0"/>
                                  <w:marTop w:val="0"/>
                                  <w:marBottom w:val="0"/>
                                  <w:divBdr>
                                    <w:top w:val="none" w:sz="0" w:space="0" w:color="auto"/>
                                    <w:left w:val="none" w:sz="0" w:space="0" w:color="auto"/>
                                    <w:bottom w:val="none" w:sz="0" w:space="0" w:color="auto"/>
                                    <w:right w:val="none" w:sz="0" w:space="0" w:color="auto"/>
                                  </w:divBdr>
                                  <w:divsChild>
                                    <w:div w:id="752971341">
                                      <w:marLeft w:val="0"/>
                                      <w:marRight w:val="0"/>
                                      <w:marTop w:val="0"/>
                                      <w:marBottom w:val="0"/>
                                      <w:divBdr>
                                        <w:top w:val="none" w:sz="0" w:space="0" w:color="auto"/>
                                        <w:left w:val="none" w:sz="0" w:space="0" w:color="auto"/>
                                        <w:bottom w:val="none" w:sz="0" w:space="0" w:color="auto"/>
                                        <w:right w:val="none" w:sz="0" w:space="0" w:color="auto"/>
                                      </w:divBdr>
                                      <w:divsChild>
                                        <w:div w:id="679042429">
                                          <w:marLeft w:val="0"/>
                                          <w:marRight w:val="0"/>
                                          <w:marTop w:val="0"/>
                                          <w:marBottom w:val="0"/>
                                          <w:divBdr>
                                            <w:top w:val="none" w:sz="0" w:space="0" w:color="auto"/>
                                            <w:left w:val="none" w:sz="0" w:space="0" w:color="auto"/>
                                            <w:bottom w:val="none" w:sz="0" w:space="0" w:color="auto"/>
                                            <w:right w:val="none" w:sz="0" w:space="0" w:color="auto"/>
                                          </w:divBdr>
                                          <w:divsChild>
                                            <w:div w:id="1797871663">
                                              <w:marLeft w:val="0"/>
                                              <w:marRight w:val="0"/>
                                              <w:marTop w:val="0"/>
                                              <w:marBottom w:val="0"/>
                                              <w:divBdr>
                                                <w:top w:val="none" w:sz="0" w:space="0" w:color="auto"/>
                                                <w:left w:val="none" w:sz="0" w:space="0" w:color="auto"/>
                                                <w:bottom w:val="none" w:sz="0" w:space="0" w:color="auto"/>
                                                <w:right w:val="none" w:sz="0" w:space="0" w:color="auto"/>
                                              </w:divBdr>
                                              <w:divsChild>
                                                <w:div w:id="162864323">
                                                  <w:marLeft w:val="0"/>
                                                  <w:marRight w:val="0"/>
                                                  <w:marTop w:val="0"/>
                                                  <w:marBottom w:val="0"/>
                                                  <w:divBdr>
                                                    <w:top w:val="none" w:sz="0" w:space="0" w:color="auto"/>
                                                    <w:left w:val="none" w:sz="0" w:space="0" w:color="auto"/>
                                                    <w:bottom w:val="none" w:sz="0" w:space="0" w:color="auto"/>
                                                    <w:right w:val="none" w:sz="0" w:space="0" w:color="auto"/>
                                                  </w:divBdr>
                                                  <w:divsChild>
                                                    <w:div w:id="1485971328">
                                                      <w:marLeft w:val="0"/>
                                                      <w:marRight w:val="0"/>
                                                      <w:marTop w:val="0"/>
                                                      <w:marBottom w:val="0"/>
                                                      <w:divBdr>
                                                        <w:top w:val="none" w:sz="0" w:space="0" w:color="auto"/>
                                                        <w:left w:val="none" w:sz="0" w:space="0" w:color="auto"/>
                                                        <w:bottom w:val="none" w:sz="0" w:space="0" w:color="auto"/>
                                                        <w:right w:val="none" w:sz="0" w:space="0" w:color="auto"/>
                                                      </w:divBdr>
                                                      <w:divsChild>
                                                        <w:div w:id="1342316008">
                                                          <w:marLeft w:val="0"/>
                                                          <w:marRight w:val="0"/>
                                                          <w:marTop w:val="0"/>
                                                          <w:marBottom w:val="0"/>
                                                          <w:divBdr>
                                                            <w:top w:val="none" w:sz="0" w:space="0" w:color="auto"/>
                                                            <w:left w:val="none" w:sz="0" w:space="0" w:color="auto"/>
                                                            <w:bottom w:val="none" w:sz="0" w:space="0" w:color="auto"/>
                                                            <w:right w:val="none" w:sz="0" w:space="0" w:color="auto"/>
                                                          </w:divBdr>
                                                          <w:divsChild>
                                                            <w:div w:id="261188127">
                                                              <w:marLeft w:val="0"/>
                                                              <w:marRight w:val="0"/>
                                                              <w:marTop w:val="0"/>
                                                              <w:marBottom w:val="0"/>
                                                              <w:divBdr>
                                                                <w:top w:val="none" w:sz="0" w:space="0" w:color="auto"/>
                                                                <w:left w:val="none" w:sz="0" w:space="0" w:color="auto"/>
                                                                <w:bottom w:val="none" w:sz="0" w:space="0" w:color="auto"/>
                                                                <w:right w:val="none" w:sz="0" w:space="0" w:color="auto"/>
                                                              </w:divBdr>
                                                              <w:divsChild>
                                                                <w:div w:id="45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7754768">
                      <w:marLeft w:val="0"/>
                      <w:marRight w:val="0"/>
                      <w:marTop w:val="0"/>
                      <w:marBottom w:val="0"/>
                      <w:divBdr>
                        <w:top w:val="none" w:sz="0" w:space="0" w:color="auto"/>
                        <w:left w:val="none" w:sz="0" w:space="0" w:color="auto"/>
                        <w:bottom w:val="none" w:sz="0" w:space="0" w:color="auto"/>
                        <w:right w:val="none" w:sz="0" w:space="0" w:color="auto"/>
                      </w:divBdr>
                      <w:divsChild>
                        <w:div w:id="651175577">
                          <w:marLeft w:val="0"/>
                          <w:marRight w:val="0"/>
                          <w:marTop w:val="0"/>
                          <w:marBottom w:val="0"/>
                          <w:divBdr>
                            <w:top w:val="none" w:sz="0" w:space="0" w:color="auto"/>
                            <w:left w:val="none" w:sz="0" w:space="0" w:color="auto"/>
                            <w:bottom w:val="none" w:sz="0" w:space="0" w:color="auto"/>
                            <w:right w:val="none" w:sz="0" w:space="0" w:color="auto"/>
                          </w:divBdr>
                          <w:divsChild>
                            <w:div w:id="29923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331852">
      <w:bodyDiv w:val="1"/>
      <w:marLeft w:val="0"/>
      <w:marRight w:val="0"/>
      <w:marTop w:val="0"/>
      <w:marBottom w:val="0"/>
      <w:divBdr>
        <w:top w:val="none" w:sz="0" w:space="0" w:color="auto"/>
        <w:left w:val="none" w:sz="0" w:space="0" w:color="auto"/>
        <w:bottom w:val="none" w:sz="0" w:space="0" w:color="auto"/>
        <w:right w:val="none" w:sz="0" w:space="0" w:color="auto"/>
      </w:divBdr>
      <w:divsChild>
        <w:div w:id="146745223">
          <w:marLeft w:val="0"/>
          <w:marRight w:val="0"/>
          <w:marTop w:val="0"/>
          <w:marBottom w:val="0"/>
          <w:divBdr>
            <w:top w:val="none" w:sz="0" w:space="0" w:color="auto"/>
            <w:left w:val="none" w:sz="0" w:space="0" w:color="auto"/>
            <w:bottom w:val="none" w:sz="0" w:space="0" w:color="auto"/>
            <w:right w:val="none" w:sz="0" w:space="0" w:color="auto"/>
          </w:divBdr>
          <w:divsChild>
            <w:div w:id="1854759853">
              <w:marLeft w:val="0"/>
              <w:marRight w:val="0"/>
              <w:marTop w:val="0"/>
              <w:marBottom w:val="0"/>
              <w:divBdr>
                <w:top w:val="none" w:sz="0" w:space="0" w:color="auto"/>
                <w:left w:val="none" w:sz="0" w:space="0" w:color="auto"/>
                <w:bottom w:val="none" w:sz="0" w:space="0" w:color="auto"/>
                <w:right w:val="none" w:sz="0" w:space="0" w:color="auto"/>
              </w:divBdr>
              <w:divsChild>
                <w:div w:id="171379092">
                  <w:marLeft w:val="0"/>
                  <w:marRight w:val="0"/>
                  <w:marTop w:val="0"/>
                  <w:marBottom w:val="0"/>
                  <w:divBdr>
                    <w:top w:val="none" w:sz="0" w:space="0" w:color="auto"/>
                    <w:left w:val="none" w:sz="0" w:space="0" w:color="auto"/>
                    <w:bottom w:val="none" w:sz="0" w:space="0" w:color="auto"/>
                    <w:right w:val="none" w:sz="0" w:space="0" w:color="auto"/>
                  </w:divBdr>
                  <w:divsChild>
                    <w:div w:id="1183402363">
                      <w:marLeft w:val="0"/>
                      <w:marRight w:val="0"/>
                      <w:marTop w:val="0"/>
                      <w:marBottom w:val="0"/>
                      <w:divBdr>
                        <w:top w:val="none" w:sz="0" w:space="0" w:color="auto"/>
                        <w:left w:val="none" w:sz="0" w:space="0" w:color="auto"/>
                        <w:bottom w:val="none" w:sz="0" w:space="0" w:color="auto"/>
                        <w:right w:val="none" w:sz="0" w:space="0" w:color="auto"/>
                      </w:divBdr>
                      <w:divsChild>
                        <w:div w:id="2105879710">
                          <w:marLeft w:val="0"/>
                          <w:marRight w:val="0"/>
                          <w:marTop w:val="0"/>
                          <w:marBottom w:val="0"/>
                          <w:divBdr>
                            <w:top w:val="none" w:sz="0" w:space="0" w:color="auto"/>
                            <w:left w:val="none" w:sz="0" w:space="0" w:color="auto"/>
                            <w:bottom w:val="none" w:sz="0" w:space="0" w:color="auto"/>
                            <w:right w:val="none" w:sz="0" w:space="0" w:color="auto"/>
                          </w:divBdr>
                          <w:divsChild>
                            <w:div w:id="1303803742">
                              <w:marLeft w:val="0"/>
                              <w:marRight w:val="0"/>
                              <w:marTop w:val="0"/>
                              <w:marBottom w:val="0"/>
                              <w:divBdr>
                                <w:top w:val="none" w:sz="0" w:space="0" w:color="auto"/>
                                <w:left w:val="none" w:sz="0" w:space="0" w:color="auto"/>
                                <w:bottom w:val="none" w:sz="0" w:space="0" w:color="auto"/>
                                <w:right w:val="none" w:sz="0" w:space="0" w:color="auto"/>
                              </w:divBdr>
                              <w:divsChild>
                                <w:div w:id="1529029423">
                                  <w:marLeft w:val="0"/>
                                  <w:marRight w:val="0"/>
                                  <w:marTop w:val="0"/>
                                  <w:marBottom w:val="0"/>
                                  <w:divBdr>
                                    <w:top w:val="none" w:sz="0" w:space="0" w:color="auto"/>
                                    <w:left w:val="none" w:sz="0" w:space="0" w:color="auto"/>
                                    <w:bottom w:val="none" w:sz="0" w:space="0" w:color="auto"/>
                                    <w:right w:val="none" w:sz="0" w:space="0" w:color="auto"/>
                                  </w:divBdr>
                                  <w:divsChild>
                                    <w:div w:id="196457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996428">
      <w:bodyDiv w:val="1"/>
      <w:marLeft w:val="0"/>
      <w:marRight w:val="0"/>
      <w:marTop w:val="0"/>
      <w:marBottom w:val="0"/>
      <w:divBdr>
        <w:top w:val="none" w:sz="0" w:space="0" w:color="auto"/>
        <w:left w:val="none" w:sz="0" w:space="0" w:color="auto"/>
        <w:bottom w:val="none" w:sz="0" w:space="0" w:color="auto"/>
        <w:right w:val="none" w:sz="0" w:space="0" w:color="auto"/>
      </w:divBdr>
    </w:div>
    <w:div w:id="1992589146">
      <w:bodyDiv w:val="1"/>
      <w:marLeft w:val="0"/>
      <w:marRight w:val="0"/>
      <w:marTop w:val="0"/>
      <w:marBottom w:val="0"/>
      <w:divBdr>
        <w:top w:val="none" w:sz="0" w:space="0" w:color="auto"/>
        <w:left w:val="none" w:sz="0" w:space="0" w:color="auto"/>
        <w:bottom w:val="none" w:sz="0" w:space="0" w:color="auto"/>
        <w:right w:val="none" w:sz="0" w:space="0" w:color="auto"/>
      </w:divBdr>
    </w:div>
    <w:div w:id="1997300647">
      <w:bodyDiv w:val="1"/>
      <w:marLeft w:val="0"/>
      <w:marRight w:val="0"/>
      <w:marTop w:val="0"/>
      <w:marBottom w:val="0"/>
      <w:divBdr>
        <w:top w:val="none" w:sz="0" w:space="0" w:color="auto"/>
        <w:left w:val="none" w:sz="0" w:space="0" w:color="auto"/>
        <w:bottom w:val="none" w:sz="0" w:space="0" w:color="auto"/>
        <w:right w:val="none" w:sz="0" w:space="0" w:color="auto"/>
      </w:divBdr>
    </w:div>
    <w:div w:id="2034766120">
      <w:bodyDiv w:val="1"/>
      <w:marLeft w:val="0"/>
      <w:marRight w:val="0"/>
      <w:marTop w:val="0"/>
      <w:marBottom w:val="0"/>
      <w:divBdr>
        <w:top w:val="none" w:sz="0" w:space="0" w:color="auto"/>
        <w:left w:val="none" w:sz="0" w:space="0" w:color="auto"/>
        <w:bottom w:val="none" w:sz="0" w:space="0" w:color="auto"/>
        <w:right w:val="none" w:sz="0" w:space="0" w:color="auto"/>
      </w:divBdr>
    </w:div>
    <w:div w:id="2050031911">
      <w:bodyDiv w:val="1"/>
      <w:marLeft w:val="0"/>
      <w:marRight w:val="0"/>
      <w:marTop w:val="0"/>
      <w:marBottom w:val="0"/>
      <w:divBdr>
        <w:top w:val="none" w:sz="0" w:space="0" w:color="auto"/>
        <w:left w:val="none" w:sz="0" w:space="0" w:color="auto"/>
        <w:bottom w:val="none" w:sz="0" w:space="0" w:color="auto"/>
        <w:right w:val="none" w:sz="0" w:space="0" w:color="auto"/>
      </w:divBdr>
      <w:divsChild>
        <w:div w:id="557783500">
          <w:marLeft w:val="0"/>
          <w:marRight w:val="0"/>
          <w:marTop w:val="0"/>
          <w:marBottom w:val="0"/>
          <w:divBdr>
            <w:top w:val="none" w:sz="0" w:space="0" w:color="auto"/>
            <w:left w:val="none" w:sz="0" w:space="0" w:color="auto"/>
            <w:bottom w:val="none" w:sz="0" w:space="0" w:color="auto"/>
            <w:right w:val="none" w:sz="0" w:space="0" w:color="auto"/>
          </w:divBdr>
          <w:divsChild>
            <w:div w:id="384640387">
              <w:marLeft w:val="0"/>
              <w:marRight w:val="0"/>
              <w:marTop w:val="0"/>
              <w:marBottom w:val="0"/>
              <w:divBdr>
                <w:top w:val="none" w:sz="0" w:space="0" w:color="auto"/>
                <w:left w:val="none" w:sz="0" w:space="0" w:color="auto"/>
                <w:bottom w:val="none" w:sz="0" w:space="0" w:color="auto"/>
                <w:right w:val="none" w:sz="0" w:space="0" w:color="auto"/>
              </w:divBdr>
              <w:divsChild>
                <w:div w:id="195048926">
                  <w:marLeft w:val="0"/>
                  <w:marRight w:val="0"/>
                  <w:marTop w:val="0"/>
                  <w:marBottom w:val="0"/>
                  <w:divBdr>
                    <w:top w:val="none" w:sz="0" w:space="0" w:color="auto"/>
                    <w:left w:val="none" w:sz="0" w:space="0" w:color="auto"/>
                    <w:bottom w:val="none" w:sz="0" w:space="0" w:color="auto"/>
                    <w:right w:val="none" w:sz="0" w:space="0" w:color="auto"/>
                  </w:divBdr>
                  <w:divsChild>
                    <w:div w:id="130083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8520">
          <w:marLeft w:val="0"/>
          <w:marRight w:val="0"/>
          <w:marTop w:val="0"/>
          <w:marBottom w:val="0"/>
          <w:divBdr>
            <w:top w:val="none" w:sz="0" w:space="0" w:color="auto"/>
            <w:left w:val="none" w:sz="0" w:space="0" w:color="auto"/>
            <w:bottom w:val="none" w:sz="0" w:space="0" w:color="auto"/>
            <w:right w:val="none" w:sz="0" w:space="0" w:color="auto"/>
          </w:divBdr>
          <w:divsChild>
            <w:div w:id="1650860069">
              <w:marLeft w:val="0"/>
              <w:marRight w:val="0"/>
              <w:marTop w:val="0"/>
              <w:marBottom w:val="0"/>
              <w:divBdr>
                <w:top w:val="none" w:sz="0" w:space="0" w:color="auto"/>
                <w:left w:val="none" w:sz="0" w:space="0" w:color="auto"/>
                <w:bottom w:val="none" w:sz="0" w:space="0" w:color="auto"/>
                <w:right w:val="none" w:sz="0" w:space="0" w:color="auto"/>
              </w:divBdr>
              <w:divsChild>
                <w:div w:id="368074384">
                  <w:marLeft w:val="0"/>
                  <w:marRight w:val="0"/>
                  <w:marTop w:val="0"/>
                  <w:marBottom w:val="0"/>
                  <w:divBdr>
                    <w:top w:val="none" w:sz="0" w:space="0" w:color="auto"/>
                    <w:left w:val="none" w:sz="0" w:space="0" w:color="auto"/>
                    <w:bottom w:val="none" w:sz="0" w:space="0" w:color="auto"/>
                    <w:right w:val="none" w:sz="0" w:space="0" w:color="auto"/>
                  </w:divBdr>
                  <w:divsChild>
                    <w:div w:id="12305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891943">
      <w:bodyDiv w:val="1"/>
      <w:marLeft w:val="0"/>
      <w:marRight w:val="0"/>
      <w:marTop w:val="0"/>
      <w:marBottom w:val="0"/>
      <w:divBdr>
        <w:top w:val="none" w:sz="0" w:space="0" w:color="auto"/>
        <w:left w:val="none" w:sz="0" w:space="0" w:color="auto"/>
        <w:bottom w:val="none" w:sz="0" w:space="0" w:color="auto"/>
        <w:right w:val="none" w:sz="0" w:space="0" w:color="auto"/>
      </w:divBdr>
    </w:div>
    <w:div w:id="2092503580">
      <w:bodyDiv w:val="1"/>
      <w:marLeft w:val="0"/>
      <w:marRight w:val="0"/>
      <w:marTop w:val="0"/>
      <w:marBottom w:val="0"/>
      <w:divBdr>
        <w:top w:val="none" w:sz="0" w:space="0" w:color="auto"/>
        <w:left w:val="none" w:sz="0" w:space="0" w:color="auto"/>
        <w:bottom w:val="none" w:sz="0" w:space="0" w:color="auto"/>
        <w:right w:val="none" w:sz="0" w:space="0" w:color="auto"/>
      </w:divBdr>
    </w:div>
    <w:div w:id="2108621171">
      <w:bodyDiv w:val="1"/>
      <w:marLeft w:val="0"/>
      <w:marRight w:val="0"/>
      <w:marTop w:val="0"/>
      <w:marBottom w:val="0"/>
      <w:divBdr>
        <w:top w:val="none" w:sz="0" w:space="0" w:color="auto"/>
        <w:left w:val="none" w:sz="0" w:space="0" w:color="auto"/>
        <w:bottom w:val="none" w:sz="0" w:space="0" w:color="auto"/>
        <w:right w:val="none" w:sz="0" w:space="0" w:color="auto"/>
      </w:divBdr>
      <w:divsChild>
        <w:div w:id="2019457956">
          <w:marLeft w:val="0"/>
          <w:marRight w:val="0"/>
          <w:marTop w:val="0"/>
          <w:marBottom w:val="0"/>
          <w:divBdr>
            <w:top w:val="none" w:sz="0" w:space="0" w:color="auto"/>
            <w:left w:val="none" w:sz="0" w:space="0" w:color="auto"/>
            <w:bottom w:val="none" w:sz="0" w:space="0" w:color="auto"/>
            <w:right w:val="none" w:sz="0" w:space="0" w:color="auto"/>
          </w:divBdr>
        </w:div>
      </w:divsChild>
    </w:div>
    <w:div w:id="213190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cenbank-my.sharepoint.com/personal/laniran26079_cbn_gov_ng/Documents/Desktop/New%20folder/cape/2026/bulletin%20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580927384076991E-2"/>
          <c:y val="2.5428331875182269E-2"/>
          <c:w val="0.90286351706036749"/>
          <c:h val="0.87928988043161271"/>
        </c:manualLayout>
      </c:layout>
      <c:barChart>
        <c:barDir val="col"/>
        <c:grouping val="clustered"/>
        <c:varyColors val="0"/>
        <c:ser>
          <c:idx val="0"/>
          <c:order val="0"/>
          <c:tx>
            <c:strRef>
              <c:f>Sheet2!$C$13</c:f>
              <c:strCache>
                <c:ptCount val="1"/>
                <c:pt idx="0">
                  <c:v>May-26</c:v>
                </c:pt>
              </c:strCache>
            </c:strRef>
          </c:tx>
          <c:spPr>
            <a:solidFill>
              <a:schemeClr val="accent1"/>
            </a:solidFill>
            <a:ln>
              <a:noFill/>
            </a:ln>
            <a:effectLst/>
            <a:scene3d>
              <a:camera prst="orthographicFront"/>
              <a:lightRig rig="threePt" dir="t"/>
            </a:scene3d>
            <a:sp3d>
              <a:bevelT w="139700" h="139700" prst="divot"/>
            </a:sp3d>
          </c:spPr>
          <c:invertIfNegative val="0"/>
          <c:cat>
            <c:strRef>
              <c:f>Sheet2!$B$14:$B$21</c:f>
              <c:strCache>
                <c:ptCount val="8"/>
                <c:pt idx="0">
                  <c:v>China</c:v>
                </c:pt>
                <c:pt idx="1">
                  <c:v>S.A</c:v>
                </c:pt>
                <c:pt idx="2">
                  <c:v>U.S</c:v>
                </c:pt>
                <c:pt idx="3">
                  <c:v>E.U</c:v>
                </c:pt>
                <c:pt idx="4">
                  <c:v>U.K</c:v>
                </c:pt>
                <c:pt idx="5">
                  <c:v>Egypt</c:v>
                </c:pt>
                <c:pt idx="6">
                  <c:v>Nigeria</c:v>
                </c:pt>
                <c:pt idx="7">
                  <c:v>Ghana</c:v>
                </c:pt>
              </c:strCache>
            </c:strRef>
          </c:cat>
          <c:val>
            <c:numRef>
              <c:f>Sheet2!$C$14:$C$21</c:f>
              <c:numCache>
                <c:formatCode>General</c:formatCode>
                <c:ptCount val="8"/>
                <c:pt idx="0">
                  <c:v>1.2</c:v>
                </c:pt>
                <c:pt idx="1">
                  <c:v>4.5</c:v>
                </c:pt>
                <c:pt idx="2">
                  <c:v>4.2</c:v>
                </c:pt>
                <c:pt idx="3">
                  <c:v>3.2</c:v>
                </c:pt>
                <c:pt idx="4">
                  <c:v>2.8</c:v>
                </c:pt>
                <c:pt idx="5">
                  <c:v>14.6</c:v>
                </c:pt>
                <c:pt idx="6">
                  <c:v>15.93</c:v>
                </c:pt>
                <c:pt idx="7">
                  <c:v>3.7</c:v>
                </c:pt>
              </c:numCache>
            </c:numRef>
          </c:val>
          <c:extLst>
            <c:ext xmlns:c16="http://schemas.microsoft.com/office/drawing/2014/chart" uri="{C3380CC4-5D6E-409C-BE32-E72D297353CC}">
              <c16:uniqueId val="{00000000-A896-48BC-AA92-45E040057143}"/>
            </c:ext>
          </c:extLst>
        </c:ser>
        <c:ser>
          <c:idx val="1"/>
          <c:order val="1"/>
          <c:tx>
            <c:strRef>
              <c:f>Sheet2!$D$13</c:f>
              <c:strCache>
                <c:ptCount val="1"/>
                <c:pt idx="0">
                  <c:v>Apr-26</c:v>
                </c:pt>
              </c:strCache>
            </c:strRef>
          </c:tx>
          <c:spPr>
            <a:solidFill>
              <a:srgbClr val="C00000"/>
            </a:solidFill>
            <a:ln>
              <a:noFill/>
            </a:ln>
            <a:effectLst/>
            <a:scene3d>
              <a:camera prst="orthographicFront"/>
              <a:lightRig rig="threePt" dir="t"/>
            </a:scene3d>
            <a:sp3d>
              <a:bevelT/>
            </a:sp3d>
          </c:spPr>
          <c:invertIfNegative val="0"/>
          <c:cat>
            <c:strRef>
              <c:f>Sheet2!$B$14:$B$21</c:f>
              <c:strCache>
                <c:ptCount val="8"/>
                <c:pt idx="0">
                  <c:v>China</c:v>
                </c:pt>
                <c:pt idx="1">
                  <c:v>S.A</c:v>
                </c:pt>
                <c:pt idx="2">
                  <c:v>U.S</c:v>
                </c:pt>
                <c:pt idx="3">
                  <c:v>E.U</c:v>
                </c:pt>
                <c:pt idx="4">
                  <c:v>U.K</c:v>
                </c:pt>
                <c:pt idx="5">
                  <c:v>Egypt</c:v>
                </c:pt>
                <c:pt idx="6">
                  <c:v>Nigeria</c:v>
                </c:pt>
                <c:pt idx="7">
                  <c:v>Ghana</c:v>
                </c:pt>
              </c:strCache>
            </c:strRef>
          </c:cat>
          <c:val>
            <c:numRef>
              <c:f>Sheet2!$D$14:$D$21</c:f>
              <c:numCache>
                <c:formatCode>General</c:formatCode>
                <c:ptCount val="8"/>
                <c:pt idx="0">
                  <c:v>1.2</c:v>
                </c:pt>
                <c:pt idx="1">
                  <c:v>4</c:v>
                </c:pt>
                <c:pt idx="2">
                  <c:v>3.8</c:v>
                </c:pt>
                <c:pt idx="3">
                  <c:v>3</c:v>
                </c:pt>
                <c:pt idx="4">
                  <c:v>2.8</c:v>
                </c:pt>
                <c:pt idx="5">
                  <c:v>14.9</c:v>
                </c:pt>
                <c:pt idx="6">
                  <c:v>15.69</c:v>
                </c:pt>
                <c:pt idx="7">
                  <c:v>3.4</c:v>
                </c:pt>
              </c:numCache>
            </c:numRef>
          </c:val>
          <c:extLst>
            <c:ext xmlns:c16="http://schemas.microsoft.com/office/drawing/2014/chart" uri="{C3380CC4-5D6E-409C-BE32-E72D297353CC}">
              <c16:uniqueId val="{00000001-A896-48BC-AA92-45E040057143}"/>
            </c:ext>
          </c:extLst>
        </c:ser>
        <c:dLbls>
          <c:showLegendKey val="0"/>
          <c:showVal val="0"/>
          <c:showCatName val="0"/>
          <c:showSerName val="0"/>
          <c:showPercent val="0"/>
          <c:showBubbleSize val="0"/>
        </c:dLbls>
        <c:gapWidth val="199"/>
        <c:axId val="1794116800"/>
        <c:axId val="1824792512"/>
      </c:barChart>
      <c:catAx>
        <c:axId val="1794116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1" i="0" u="none" strike="noStrike" kern="1200" cap="none" spc="0" normalizeH="0" baseline="0">
                <a:solidFill>
                  <a:sysClr val="windowText" lastClr="000000"/>
                </a:solidFill>
                <a:latin typeface="+mn-lt"/>
                <a:ea typeface="+mn-ea"/>
                <a:cs typeface="+mn-cs"/>
              </a:defRPr>
            </a:pPr>
            <a:endParaRPr lang="en-NG"/>
          </a:p>
        </c:txPr>
        <c:crossAx val="1824792512"/>
        <c:crosses val="autoZero"/>
        <c:auto val="1"/>
        <c:lblAlgn val="ctr"/>
        <c:lblOffset val="100"/>
        <c:noMultiLvlLbl val="0"/>
      </c:catAx>
      <c:valAx>
        <c:axId val="1824792512"/>
        <c:scaling>
          <c:orientation val="minMax"/>
        </c:scaling>
        <c:delete val="0"/>
        <c:axPos val="l"/>
        <c:title>
          <c:tx>
            <c:rich>
              <a:bodyPr rot="-5400000" spcFirstLastPara="1" vertOverflow="ellipsis" vert="horz" wrap="square" anchor="ctr" anchorCtr="1"/>
              <a:lstStyle/>
              <a:p>
                <a:pPr>
                  <a:defRPr sz="600" b="1" i="0" u="none" strike="noStrike" kern="1200" cap="all" baseline="0">
                    <a:solidFill>
                      <a:sysClr val="windowText" lastClr="000000"/>
                    </a:solidFill>
                    <a:latin typeface="+mn-lt"/>
                    <a:ea typeface="+mn-ea"/>
                    <a:cs typeface="+mn-cs"/>
                  </a:defRPr>
                </a:pPr>
                <a:r>
                  <a:rPr lang="en-GB"/>
                  <a:t>INFLATION (%)</a:t>
                </a:r>
              </a:p>
            </c:rich>
          </c:tx>
          <c:overlay val="0"/>
          <c:spPr>
            <a:noFill/>
            <a:ln>
              <a:noFill/>
            </a:ln>
            <a:effectLst/>
          </c:spPr>
          <c:txPr>
            <a:bodyPr rot="-5400000" spcFirstLastPara="1" vertOverflow="ellipsis" vert="horz" wrap="square" anchor="ctr" anchorCtr="1"/>
            <a:lstStyle/>
            <a:p>
              <a:pPr>
                <a:defRPr sz="600" b="1" i="0" u="none" strike="noStrike" kern="1200" cap="all" baseline="0">
                  <a:solidFill>
                    <a:sysClr val="windowText" lastClr="000000"/>
                  </a:solidFill>
                  <a:latin typeface="+mn-lt"/>
                  <a:ea typeface="+mn-ea"/>
                  <a:cs typeface="+mn-cs"/>
                </a:defRPr>
              </a:pPr>
              <a:endParaRPr lang="en-NG"/>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1" i="0" u="none" strike="noStrike" kern="1200" baseline="0">
                <a:solidFill>
                  <a:sysClr val="windowText" lastClr="000000"/>
                </a:solidFill>
                <a:latin typeface="+mn-lt"/>
                <a:ea typeface="+mn-ea"/>
                <a:cs typeface="+mn-cs"/>
              </a:defRPr>
            </a:pPr>
            <a:endParaRPr lang="en-NG"/>
          </a:p>
        </c:txPr>
        <c:crossAx val="179411680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1" i="0" u="none" strike="noStrike" kern="1200" baseline="0">
              <a:solidFill>
                <a:sysClr val="windowText" lastClr="000000"/>
              </a:solidFill>
              <a:latin typeface="+mn-lt"/>
              <a:ea typeface="+mn-ea"/>
              <a:cs typeface="+mn-cs"/>
            </a:defRPr>
          </a:pPr>
          <a:endParaRPr lang="en-NG"/>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b="1">
          <a:solidFill>
            <a:sysClr val="windowText" lastClr="000000"/>
          </a:solidFill>
        </a:defRPr>
      </a:pPr>
      <a:endParaRPr lang="en-NG"/>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TBClassification>
  <attrValue xml:space="preserve">Public</attrValue>
  <customPropName>Classification</customPropName>
  <timestamp>05/09/2022 17:14:15</timestamp>
  <userName>CENBANK\LANIRAN26079</userName>
  <computerName>MPDLTPA26079.cenbank.net</computerName>
  <guid>{528e43bb-cdf0-4d1e-833a-fd14e6776c05}</guid>
</GTBClassification>
</file>

<file path=customXml/itemProps1.xml><?xml version="1.0" encoding="utf-8"?>
<ds:datastoreItem xmlns:ds="http://schemas.openxmlformats.org/officeDocument/2006/customXml" ds:itemID="{8BBF37B7-993C-4C5D-88C9-780EC30EEAB7}">
  <ds:schemaRefs/>
</ds:datastoreItem>
</file>

<file path=docMetadata/LabelInfo.xml><?xml version="1.0" encoding="utf-8"?>
<clbl:labelList xmlns:clbl="http://schemas.microsoft.com/office/2020/mipLabelMetadata">
  <clbl:label id="{56a3f9de-d7f5-4481-ad90-6d032fa2cd3a}" enabled="1" method="Privileged" siteId="{9cdc7dd5-9dd6-4fbb-9a68-bcb9021721d0}" removed="0"/>
</clbl:labelList>
</file>

<file path=docProps/app.xml><?xml version="1.0" encoding="utf-8"?>
<Properties xmlns="http://schemas.openxmlformats.org/officeDocument/2006/extended-properties" xmlns:vt="http://schemas.openxmlformats.org/officeDocument/2006/docPropsVTypes">
  <Template>Normal</Template>
  <TotalTime>114</TotalTime>
  <Pages>11</Pages>
  <Words>6121</Words>
  <Characters>34890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LANIRAN, TEMITOPE JOSEPH</dc:creator>
  <cp:keywords/>
  <dc:description/>
  <cp:lastModifiedBy>Oyedamola Taiwo</cp:lastModifiedBy>
  <cp:revision>35</cp:revision>
  <cp:lastPrinted>2022-11-09T11:59:00Z</cp:lastPrinted>
  <dcterms:created xsi:type="dcterms:W3CDTF">2026-06-05T23:41:00Z</dcterms:created>
  <dcterms:modified xsi:type="dcterms:W3CDTF">2026-07-08T17:58:00Z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c88eb2-eb2d-44c8-912e-96a8f22df436_Enabled">
    <vt:lpwstr>True</vt:lpwstr>
  </property>
  <property fmtid="{D5CDD505-2E9C-101B-9397-08002B2CF9AE}" pid="3" name="MSIP_Label_a6c88eb2-eb2d-44c8-912e-96a8f22df436_SiteId">
    <vt:lpwstr>9cdc7dd5-9dd6-4fbb-9a68-bcb9021721d0</vt:lpwstr>
  </property>
  <property fmtid="{D5CDD505-2E9C-101B-9397-08002B2CF9AE}" pid="4" name="MSIP_Label_a6c88eb2-eb2d-44c8-912e-96a8f22df436_Owner">
    <vt:lpwstr>LANIRAN26079@cbn.gov.ng</vt:lpwstr>
  </property>
  <property fmtid="{D5CDD505-2E9C-101B-9397-08002B2CF9AE}" pid="5" name="MSIP_Label_a6c88eb2-eb2d-44c8-912e-96a8f22df436_SetDate">
    <vt:lpwstr>2022-08-18T14:34:27.9583406Z</vt:lpwstr>
  </property>
  <property fmtid="{D5CDD505-2E9C-101B-9397-08002B2CF9AE}" pid="6" name="MSIP_Label_a6c88eb2-eb2d-44c8-912e-96a8f22df436_Name">
    <vt:lpwstr>Confidential</vt:lpwstr>
  </property>
  <property fmtid="{D5CDD505-2E9C-101B-9397-08002B2CF9AE}" pid="7" name="MSIP_Label_a6c88eb2-eb2d-44c8-912e-96a8f22df436_Application">
    <vt:lpwstr>Microsoft Azure Information Protection</vt:lpwstr>
  </property>
  <property fmtid="{D5CDD505-2E9C-101B-9397-08002B2CF9AE}" pid="8" name="MSIP_Label_a6c88eb2-eb2d-44c8-912e-96a8f22df436_Extended_MSFT_Method">
    <vt:lpwstr>Automatic</vt:lpwstr>
  </property>
  <property fmtid="{D5CDD505-2E9C-101B-9397-08002B2CF9AE}" pid="9" name="MSIP_Label_56a3f9de-d7f5-4481-ad90-6d032fa2cd3a_Enabled">
    <vt:lpwstr>True</vt:lpwstr>
  </property>
  <property fmtid="{D5CDD505-2E9C-101B-9397-08002B2CF9AE}" pid="10" name="MSIP_Label_56a3f9de-d7f5-4481-ad90-6d032fa2cd3a_SiteId">
    <vt:lpwstr>9cdc7dd5-9dd6-4fbb-9a68-bcb9021721d0</vt:lpwstr>
  </property>
  <property fmtid="{D5CDD505-2E9C-101B-9397-08002B2CF9AE}" pid="11" name="MSIP_Label_56a3f9de-d7f5-4481-ad90-6d032fa2cd3a_Owner">
    <vt:lpwstr>LANIRAN26079@cbn.gov.ng</vt:lpwstr>
  </property>
  <property fmtid="{D5CDD505-2E9C-101B-9397-08002B2CF9AE}" pid="12" name="MSIP_Label_56a3f9de-d7f5-4481-ad90-6d032fa2cd3a_SetDate">
    <vt:lpwstr>2022-08-18T14:34:27.9583406Z</vt:lpwstr>
  </property>
  <property fmtid="{D5CDD505-2E9C-101B-9397-08002B2CF9AE}" pid="13" name="MSIP_Label_56a3f9de-d7f5-4481-ad90-6d032fa2cd3a_Name">
    <vt:lpwstr>Anyone (not protected)</vt:lpwstr>
  </property>
  <property fmtid="{D5CDD505-2E9C-101B-9397-08002B2CF9AE}" pid="14" name="MSIP_Label_56a3f9de-d7f5-4481-ad90-6d032fa2cd3a_Application">
    <vt:lpwstr>Microsoft Azure Information Protection</vt:lpwstr>
  </property>
  <property fmtid="{D5CDD505-2E9C-101B-9397-08002B2CF9AE}" pid="15" name="MSIP_Label_56a3f9de-d7f5-4481-ad90-6d032fa2cd3a_Parent">
    <vt:lpwstr>a6c88eb2-eb2d-44c8-912e-96a8f22df436</vt:lpwstr>
  </property>
  <property fmtid="{D5CDD505-2E9C-101B-9397-08002B2CF9AE}" pid="16" name="MSIP_Label_56a3f9de-d7f5-4481-ad90-6d032fa2cd3a_Extended_MSFT_Method">
    <vt:lpwstr>Automatic</vt:lpwstr>
  </property>
  <property fmtid="{D5CDD505-2E9C-101B-9397-08002B2CF9AE}" pid="17" name="Sensitivity">
    <vt:lpwstr>Confidential Anyone (not protected)</vt:lpwstr>
  </property>
  <property fmtid="{D5CDD505-2E9C-101B-9397-08002B2CF9AE}" pid="18" name="Classification">
    <vt:lpwstr>Public</vt:lpwstr>
  </property>
  <property fmtid="{D5CDD505-2E9C-101B-9397-08002B2CF9AE}" pid="19" name="ClassifiedBy">
    <vt:lpwstr>CENBANK\LANIRAN26079</vt:lpwstr>
  </property>
  <property fmtid="{D5CDD505-2E9C-101B-9397-08002B2CF9AE}" pid="20" name="ClassificationHost">
    <vt:lpwstr>MPDLTPA26079.cenbank.net</vt:lpwstr>
  </property>
  <property fmtid="{D5CDD505-2E9C-101B-9397-08002B2CF9AE}" pid="21" name="ClassificationDate">
    <vt:lpwstr>05/09/2022 17:14:15</vt:lpwstr>
  </property>
  <property fmtid="{D5CDD505-2E9C-101B-9397-08002B2CF9AE}" pid="22" name="ClassificationGUID">
    <vt:lpwstr>{528e43bb-cdf0-4d1e-833a-fd14e6776c05}</vt:lpwstr>
  </property>
  <property fmtid="{D5CDD505-2E9C-101B-9397-08002B2CF9AE}" pid="23" name="GrammarlyDocumentId">
    <vt:lpwstr>dfac30b43ab051f1c0fe405626e5c39e9b605bb48f2cd706e1783e03fa17b067</vt:lpwstr>
  </property>
</Properties>
</file>