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charts/colors1.xml" ContentType="application/vnd.ms-office.chartcolorstyl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charts/chart1.xml" ContentType="application/vnd.openxmlformats-officedocument.drawingml.chart+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charts/style1.xml" ContentType="application/vnd.ms-office.chartsty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sz w:val="32"/>
          <w:szCs w:val="32"/>
          <w:lang w:val="en-GB"/>
        </w:rPr>
      </w:pPr>
      <w:bookmarkStart w:id="0" w:name="_Hlk121436281"/>
      <w:r>
        <w:rPr>
          <w:sz w:val="32"/>
          <w:szCs w:val="32"/>
          <w:lang w:val="en-GB"/>
        </w:rPr>
        <w:t xml:space="preserve">Cape </w:t>
      </w:r>
      <w:r>
        <w:rPr>
          <w:sz w:val="32"/>
          <w:szCs w:val="32"/>
          <w:lang w:val="en-GB"/>
        </w:rPr>
        <w:t>Economic Performance and Prospect</w:t>
      </w:r>
      <w:r>
        <w:rPr>
          <w:sz w:val="32"/>
          <w:szCs w:val="32"/>
          <w:lang w:val="en-GB"/>
        </w:rPr>
        <w:t xml:space="preserve"> </w:t>
      </w:r>
      <w:r>
        <w:rPr>
          <w:sz w:val="32"/>
          <w:szCs w:val="32"/>
          <w:lang w:val="en-GB"/>
        </w:rPr>
        <w:t xml:space="preserve">Bulletin </w:t>
      </w:r>
      <w:r>
        <w:rPr>
          <w:sz w:val="32"/>
          <w:szCs w:val="32"/>
          <w:lang w:val="en-GB"/>
        </w:rPr>
        <w:t>–</w:t>
      </w:r>
      <w:r>
        <w:rPr>
          <w:sz w:val="32"/>
          <w:szCs w:val="32"/>
          <w:lang w:val="en-GB"/>
        </w:rPr>
        <w:t xml:space="preserve"> </w:t>
      </w:r>
      <w:r>
        <w:rPr>
          <w:sz w:val="32"/>
          <w:szCs w:val="32"/>
          <w:lang w:val="en-GB"/>
        </w:rPr>
        <w:t>May</w:t>
      </w:r>
      <w:r>
        <w:rPr>
          <w:sz w:val="32"/>
          <w:szCs w:val="32"/>
          <w:lang w:val="en-GB"/>
        </w:rPr>
        <w:t xml:space="preserve"> </w:t>
      </w:r>
      <w:r>
        <w:rPr>
          <w:sz w:val="32"/>
          <w:szCs w:val="32"/>
          <w:lang w:val="en-GB"/>
        </w:rPr>
        <w:t>202</w:t>
      </w:r>
      <w:r>
        <w:rPr>
          <w:sz w:val="32"/>
          <w:szCs w:val="32"/>
          <w:lang w:val="en-GB"/>
        </w:rPr>
        <w:t>6</w:t>
      </w:r>
    </w:p>
    <w:p>
      <w:pPr>
        <w:pStyle w:val="style0"/>
        <w:spacing w:before="240"/>
        <w:jc w:val="both"/>
        <w:rPr>
          <w:b/>
          <w:bCs/>
          <w:lang w:val="en-GB"/>
        </w:rPr>
      </w:pPr>
      <w:r>
        <w:rPr>
          <w:b/>
          <w:bCs/>
          <w:lang w:val="en-GB"/>
        </w:rPr>
        <w:t>Highlights</w:t>
      </w:r>
    </w:p>
    <w:p>
      <w:pPr>
        <w:pStyle w:val="style0"/>
        <w:numPr>
          <w:ilvl w:val="0"/>
          <w:numId w:val="1"/>
        </w:numPr>
        <w:ind w:left="142"/>
        <w:jc w:val="both"/>
        <w:contextualSpacing/>
        <w:rPr>
          <w:i/>
          <w:iCs/>
          <w:sz w:val="18"/>
          <w:szCs w:val="18"/>
          <w:lang w:val="en-GB"/>
        </w:rPr>
      </w:pPr>
      <w:r>
        <w:rPr>
          <w:i/>
          <w:iCs/>
          <w:sz w:val="18"/>
          <w:szCs w:val="18"/>
          <w:lang w:val="en-GB"/>
        </w:rPr>
        <w:t xml:space="preserve">Price pressures expected to </w:t>
      </w:r>
      <w:r>
        <w:rPr>
          <w:i/>
          <w:iCs/>
          <w:sz w:val="18"/>
          <w:szCs w:val="18"/>
          <w:lang w:val="en-GB"/>
        </w:rPr>
        <w:t xml:space="preserve">sustain moderation in 2026 </w:t>
      </w:r>
      <w:r>
        <w:rPr>
          <w:i/>
          <w:iCs/>
          <w:sz w:val="18"/>
          <w:szCs w:val="18"/>
          <w:lang w:val="en-GB"/>
        </w:rPr>
        <w:t xml:space="preserve">although this is highly threatened by ongoing crisis in the middle east. </w:t>
      </w:r>
    </w:p>
    <w:p>
      <w:pPr>
        <w:pStyle w:val="style0"/>
        <w:numPr>
          <w:ilvl w:val="0"/>
          <w:numId w:val="1"/>
        </w:numPr>
        <w:ind w:left="142"/>
        <w:jc w:val="both"/>
        <w:contextualSpacing/>
        <w:rPr>
          <w:i/>
          <w:iCs/>
          <w:sz w:val="18"/>
          <w:szCs w:val="18"/>
          <w:lang w:val="en-GB"/>
        </w:rPr>
      </w:pPr>
      <w:r>
        <w:rPr>
          <w:i/>
          <w:iCs/>
          <w:sz w:val="18"/>
          <w:szCs w:val="18"/>
          <w:lang w:val="en-GB"/>
        </w:rPr>
        <w:t>Nigeria’s</w:t>
      </w:r>
      <w:r>
        <w:rPr>
          <w:i/>
          <w:iCs/>
          <w:sz w:val="18"/>
          <w:szCs w:val="18"/>
          <w:lang w:val="en-GB"/>
        </w:rPr>
        <w:t xml:space="preserve"> </w:t>
      </w:r>
      <w:r>
        <w:rPr>
          <w:i/>
          <w:iCs/>
          <w:sz w:val="18"/>
          <w:szCs w:val="18"/>
          <w:lang w:val="en-GB"/>
        </w:rPr>
        <w:t xml:space="preserve">output growth </w:t>
      </w:r>
      <w:r>
        <w:rPr>
          <w:i/>
          <w:iCs/>
          <w:sz w:val="18"/>
          <w:szCs w:val="18"/>
          <w:lang w:val="en-GB"/>
        </w:rPr>
        <w:t xml:space="preserve">in 2026 is </w:t>
      </w:r>
      <w:r>
        <w:rPr>
          <w:i/>
          <w:iCs/>
          <w:sz w:val="18"/>
          <w:szCs w:val="18"/>
          <w:lang w:val="en-GB"/>
        </w:rPr>
        <w:t>expected to</w:t>
      </w:r>
      <w:r>
        <w:rPr>
          <w:i/>
          <w:iCs/>
          <w:sz w:val="18"/>
          <w:szCs w:val="18"/>
          <w:lang w:val="en-GB"/>
        </w:rPr>
        <w:t xml:space="preserve"> remain positive</w:t>
      </w:r>
      <w:r>
        <w:rPr>
          <w:i/>
          <w:iCs/>
          <w:sz w:val="18"/>
          <w:szCs w:val="18"/>
          <w:lang w:val="en-GB"/>
        </w:rPr>
        <w:t xml:space="preserve"> </w:t>
      </w:r>
      <w:r>
        <w:rPr>
          <w:i/>
          <w:iCs/>
          <w:sz w:val="18"/>
          <w:szCs w:val="18"/>
          <w:lang w:val="en-GB"/>
        </w:rPr>
        <w:t>as economy stabilises</w:t>
      </w:r>
      <w:r>
        <w:rPr>
          <w:i/>
          <w:iCs/>
          <w:sz w:val="18"/>
          <w:szCs w:val="18"/>
          <w:lang w:val="en-GB"/>
        </w:rPr>
        <w:t xml:space="preserve"> and consolidates </w:t>
      </w:r>
      <w:r>
        <w:rPr>
          <w:i/>
          <w:iCs/>
          <w:sz w:val="18"/>
          <w:szCs w:val="18"/>
          <w:lang w:val="en-GB"/>
        </w:rPr>
        <w:t>reforms</w:t>
      </w:r>
      <w:r>
        <w:rPr>
          <w:i/>
          <w:iCs/>
          <w:sz w:val="18"/>
          <w:szCs w:val="18"/>
          <w:lang w:val="en-GB"/>
        </w:rPr>
        <w:t xml:space="preserve">. </w:t>
      </w:r>
    </w:p>
    <w:p>
      <w:pPr>
        <w:pStyle w:val="style0"/>
        <w:jc w:val="both"/>
        <w:rPr>
          <w:lang w:val="en-GB"/>
        </w:rPr>
        <w:sectPr>
          <w:headerReference w:type="even" r:id="rId2"/>
          <w:headerReference w:type="default" r:id="rId3"/>
          <w:footerReference w:type="even" r:id="rId4"/>
          <w:footerReference w:type="default" r:id="rId5"/>
          <w:headerReference w:type="first" r:id="rId6"/>
          <w:type w:val="continuous"/>
          <w:pgSz w:w="11906" w:h="16838" w:orient="portrait"/>
          <w:pgMar w:top="1440" w:right="849" w:bottom="1440" w:left="1440" w:header="708" w:footer="708" w:gutter="0"/>
          <w:cols w:space="708"/>
          <w:docGrid w:linePitch="360"/>
        </w:sectPr>
      </w:pPr>
    </w:p>
    <w:p>
      <w:pPr>
        <w:pStyle w:val="style1"/>
        <w:rPr>
          <w:color w:val="auto"/>
          <w:lang w:val="en-GB"/>
        </w:rPr>
        <w:sectPr>
          <w:type w:val="continuous"/>
          <w:pgSz w:w="11906" w:h="16838" w:orient="portrait"/>
          <w:pgMar w:top="1440" w:right="849" w:bottom="1440" w:left="1440" w:header="708" w:footer="708" w:gutter="0"/>
          <w:cols w:space="708"/>
          <w:docGrid w:linePitch="360"/>
        </w:sectPr>
      </w:pPr>
      <w:r>
        <w:rPr>
          <w:color w:val="auto"/>
          <w:lang w:val="en-GB"/>
        </w:rPr>
        <w:t xml:space="preserve">Global Economic Update   </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The global economy entered the second quarter of 2026 with moderate but increasingly fragile momentum, as recent stabilisation in activity began to face renewed headwinds from geopolitical tensions and tightening global financial conditions. While economic activity had broadly firmed up by the end of March, developments in April and early May point to rising uncertainty and heightened downside risks, particularly linked to disruptions in global energy markets and trade flows.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Among Advanced Economies (AEs), the United States continued to serve as the primary growth anchor, supported by a resilient labour market, steady consumer spending, and sustained investment in artificial intelligence and digital infrastructure. These factors have helped maintain productivity gains and support aggregate demand despite elevated interest rates. However, financial market volatility and heightened geopolitical risks have begun to weigh on business and investor sentiment. In contrast, the euro area remained on a weaker growth trajectory, constrained by elevated energy costs, subdued industrial production, and structural rigidities. Recent supply disruptions and uncertainties around energy supply routes have added further pressure, limiting the pace of recovery despite ongoing fiscal support measures.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 xml:space="preserve">Across Emerging Market and Developing Economies (EMDEs), growth continued to outpace that of advanced economies, supported by resilient domestic demand and relatively stable, albeit increasingly cautious, capital inflows. India and several Southeast Asian economies maintained strong growth momentum, underpinned by robust investment activity and consumption. However, these gains are increasingly challenged by deepening global trade fragmentation and rising shipping and logistics </w:t>
      </w:r>
      <w:r>
        <w:rPr>
          <w:rFonts w:ascii="Calibri" w:hAnsi="Calibri"/>
          <w:sz w:val="22"/>
          <w:szCs w:val="22"/>
          <w:lang w:val="en-GB" w:eastAsia="en-US"/>
        </w:rPr>
        <w:t>costs, as supply chains continue to adjust to geopolitical shocks and security concerns. In China, economic activity showed gradual improvement, reflecting the lagged impact of policy support measures introduced in late 2025. While the property sector continues to face structural constraints, stabilisation in investment activity and modest improvements in confidence indicators have supported a cautious recovery. Nonetheless, the outlook remains tempered by external demand uncertainty and evolving global trade conditions.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Global disinflation trends, which had appeared to become more synchronized toward the end of the first quarter of 2026, have shown signs of loss of momentum in recent weeks, reflecting renewed pressures from energy markets and supply chain disruptions. Across advanced economies—including the United States, the United Kingdom, and the euro area, disinflation has generally reversed, with recent data pointing to intermittent upward pressures. In the euro area in particular, inflation has edged higher, largely driven by rising energy costs and renewed supply chain frictions linked to escalating geopolitical tensions.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Notwithstanding these developments, both headline and core inflation in most advanced economies remain closer to their respective medium-term targets compared to earlier peaks, albeit with heightened volatility. However, the balance of risks has shifted, with tail risks remaining elevated due to persistent geopolitical uncertainty, lingering labour market tightness, and the growing sensitivity of inflation to energy price shocks.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 xml:space="preserve">A more heterogeneous pattern continues to characterize inflation dynamics across Emerging Market and Developing Economies (EMDEs). </w:t>
      </w:r>
      <w:r>
        <w:rPr>
          <w:rFonts w:ascii="Calibri" w:hAnsi="Calibri"/>
          <w:sz w:val="22"/>
          <w:szCs w:val="22"/>
          <w:lang w:val="en-GB" w:eastAsia="en-US"/>
        </w:rPr>
        <w:t>Several Sub-Saharan African economies have experienced gradual moderation from previously elevated inflation levels, supported by improvements in agricultural output, relatively stable import costs earlier in the year, and the cumulative effects of monetary tightening. However, this moderation remains uneven and fragile. In many cases, inflation continues to persist at elevated or double-digit levels, reflecting structural constraints such as supply bottlenecks, logistics inefficiencies, foreign exchange pressures, and continued dependence on imported food and energy inputs. Recent geopolitical developments, particularly the ongoing Russia–Ukraine conflict and the escalation of tensions in the Middle East, with associated disruptions in the Strait of Hormuz, have reintroduced significant upside risks to inflation through higher shipping costs, energy price volatility, and disruptions to global trade flows.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As such, the global inflation outlook remains highly sensitive to further shocks, underscoring the need for continued policy vigilance and a carefully calibrated, data dependent approach to monetary policy across jurisdictions.</w:t>
      </w:r>
    </w:p>
    <w:p>
      <w:pPr>
        <w:pStyle w:val="style0"/>
        <w:ind w:left="851" w:hanging="851"/>
        <w:jc w:val="both"/>
        <w:rPr>
          <w:rFonts w:ascii="Calibri" w:hAnsi="Calibri"/>
          <w:i/>
          <w:iCs/>
          <w:sz w:val="18"/>
          <w:szCs w:val="16"/>
          <w:lang w:val="en-GB"/>
        </w:rPr>
      </w:pPr>
      <w:r>
        <w:rPr>
          <w:rFonts w:ascii="Calibri" w:hAnsi="Calibri"/>
          <w:i/>
          <w:iCs/>
          <w:sz w:val="18"/>
          <w:szCs w:val="16"/>
        </w:rPr>
        <w:t xml:space="preserve">Figure </w:t>
      </w:r>
      <w:r>
        <w:rPr>
          <w:rFonts w:ascii="Calibri" w:hAnsi="Calibri"/>
          <w:i/>
          <w:iCs/>
          <w:sz w:val="18"/>
          <w:szCs w:val="16"/>
          <w:lang w:val="en-GB"/>
        </w:rPr>
        <w:t>1</w:t>
      </w:r>
      <w:r>
        <w:rPr>
          <w:rFonts w:ascii="Calibri" w:hAnsi="Calibri"/>
          <w:i/>
          <w:iCs/>
          <w:sz w:val="18"/>
          <w:szCs w:val="16"/>
        </w:rPr>
        <w:t xml:space="preserve">: Year-on-Year </w:t>
      </w:r>
      <w:r>
        <w:rPr>
          <w:rFonts w:ascii="Calibri" w:hAnsi="Calibri"/>
          <w:i/>
          <w:iCs/>
          <w:sz w:val="18"/>
          <w:szCs w:val="16"/>
          <w:lang w:val="en-GB"/>
        </w:rPr>
        <w:t>Inflation in Selected Economies (</w:t>
      </w:r>
      <w:r>
        <w:rPr>
          <w:rFonts w:ascii="Calibri" w:hAnsi="Calibri"/>
          <w:i/>
          <w:iCs/>
          <w:sz w:val="18"/>
          <w:szCs w:val="16"/>
          <w:lang w:val="en-GB"/>
        </w:rPr>
        <w:t>January</w:t>
      </w:r>
      <w:r>
        <w:rPr>
          <w:rFonts w:ascii="Calibri" w:hAnsi="Calibri"/>
          <w:i/>
          <w:iCs/>
          <w:sz w:val="18"/>
          <w:szCs w:val="16"/>
          <w:lang w:val="en-GB"/>
        </w:rPr>
        <w:t xml:space="preserve"> </w:t>
      </w:r>
      <w:r>
        <w:rPr>
          <w:rFonts w:ascii="Calibri" w:hAnsi="Calibri"/>
          <w:i/>
          <w:iCs/>
          <w:sz w:val="18"/>
          <w:szCs w:val="16"/>
          <w:lang w:val="en-GB"/>
        </w:rPr>
        <w:t xml:space="preserve">2025 – </w:t>
      </w:r>
      <w:r>
        <w:rPr>
          <w:rFonts w:ascii="Calibri" w:hAnsi="Calibri"/>
          <w:i/>
          <w:iCs/>
          <w:sz w:val="18"/>
          <w:szCs w:val="16"/>
          <w:lang w:val="en-GB"/>
        </w:rPr>
        <w:t>February</w:t>
      </w:r>
      <w:r>
        <w:rPr>
          <w:rFonts w:ascii="Calibri" w:hAnsi="Calibri"/>
          <w:i/>
          <w:iCs/>
          <w:sz w:val="18"/>
          <w:szCs w:val="16"/>
          <w:lang w:val="en-GB"/>
        </w:rPr>
        <w:t xml:space="preserve"> </w:t>
      </w:r>
      <w:r>
        <w:rPr>
          <w:rFonts w:ascii="Calibri" w:hAnsi="Calibri"/>
          <w:i/>
          <w:iCs/>
          <w:sz w:val="18"/>
          <w:szCs w:val="16"/>
        </w:rPr>
        <w:t>202</w:t>
      </w:r>
      <w:r>
        <w:rPr>
          <w:rFonts w:ascii="Calibri" w:hAnsi="Calibri"/>
          <w:i/>
          <w:iCs/>
          <w:sz w:val="18"/>
          <w:szCs w:val="16"/>
          <w:lang w:val="en-GB"/>
        </w:rPr>
        <w:t>6</w:t>
      </w:r>
      <w:r>
        <w:rPr>
          <w:rFonts w:ascii="Calibri" w:hAnsi="Calibri"/>
          <w:i/>
          <w:iCs/>
          <w:sz w:val="18"/>
          <w:szCs w:val="16"/>
        </w:rPr>
        <w:t xml:space="preserve">) in </w:t>
      </w:r>
      <w:r>
        <w:rPr>
          <w:rFonts w:ascii="Calibri" w:hAnsi="Calibri"/>
          <w:i/>
          <w:iCs/>
          <w:sz w:val="18"/>
          <w:szCs w:val="16"/>
          <w:lang w:val="en-GB"/>
        </w:rPr>
        <w:t>percent</w:t>
      </w:r>
    </w:p>
    <w:p>
      <w:pPr>
        <w:pStyle w:val="style0"/>
        <w:ind w:left="851" w:hanging="851"/>
        <w:jc w:val="both"/>
        <w:rPr>
          <w:rFonts w:ascii="Calibri" w:hAnsi="Calibri"/>
          <w:i/>
          <w:iCs/>
          <w:sz w:val="18"/>
          <w:szCs w:val="16"/>
          <w:lang w:val="en-GB"/>
        </w:rPr>
      </w:pPr>
      <w:r>
        <w:rPr>
          <w:noProof/>
        </w:rPr>
      </w:r>
      <w:r>
        <w:rPr>
          <w:noProof/>
        </w:rPr>
      </w:r>
      <w:r>
        <w:rPr>
          <w:noProof/>
        </w:rPr>
      </w:r>
      <w:r>
        <w:rPr>
          <w:noProof/>
        </w:rPr>
        <w:drawing>
          <wp:inline distL="114300" distT="0" distB="0" distR="114300">
            <wp:extent cx="2828290" cy="169672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noProof/>
        </w:rPr>
      </w:r>
    </w:p>
    <w:p>
      <w:pPr>
        <w:pStyle w:val="style0"/>
        <w:jc w:val="both"/>
        <w:rPr>
          <w:lang w:val="en-GB"/>
        </w:rPr>
      </w:pPr>
      <w:r>
        <w:rPr>
          <w:rFonts w:ascii="Calibri" w:hAnsi="Calibri"/>
          <w:b/>
          <w:bCs/>
          <w:sz w:val="18"/>
          <w:szCs w:val="16"/>
        </w:rPr>
        <w:t>Source: Various National Statistics Offices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Central banks across advanced economies have adopted a more cautious and risk</w:t>
      </w:r>
      <w:r>
        <w:rPr>
          <w:rFonts w:ascii="Cambria Math" w:cs="Cambria Math" w:hAnsi="Cambria Math"/>
          <w:sz w:val="22"/>
          <w:szCs w:val="22"/>
          <w:lang w:val="en-GB" w:eastAsia="en-US"/>
        </w:rPr>
        <w:t>‑</w:t>
      </w:r>
      <w:r>
        <w:rPr>
          <w:rFonts w:ascii="Calibri" w:hAnsi="Calibri"/>
          <w:sz w:val="22"/>
          <w:szCs w:val="22"/>
          <w:lang w:val="en-GB" w:eastAsia="en-US"/>
        </w:rPr>
        <w:t>sensitive stance, reflecting growing concerns about the durability of the disinflation process in the face of renewed external shocks. Heightened geopolitical tensions</w:t>
      </w:r>
      <w:r>
        <w:rPr>
          <w:rFonts w:ascii="Calibri" w:cs="Calibri" w:hAnsi="Calibri"/>
          <w:sz w:val="22"/>
          <w:szCs w:val="22"/>
          <w:lang w:val="en-GB" w:eastAsia="en-US"/>
        </w:rPr>
        <w:t>—</w:t>
      </w:r>
      <w:r>
        <w:rPr>
          <w:rFonts w:ascii="Calibri" w:hAnsi="Calibri"/>
          <w:sz w:val="22"/>
          <w:szCs w:val="22"/>
          <w:lang w:val="en-GB" w:eastAsia="en-US"/>
        </w:rPr>
        <w:t xml:space="preserve">particularly in the Middle East—alongside disruptions in energy markets and global supply chains, have increased the risk of </w:t>
      </w:r>
      <w:r>
        <w:rPr>
          <w:rFonts w:ascii="Calibri" w:hAnsi="Calibri"/>
          <w:sz w:val="22"/>
          <w:szCs w:val="22"/>
          <w:lang w:val="en-GB" w:eastAsia="en-US"/>
        </w:rPr>
        <w:t>inflation reversals, prompting policymakers to recalibrate expectations of the policy easing cycle.</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Recent developments suggest a re-emergence of price stickiness in key sectors, including energy, food, fertilizers, and petrochemicals, as well as related upstream and downstream industries. These pressures have reinforced a preference among central banks for gradualism and strong data dependence, with policymakers emphasizing the need for clear and sustained evidence of disinflation before embarking on further easing.</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 xml:space="preserve">As a result, central banks in advanced economies are increasingly </w:t>
      </w:r>
      <w:r>
        <w:rPr>
          <w:rFonts w:ascii="Calibri" w:hAnsi="Calibri"/>
          <w:sz w:val="22"/>
          <w:szCs w:val="22"/>
          <w:lang w:val="en-GB" w:eastAsia="en-US"/>
        </w:rPr>
        <w:t>signalling</w:t>
      </w:r>
      <w:r>
        <w:rPr>
          <w:rFonts w:ascii="Calibri" w:hAnsi="Calibri"/>
          <w:sz w:val="22"/>
          <w:szCs w:val="22"/>
          <w:lang w:val="en-GB" w:eastAsia="en-US"/>
        </w:rPr>
        <w:t xml:space="preserve"> a measured and conditional approach to rate cuts, indicating that any policy normalization will proceed cautiously and remain contingent on incoming data and evolving risk conditions. This reflects a broader shift from earlier expectations of a more synchronized and rapid easing cycle to a more deliberate and state</w:t>
      </w:r>
      <w:r>
        <w:rPr>
          <w:rFonts w:ascii="Cambria Math" w:cs="Cambria Math" w:hAnsi="Cambria Math"/>
          <w:sz w:val="22"/>
          <w:szCs w:val="22"/>
          <w:lang w:val="en-GB" w:eastAsia="en-US"/>
        </w:rPr>
        <w:t>‑</w:t>
      </w:r>
      <w:r>
        <w:rPr>
          <w:rFonts w:ascii="Calibri" w:hAnsi="Calibri"/>
          <w:sz w:val="22"/>
          <w:szCs w:val="22"/>
          <w:lang w:val="en-GB" w:eastAsia="en-US"/>
        </w:rPr>
        <w:t>contingent policy path.</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Across Emerging Market and Developing Economies (EMDEs), monetary policy challenges remain more complex, shaped by external vulnerabilities and structural constraints. Concerns over volatile capital flows, exchange rate pressures, and tightening global financial conditions are prompting many EMDE central banks to adopt a more conservative and defensive policy stance.</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In economies with persistent external imbalances, elevated sovereign borrowing costs, or fragile foreign exchange buffers, policymakers are exercising heightened caution to mitigate the risk of currency instability and prevent a resurgence of inflation. In this environment, the scope for policy easing remains limited, and in some cases, authorities are prioritizing exchange rate stability and inflation anchoring over short-term growth considerations.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Overall, the global monetary policy environment has transitioned toward one characterized by heightened uncertainty, slower normalization, and increased reliance on data</w:t>
      </w:r>
      <w:r>
        <w:rPr>
          <w:rFonts w:ascii="Cambria Math" w:cs="Cambria Math" w:hAnsi="Cambria Math"/>
          <w:sz w:val="22"/>
          <w:szCs w:val="22"/>
          <w:lang w:val="en-GB" w:eastAsia="en-US"/>
        </w:rPr>
        <w:t>‑</w:t>
      </w:r>
      <w:r>
        <w:rPr>
          <w:rFonts w:ascii="Calibri" w:hAnsi="Calibri"/>
          <w:sz w:val="22"/>
          <w:szCs w:val="22"/>
          <w:lang w:val="en-GB" w:eastAsia="en-US"/>
        </w:rPr>
        <w:t xml:space="preserve">driven decision-making, as central banks navigate the complex trade-offs between supporting growth and </w:t>
      </w:r>
      <w:r>
        <w:rPr>
          <w:rFonts w:ascii="Calibri" w:hAnsi="Calibri"/>
          <w:sz w:val="22"/>
          <w:szCs w:val="22"/>
          <w:lang w:val="en-GB" w:eastAsia="en-US"/>
        </w:rPr>
        <w:t>safeguarding price stability amid evolving global risks.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 xml:space="preserve">Global equity markets rebounded on the back of resilient corporate earnings and improved investor sentiment. By end April, the S&amp;P 500 recorded a gain of about 10.4 per cent for the month, its strongest performance since late 2020, while the Nasdaq surged by approximately 15.3 per cent, and the Dow Jones Industrial Average advanced by about 7.1 per cent. This sharp recovery also saw major indices reach new record highs, with the S&amp;P 500 closing above the 7,200 level for the first time, supported by strong earnings from large-cap firms, particularly in technology and industrial sectors. </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The rebound underscores a shift in market dynamics during the month. While March was characterized by broad-based de-risking driven by energy shocks and rising yields, April reflected a renewed “risk-on” sentiment, supported by: better than expected corporate earnings, continued momentum in artificial intelligence and digital infrastructure investment and relative resilience in the U.S. economy. At the same time, market behaviour remained internally differentiated and cautious. Despite strong headline gains, segments of the technology sector experienced volatility, reflecting concerns about elevated capital expenditure, particularly related to AI investments.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 xml:space="preserve">Geopolitical developments continued to play a central role in shaping the global macroeconomic outlook through April 2026. Persistent trade tensions and security concerns accelerated the reconfiguration of global supply chains, with firms prioritising resilience and geopolitical alignment over cost efficiency. In Europe, the Russia–Ukraine conflict remained unresolved, sustaining uncertainty in energy markets and cross border investment, particularly in energy intensive sectors. In the Middle East, tensions remained elevated following the late February escalation involving U.S.–Israel actions against Iran. While intermittent diplomatic signals provided temporary relief, risks around critical maritime routes, particularly the Strait of Hormuz, </w:t>
      </w:r>
      <w:r>
        <w:rPr>
          <w:rFonts w:ascii="Calibri" w:hAnsi="Calibri"/>
          <w:sz w:val="22"/>
          <w:szCs w:val="22"/>
          <w:lang w:val="en-GB" w:eastAsia="en-US"/>
        </w:rPr>
        <w:t>persisted. These disruptions continued to elevate risk premia across energy, shipping, and insurance markets, reinforcing global supply chain vulnerabilities and investor caution.</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Commodity markets reflected these dynamics. Crude oil prices remained elevated and highly volatile throughout April, driven by geopolitical risk, supply constraints, and shifting market sentiment. Brent crude traded within a wide range of approximately US$98–US$138 per barrel, peaking early in the month before moderating to US$124.24 per barrel at end April, with a monthly average of about US$117.29 per barrel.  Similarly, WTI crude fluctuated within an estimated US$95–US$130 per barrel range, remaining above US$100 per barrel at end April, consistent with elevated global benchmarks. The OPEC Reference Basket remained firm at US$110–US$125 per barrel, with readings above US$116 per barrel during the month, reflecting sustained market strength. Nigeria’s Bonny Light crude continued to trade at a premium, reflecting its light, sweet quality. Prices ranged between US$120–US$135 per barrel, with peaks above US$134 per barrel, closing at US$134.86 per barrel at end April. These developments sustained inflationary pressures for energy importing economies, while creating fiscal planning uncertainties for commodity exporters reliant on hydrocarbon revenues.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 xml:space="preserve">In the precious metals market, gold prices remained elevated but moderated during April, reflecting shifts in monetary conditions and risk sentiment. Prices traded within a range of approximately US$4,540–US$4,890 per ounce, peaking </w:t>
      </w:r>
      <w:r>
        <w:rPr>
          <w:rFonts w:ascii="Calibri" w:hAnsi="Calibri"/>
          <w:sz w:val="22"/>
          <w:szCs w:val="22"/>
          <w:lang w:val="en-GB" w:eastAsia="en-US"/>
        </w:rPr>
        <w:t>mid-month</w:t>
      </w:r>
      <w:r>
        <w:rPr>
          <w:rFonts w:ascii="Calibri" w:hAnsi="Calibri"/>
          <w:sz w:val="22"/>
          <w:szCs w:val="22"/>
          <w:lang w:val="en-GB" w:eastAsia="en-US"/>
        </w:rPr>
        <w:t xml:space="preserve"> amid safe haven demand. Toward the end of April, gold prices softened due to a firmer U.S. dollar and higher bond yields, with spot prices declining to about US$4,550–US$4,630 per ounce, and closing near US$4,627 per ounce, representing a modest 1.5 per cent month on month decline. Despite this moderation, gold prices remained historically elevated, supported by central bank demand, geopolitical uncertainty, and hedging against inflation and financial volatility.</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Overall, commodity market developments underscore the growing transmission of geopolitical risk into global inflation dynamics, financial conditions, and capital flows, reinforcing macroeconomic uncertainty across both advanced and emerging economies.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Cryptocurrency markets remained volatile but showed signs of recovery in April 2026, as global risk sentiment stayed mixed amid geopolitical uncertainty and tight financial conditions. After earlier Q1 corrections, prices stabilised, supported by renewed institutional participation and improving fund flows. Bitcoin traded within a US$68,000–US$79,000 range, rising by 12–16 per cent over the month and closing near US$78,000–US$79,000, driven by easing geopolitical tensions, short covering, and stronger institutional inflows. Ethereum showed more modest performance, fluctuating around US$2,300–US$2,400, with volatility linked to liquidations and shifting sentiment. Total cryptocurrency market capitalisation increased by about 10 per cent to US$2.7 trillion, indicating partial recovery. Market concentration persisted, with Bitcoin dominance near 57 per cent, while altcoin gains remained selective. Institutional engagement strengthened significantly, with spot Bitcoin ETFs recording US$2.0–US$2.4 billion in inflows, the highest in 2026, bringing total assets under management above US$100 billion. Stablecoins continued to underpin market liquidity and settlement, while broader structural developments, including tokenised financial assets, reinforced the ecosystem’s institutional relevance. Overall, April marked a shift from a risk off environment to a cautious recovery, characterised by stabilising prices, renewed inflows, and continued sensitivity to macro financial conditions.</w:t>
      </w:r>
    </w:p>
    <w:p>
      <w:pPr>
        <w:pStyle w:val="style1"/>
        <w:rPr>
          <w:color w:val="002060"/>
          <w:lang w:val="en-GB"/>
        </w:rPr>
      </w:pPr>
      <w:r>
        <w:rPr>
          <w:color w:val="002060"/>
          <w:lang w:val="en-GB"/>
        </w:rPr>
        <w:t>Global Economic Outlook</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 xml:space="preserve">Looking ahead, the global economy remains on a moderately steady but increasingly risk laden path as of end April 2026. While earlier trade tensions have eased somewhat, the escalation of conflict in the Middle East has emerged as the primary downside risk, with significant implications for global trade, energy markets, inflation, and </w:t>
      </w:r>
      <w:r>
        <w:rPr>
          <w:rFonts w:ascii="Calibri" w:hAnsi="Calibri"/>
          <w:sz w:val="22"/>
          <w:szCs w:val="22"/>
          <w:lang w:val="en-GB" w:eastAsia="en-US"/>
        </w:rPr>
        <w:t xml:space="preserve">financial conditions. Disruptions to key shipping routes and energy infrastructure, particularly around critical transit points, continue to heighten supply side risks and market uncertainty. </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 xml:space="preserve">Global growth is expected to moderate amid persistent uncertainty, with downside risks dominating the outlook. A prolonged or intensified conflict could further weaken activity, tighten financial conditions, and reinforce inflationary pressures across both advanced and developing economies.  Advanced economies are projected to maintain modest growth momentum, supported by relatively resilient domestic demand, particularly in the United States, while the euro area’s recovery remains gradual. Emerging market and developing economies—led by major Asian economies—are expected to continue driving global growth, although their outlook has softened due to heightened exposure to commodity price volatility and tighter external conditions. </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Global trade is expected to expand at a slower pace, constrained by geopolitical fragmentation, rising trade costs, and ongoing supply chain reconfiguration. Structural shifts toward regionalisation and geopolitically aligned trade patterns are likely to persist, limiting efficiency gains and weighing on longer term productivity.  Commodity markets are likely to remain volatile, shaped by shifting demand dynamics and persistent geopolitical risks, particularly in energy markets. These conditions continue to pose inflationary challenges for importing economies and complicate macroeconomic management globally. Monetary policy is expected to remain cautious and data dependent, as central banks’ balance the need to contain inflation with pressures to support growth in an increasingly uncertain environment.</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Overall, the outlook is characterised by fragile resilience, where growth persists but buffers are thinning. In this context, policy coordination, rebuilding fiscal space, and strengthening institutional credibility remain essential to sustaining global economic stability.</w:t>
      </w:r>
    </w:p>
    <w:p>
      <w:pPr>
        <w:pStyle w:val="style1"/>
        <w:rPr>
          <w:color w:val="auto"/>
          <w:lang w:val="en-GB"/>
        </w:rPr>
      </w:pPr>
      <w:r>
        <w:rPr>
          <w:color w:val="auto"/>
          <w:lang w:val="en-GB"/>
        </w:rPr>
        <w:t xml:space="preserve">Nigeria’s Output Growth </w:t>
      </w:r>
    </w:p>
    <w:p>
      <w:pPr>
        <w:pStyle w:val="style0"/>
        <w:jc w:val="both"/>
        <w:rPr>
          <w:rFonts w:ascii="Calibri" w:cs="Calibri" w:hAnsi="Calibri"/>
          <w:sz w:val="22"/>
          <w:szCs w:val="22"/>
          <w:lang w:val="en-GB"/>
        </w:rPr>
      </w:pPr>
      <w:r>
        <w:rPr>
          <w:rFonts w:ascii="Calibri" w:cs="Calibri" w:hAnsi="Calibri"/>
          <w:sz w:val="22"/>
          <w:szCs w:val="22"/>
          <w:lang w:val="en-GB"/>
        </w:rPr>
        <w:t>Nigeria’s growth trajectory at the beginning of Q2 2026 reflected mixed signals across high-frequency indicators, suggesting that while underlying private sector demand remained relatively resilient, rising cost pressures continued to weigh on the pace of economic activity. Following the moderation recorded in March 2026, business conditions in April presented a divergence between private sector survey indicators, with the Stanbic IBTC Purchasing Managers’ Index (PMI) remaining in expansionary territory, while the Central Bank of Nigeria’s (CBN) Composite PMI slipped into contraction for the first time in over a year.</w:t>
      </w:r>
    </w:p>
    <w:p>
      <w:pPr>
        <w:pStyle w:val="style0"/>
        <w:jc w:val="both"/>
        <w:rPr>
          <w:rFonts w:ascii="Calibri" w:cs="Calibri" w:hAnsi="Calibri"/>
          <w:sz w:val="22"/>
          <w:szCs w:val="22"/>
          <w:lang w:val="en-GB"/>
        </w:rPr>
      </w:pPr>
    </w:p>
    <w:p>
      <w:pPr>
        <w:pStyle w:val="style0"/>
        <w:jc w:val="both"/>
        <w:rPr>
          <w:rFonts w:ascii="Calibri" w:cs="Calibri" w:hAnsi="Calibri"/>
          <w:sz w:val="22"/>
          <w:szCs w:val="22"/>
          <w:lang w:val="en-GB"/>
        </w:rPr>
      </w:pPr>
      <w:r>
        <w:rPr>
          <w:rFonts w:ascii="Calibri" w:cs="Calibri" w:hAnsi="Calibri"/>
          <w:sz w:val="22"/>
          <w:szCs w:val="22"/>
          <w:lang w:val="en-GB"/>
        </w:rPr>
        <w:t>The Stanbic headline PMI rose to 52.4 points in April 2026 from 51.9 points in March, indicating a sustained, albeit modest, improvement in private sector business conditions for the third consecutive month. The improvement was largely supported by continued increases in customer demand, rising new orders, inventory accumulation, and sustained purchasing activity. Business activity expanded across most sectors of the economy, particularly in manufacturing, agriculture, and trade-related activities, while the services sector recorded a contraction. Firms also continued to increase employment and rebuild inventories in anticipation of stronger future demand conditions</w:t>
      </w:r>
    </w:p>
    <w:p>
      <w:pPr>
        <w:pStyle w:val="style0"/>
        <w:jc w:val="both"/>
        <w:rPr>
          <w:rFonts w:ascii="Calibri" w:cs="Calibri" w:hAnsi="Calibri"/>
          <w:sz w:val="22"/>
          <w:szCs w:val="22"/>
          <w:lang w:val="en-GB"/>
        </w:rPr>
      </w:pPr>
    </w:p>
    <w:p>
      <w:pPr>
        <w:pStyle w:val="style0"/>
        <w:jc w:val="both"/>
        <w:rPr>
          <w:rFonts w:ascii="Calibri" w:cs="Calibri" w:hAnsi="Calibri"/>
          <w:sz w:val="22"/>
          <w:szCs w:val="22"/>
          <w:lang w:val="en-GB"/>
        </w:rPr>
      </w:pPr>
      <w:r>
        <w:rPr>
          <w:rFonts w:ascii="Calibri" w:cs="Calibri" w:hAnsi="Calibri"/>
          <w:i/>
          <w:iCs/>
          <w:color w:val="2f5496"/>
          <w:sz w:val="18"/>
          <w:szCs w:val="16"/>
          <w:lang w:val="en-GB"/>
        </w:rPr>
        <w:t>F</w:t>
      </w:r>
      <w:r>
        <w:rPr>
          <w:rFonts w:ascii="Calibri" w:cs="Calibri" w:hAnsi="Calibri"/>
          <w:i/>
          <w:iCs/>
          <w:color w:val="2f5496"/>
          <w:sz w:val="18"/>
          <w:szCs w:val="16"/>
        </w:rPr>
        <w:t>igure</w:t>
      </w:r>
      <w:r>
        <w:rPr>
          <w:rFonts w:ascii="Calibri" w:cs="Calibri" w:hAnsi="Calibri"/>
          <w:i/>
          <w:iCs/>
          <w:color w:val="2f5496"/>
          <w:sz w:val="18"/>
          <w:szCs w:val="16"/>
        </w:rPr>
        <w:t xml:space="preserve"> </w:t>
      </w:r>
      <w:r>
        <w:rPr>
          <w:rFonts w:ascii="Calibri" w:cs="Calibri" w:hAnsi="Calibri"/>
          <w:i/>
          <w:iCs/>
          <w:color w:val="2f5496"/>
          <w:sz w:val="18"/>
          <w:szCs w:val="16"/>
          <w:lang w:val="en-GB"/>
        </w:rPr>
        <w:t>2</w:t>
      </w:r>
      <w:r>
        <w:rPr>
          <w:rFonts w:ascii="Calibri" w:cs="Calibri" w:hAnsi="Calibri"/>
          <w:i/>
          <w:iCs/>
          <w:color w:val="2f5496"/>
          <w:sz w:val="18"/>
          <w:szCs w:val="16"/>
        </w:rPr>
        <w:t>: Trend of Nigeria’s PMI (</w:t>
      </w:r>
      <w:r>
        <w:rPr>
          <w:rFonts w:ascii="Calibri" w:cs="Calibri" w:hAnsi="Calibri"/>
          <w:i/>
          <w:iCs/>
          <w:color w:val="2f5496"/>
          <w:sz w:val="18"/>
          <w:szCs w:val="16"/>
          <w:lang w:val="en-GB"/>
        </w:rPr>
        <w:t>Mar. 2025</w:t>
      </w:r>
      <w:r>
        <w:rPr>
          <w:rFonts w:ascii="Calibri" w:cs="Calibri" w:hAnsi="Calibri"/>
          <w:i/>
          <w:iCs/>
          <w:color w:val="2f5496"/>
          <w:sz w:val="18"/>
          <w:szCs w:val="16"/>
        </w:rPr>
        <w:t>–</w:t>
      </w:r>
      <w:r>
        <w:rPr>
          <w:rFonts w:ascii="Calibri" w:cs="Calibri" w:hAnsi="Calibri"/>
          <w:i/>
          <w:iCs/>
          <w:color w:val="2f5496"/>
          <w:sz w:val="18"/>
          <w:szCs w:val="16"/>
          <w:lang w:val="en-GB"/>
        </w:rPr>
        <w:t>Mar</w:t>
      </w:r>
      <w:r>
        <w:rPr>
          <w:rFonts w:ascii="Calibri" w:cs="Calibri" w:hAnsi="Calibri"/>
          <w:i/>
          <w:iCs/>
          <w:color w:val="2f5496"/>
          <w:sz w:val="18"/>
          <w:szCs w:val="16"/>
        </w:rPr>
        <w:t xml:space="preserve"> 202</w:t>
      </w:r>
      <w:r>
        <w:rPr>
          <w:rFonts w:ascii="Calibri" w:cs="Calibri" w:hAnsi="Calibri"/>
          <w:i/>
          <w:iCs/>
          <w:color w:val="2f5496"/>
          <w:sz w:val="18"/>
          <w:szCs w:val="16"/>
          <w:lang w:val="en-GB"/>
        </w:rPr>
        <w:t>6</w:t>
      </w:r>
      <w:r>
        <w:rPr>
          <w:rFonts w:ascii="Calibri" w:cs="Calibri" w:hAnsi="Calibri"/>
          <w:i/>
          <w:iCs/>
          <w:color w:val="2f5496"/>
          <w:sz w:val="18"/>
          <w:szCs w:val="16"/>
        </w:rPr>
        <w:t>)</w:t>
      </w:r>
    </w:p>
    <w:p>
      <w:pPr>
        <w:pStyle w:val="style0"/>
        <w:jc w:val="both"/>
        <w:rPr>
          <w:rFonts w:ascii="Calibri" w:cs="Calibri" w:hAnsi="Calibri"/>
          <w:lang w:val="en-GB"/>
        </w:rPr>
      </w:pPr>
      <w:r>
        <w:rPr>
          <w:rFonts w:ascii="Calibri" w:cs="Calibri" w:hAnsi="Calibri"/>
          <w:noProof/>
          <w:lang w:val="en-GB"/>
        </w:rPr>
        <w:object>
          <v:shape id="1028" type="#_x0000_t75" filled="f" stroked="f" style="margin-left:0.0pt;margin-top:0.0pt;width:234.2pt;height:163.5pt;mso-wrap-distance-left:0.0pt;mso-wrap-distance-right:0.0pt;visibility:visible;">
            <w10:anchorlock/>
            <v:imagedata r:id="rId8" embosscolor="white" o:title=""/>
            <v:fill/>
          </v:shape>
          <o:OLEObject Type="EMBED" ProgID="Excel.Chart.8" ShapeID="1028" DrawAspect="Content" ObjectID="0" r:id="rId9"/>
        </w:object>
      </w:r>
    </w:p>
    <w:p>
      <w:pPr>
        <w:pStyle w:val="style0"/>
        <w:jc w:val="both"/>
        <w:rPr>
          <w:rFonts w:ascii="Calibri" w:cs="Calibri" w:hAnsi="Calibri"/>
          <w:color w:val="2f5496"/>
          <w:sz w:val="18"/>
          <w:szCs w:val="16"/>
        </w:rPr>
      </w:pPr>
      <w:r>
        <w:rPr>
          <w:rFonts w:ascii="Calibri" w:cs="Calibri" w:hAnsi="Calibri"/>
          <w:color w:val="2f5496"/>
          <w:sz w:val="18"/>
          <w:szCs w:val="16"/>
        </w:rPr>
        <w:t>Source: Stanbic-IBC</w:t>
      </w:r>
    </w:p>
    <w:p>
      <w:pPr>
        <w:pStyle w:val="style0"/>
        <w:jc w:val="both"/>
        <w:rPr>
          <w:rFonts w:ascii="Calibri" w:cs="Calibri" w:hAnsi="Calibri"/>
          <w:sz w:val="22"/>
          <w:szCs w:val="22"/>
          <w:lang w:val="en-GB"/>
        </w:rPr>
      </w:pPr>
      <w:r>
        <w:rPr>
          <w:rFonts w:ascii="Calibri" w:cs="Calibri" w:hAnsi="Calibri"/>
          <w:sz w:val="22"/>
          <w:szCs w:val="22"/>
          <w:lang w:val="en-GB"/>
        </w:rPr>
        <w:t xml:space="preserve">Nevertheless, the report indicated that growth remained constrained by elevated input costs, particularly higher fuel prices linked to ongoing geopolitical tensions in the Middle East. Rising transportation and raw material costs intensified </w:t>
      </w:r>
      <w:r>
        <w:rPr>
          <w:rFonts w:ascii="Calibri" w:cs="Calibri" w:hAnsi="Calibri"/>
          <w:sz w:val="22"/>
          <w:szCs w:val="22"/>
          <w:lang w:val="en-GB"/>
        </w:rPr>
        <w:t>inflationary pressures, leading to sharp increases in purchase prices and output prices. Output price inflation accelerated to its fastest pace since December 2024, as firms passed increased production costs to consumers. Although employment continued to expand, the pace of job creation softened to a three-month low, reflecting growing business caution amid persistent cost-side pressures.</w:t>
      </w:r>
    </w:p>
    <w:p>
      <w:pPr>
        <w:pStyle w:val="style0"/>
        <w:jc w:val="both"/>
        <w:rPr>
          <w:rFonts w:ascii="Calibri" w:cs="Calibri" w:hAnsi="Calibri"/>
          <w:sz w:val="22"/>
          <w:szCs w:val="22"/>
          <w:lang w:val="en-GB"/>
        </w:rPr>
      </w:pPr>
    </w:p>
    <w:p>
      <w:pPr>
        <w:pStyle w:val="style0"/>
        <w:jc w:val="both"/>
        <w:rPr>
          <w:rFonts w:ascii="Calibri" w:cs="Calibri" w:hAnsi="Calibri"/>
          <w:i/>
          <w:iCs/>
          <w:color w:val="2f5496"/>
          <w:sz w:val="20"/>
          <w:szCs w:val="18"/>
          <w:lang w:val="en-GB"/>
        </w:rPr>
      </w:pPr>
      <w:r>
        <w:rPr>
          <w:rFonts w:ascii="Calibri" w:cs="Calibri" w:hAnsi="Calibri"/>
          <w:i/>
          <w:iCs/>
          <w:color w:val="2f5496"/>
          <w:sz w:val="20"/>
          <w:szCs w:val="18"/>
        </w:rPr>
        <w:t xml:space="preserve">Figure </w:t>
      </w:r>
      <w:r>
        <w:rPr>
          <w:rFonts w:ascii="Calibri" w:cs="Calibri" w:hAnsi="Calibri"/>
          <w:i/>
          <w:iCs/>
          <w:color w:val="2f5496"/>
          <w:sz w:val="20"/>
          <w:szCs w:val="18"/>
          <w:lang w:val="en-GB"/>
        </w:rPr>
        <w:t>3</w:t>
      </w:r>
      <w:r>
        <w:rPr>
          <w:rFonts w:ascii="Calibri" w:cs="Calibri" w:hAnsi="Calibri"/>
          <w:i/>
          <w:iCs/>
          <w:color w:val="2f5496"/>
          <w:sz w:val="20"/>
          <w:szCs w:val="18"/>
        </w:rPr>
        <w:t>: Trend of Nigeria’s PMI (</w:t>
      </w:r>
      <w:r>
        <w:rPr>
          <w:rFonts w:ascii="Calibri" w:cs="Calibri" w:hAnsi="Calibri"/>
          <w:i/>
          <w:iCs/>
          <w:color w:val="2f5496"/>
          <w:sz w:val="20"/>
          <w:szCs w:val="18"/>
          <w:lang w:val="en-GB"/>
        </w:rPr>
        <w:t>Apr. 2025</w:t>
      </w:r>
      <w:r>
        <w:rPr>
          <w:rFonts w:ascii="Calibri" w:cs="Calibri" w:hAnsi="Calibri"/>
          <w:i/>
          <w:iCs/>
          <w:color w:val="2f5496"/>
          <w:sz w:val="20"/>
          <w:szCs w:val="18"/>
        </w:rPr>
        <w:t>–</w:t>
      </w:r>
      <w:r>
        <w:rPr>
          <w:rFonts w:ascii="Calibri" w:cs="Calibri" w:hAnsi="Calibri"/>
          <w:i/>
          <w:iCs/>
          <w:color w:val="2f5496"/>
          <w:sz w:val="20"/>
          <w:szCs w:val="18"/>
          <w:lang w:val="en-GB"/>
        </w:rPr>
        <w:t>Apr.</w:t>
      </w:r>
      <w:r>
        <w:rPr>
          <w:rFonts w:ascii="Calibri" w:cs="Calibri" w:hAnsi="Calibri"/>
          <w:i/>
          <w:iCs/>
          <w:color w:val="2f5496"/>
          <w:sz w:val="20"/>
          <w:szCs w:val="18"/>
        </w:rPr>
        <w:t xml:space="preserve"> 202</w:t>
      </w:r>
      <w:r>
        <w:rPr>
          <w:rFonts w:ascii="Calibri" w:cs="Calibri" w:hAnsi="Calibri"/>
          <w:i/>
          <w:iCs/>
          <w:color w:val="2f5496"/>
          <w:sz w:val="20"/>
          <w:szCs w:val="18"/>
          <w:lang w:val="en-GB"/>
        </w:rPr>
        <w:t>6)</w:t>
      </w:r>
    </w:p>
    <w:p>
      <w:pPr>
        <w:pStyle w:val="style0"/>
        <w:jc w:val="both"/>
        <w:rPr>
          <w:rFonts w:ascii="Calibri" w:cs="Calibri" w:hAnsi="Calibri"/>
          <w:sz w:val="6"/>
          <w:szCs w:val="4"/>
        </w:rPr>
      </w:pPr>
    </w:p>
    <w:p>
      <w:pPr>
        <w:pStyle w:val="style0"/>
        <w:jc w:val="both"/>
        <w:rPr>
          <w:rFonts w:ascii="Calibri" w:cs="Calibri" w:hAnsi="Calibri"/>
          <w:lang w:val="en-GB"/>
        </w:rPr>
      </w:pPr>
      <w:r>
        <w:rPr>
          <w:rFonts w:ascii="Calibri" w:cs="Calibri" w:hAnsi="Calibri"/>
          <w:noProof/>
          <w:lang w:val="en-GB"/>
        </w:rPr>
        <w:drawing>
          <wp:inline distL="0" distT="0" distB="0" distR="0">
            <wp:extent cx="2980055" cy="2196333"/>
            <wp:effectExtent l="0" t="0" r="0" b="0"/>
            <wp:docPr id="1029"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10" cstate="print"/>
                    <a:srcRect l="0" t="0" r="0" b="0"/>
                    <a:stretch/>
                  </pic:blipFill>
                  <pic:spPr>
                    <a:xfrm rot="0">
                      <a:off x="0" y="0"/>
                      <a:ext cx="2980055" cy="2196333"/>
                    </a:xfrm>
                    <a:prstGeom prst="rect"/>
                  </pic:spPr>
                </pic:pic>
              </a:graphicData>
            </a:graphic>
          </wp:inline>
        </w:drawing>
      </w:r>
    </w:p>
    <w:p>
      <w:pPr>
        <w:pStyle w:val="style0"/>
        <w:jc w:val="both"/>
        <w:rPr>
          <w:rFonts w:ascii="Calibri" w:cs="Calibri" w:hAnsi="Calibri"/>
          <w:color w:val="2f5496"/>
          <w:sz w:val="18"/>
          <w:szCs w:val="16"/>
          <w:lang w:val="en-GB"/>
        </w:rPr>
      </w:pPr>
      <w:r>
        <w:rPr>
          <w:rFonts w:ascii="Calibri" w:cs="Calibri" w:hAnsi="Calibri"/>
          <w:color w:val="2f5496"/>
          <w:sz w:val="18"/>
          <w:szCs w:val="16"/>
          <w:lang w:val="en-GB"/>
        </w:rPr>
        <w:t xml:space="preserve">  </w:t>
      </w:r>
      <w:r>
        <w:rPr>
          <w:rFonts w:ascii="Calibri" w:cs="Calibri" w:hAnsi="Calibri"/>
          <w:color w:val="2f5496"/>
          <w:sz w:val="18"/>
          <w:szCs w:val="16"/>
        </w:rPr>
        <w:t xml:space="preserve">Source: </w:t>
      </w:r>
      <w:r>
        <w:rPr>
          <w:rFonts w:ascii="Calibri" w:cs="Calibri" w:hAnsi="Calibri"/>
          <w:color w:val="2f5496"/>
          <w:sz w:val="18"/>
          <w:szCs w:val="16"/>
          <w:lang w:val="en-GB"/>
        </w:rPr>
        <w:t>CBN</w:t>
      </w:r>
    </w:p>
    <w:p>
      <w:pPr>
        <w:pStyle w:val="style0"/>
        <w:jc w:val="both"/>
        <w:rPr>
          <w:rFonts w:ascii="Calibri" w:cs="Calibri" w:hAnsi="Calibri"/>
          <w:sz w:val="8"/>
          <w:szCs w:val="8"/>
          <w:lang w:val="en-GB"/>
        </w:rPr>
      </w:pPr>
    </w:p>
    <w:p>
      <w:pPr>
        <w:pStyle w:val="style0"/>
        <w:spacing w:after="160" w:lineRule="auto" w:line="259"/>
        <w:jc w:val="both"/>
        <w:rPr>
          <w:rFonts w:ascii="Calibri" w:cs="Calibri" w:hAnsi="Calibri"/>
          <w:sz w:val="22"/>
          <w:szCs w:val="22"/>
          <w:lang w:val="en-GB"/>
        </w:rPr>
      </w:pPr>
      <w:r>
        <w:rPr>
          <w:rFonts w:ascii="Calibri" w:cs="Calibri" w:hAnsi="Calibri"/>
          <w:sz w:val="22"/>
          <w:szCs w:val="22"/>
          <w:lang w:val="en-GB"/>
        </w:rPr>
        <w:t>In contrast, the CBN Composite PMI declined to 49.4 points in April 2026 from 53.2 points in March, indicating a contraction in aggregate economic activity and marking the first deterioration in business conditions after sixteen consecutive months of expansion. The decline suggests that mounting inflationary pressures, elevated energy costs, and broader macroeconomic headwinds exerted a stronger drag on overall economic performance during the review period. The contraction in the CBN index points to weaker business sentiment and softer output conditions across some sectors of the economy, particularly among firms more exposed to rising operating costs and weakening purchasing power.</w:t>
      </w:r>
    </w:p>
    <w:p>
      <w:pPr>
        <w:pStyle w:val="style0"/>
        <w:spacing w:after="160" w:lineRule="auto" w:line="259"/>
        <w:jc w:val="both"/>
        <w:rPr>
          <w:rFonts w:ascii="Calibri" w:cs="Calibri" w:hAnsi="Calibri"/>
          <w:sz w:val="22"/>
          <w:szCs w:val="22"/>
          <w:lang w:val="en-GB"/>
        </w:rPr>
      </w:pPr>
      <w:r>
        <w:rPr>
          <w:rFonts w:ascii="Calibri" w:cs="Calibri" w:hAnsi="Calibri"/>
          <w:sz w:val="22"/>
          <w:szCs w:val="22"/>
          <w:lang w:val="en-GB"/>
        </w:rPr>
        <w:t xml:space="preserve">In conclusion, developments in April 2026 indicate that Nigeria’s economic recovery remains fragile but relatively resilient. While private sector demand conditions and inventory accumulation continued to support economic activity, rising fuel costs, inflationary pressures, and weakening consumer purchasing power increasingly constrained output expansion. The divergence </w:t>
      </w:r>
      <w:r>
        <w:rPr>
          <w:rFonts w:ascii="Calibri" w:cs="Calibri" w:hAnsi="Calibri"/>
          <w:sz w:val="22"/>
          <w:szCs w:val="22"/>
          <w:lang w:val="en-GB"/>
        </w:rPr>
        <w:t>between the Stanbic IBTC PMI and the CBN Composite PMI further underscores the uneven nature of the recovery and suggests that growth conditions remain vulnerable to persistent cost shocks and external uncertainties. Nonetheless, sustained improvements in new orders, positive business expectations, and ongoing investment expansion plans by firms suggest that the underlying growth trajectory of the economy remains moderately positive over the medium term.</w:t>
      </w:r>
    </w:p>
    <w:p>
      <w:pPr>
        <w:pStyle w:val="style0"/>
        <w:spacing w:after="160" w:lineRule="auto" w:line="259"/>
        <w:jc w:val="both"/>
        <w:rPr>
          <w:rFonts w:ascii="Calibri" w:cs="Calibri" w:hAnsi="Calibri"/>
          <w:i/>
          <w:iCs/>
          <w:color w:val="2f5496"/>
          <w:sz w:val="20"/>
          <w:szCs w:val="18"/>
          <w:lang w:val="en-GB"/>
        </w:rPr>
      </w:pPr>
      <w:r>
        <w:rPr>
          <w:rFonts w:ascii="Calibri" w:cs="Calibri" w:hAnsi="Calibri"/>
          <w:noProof/>
        </w:rPr>
        <w:drawing>
          <wp:anchor distT="0" distB="0" distL="0" distR="0" simplePos="false" relativeHeight="2" behindDoc="false" locked="false" layoutInCell="true" allowOverlap="true">
            <wp:simplePos x="0" y="0"/>
            <wp:positionH relativeFrom="column">
              <wp:align>right</wp:align>
            </wp:positionH>
            <wp:positionV relativeFrom="paragraph">
              <wp:posOffset>411479</wp:posOffset>
            </wp:positionV>
            <wp:extent cx="2882900" cy="1854199"/>
            <wp:effectExtent l="0" t="0" r="0" b="0"/>
            <wp:wrapNone/>
            <wp:docPr id="1030"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11" cstate="print"/>
                    <a:srcRect l="0" t="0" r="0" b="0"/>
                    <a:stretch/>
                  </pic:blipFill>
                  <pic:spPr>
                    <a:xfrm rot="0">
                      <a:off x="0" y="0"/>
                      <a:ext cx="2882900" cy="1854199"/>
                    </a:xfrm>
                    <a:prstGeom prst="rect"/>
                    <a:ln>
                      <a:noFill/>
                    </a:ln>
                  </pic:spPr>
                </pic:pic>
              </a:graphicData>
            </a:graphic>
          </wp:anchor>
        </w:drawing>
      </w:r>
      <w:r>
        <w:rPr>
          <w:rFonts w:ascii="Calibri" w:cs="Calibri" w:hAnsi="Calibri"/>
          <w:i/>
          <w:iCs/>
          <w:color w:val="2f5496"/>
          <w:sz w:val="20"/>
          <w:szCs w:val="18"/>
        </w:rPr>
        <w:t xml:space="preserve">Figure </w:t>
      </w:r>
      <w:r>
        <w:rPr>
          <w:rFonts w:ascii="Calibri" w:cs="Calibri" w:hAnsi="Calibri"/>
          <w:i/>
          <w:iCs/>
          <w:color w:val="2f5496"/>
          <w:sz w:val="20"/>
          <w:szCs w:val="18"/>
          <w:lang w:val="en-GB"/>
        </w:rPr>
        <w:t>4</w:t>
      </w:r>
      <w:r>
        <w:rPr>
          <w:rFonts w:ascii="Calibri" w:cs="Calibri" w:hAnsi="Calibri"/>
          <w:i/>
          <w:iCs/>
          <w:color w:val="2f5496"/>
          <w:sz w:val="20"/>
          <w:szCs w:val="18"/>
        </w:rPr>
        <w:t>: Real GDP Growth Rate in Nigeria (Q1202</w:t>
      </w:r>
      <w:r>
        <w:rPr>
          <w:rFonts w:ascii="Calibri" w:cs="Calibri" w:hAnsi="Calibri"/>
          <w:i/>
          <w:iCs/>
          <w:color w:val="2f5496"/>
          <w:sz w:val="20"/>
          <w:szCs w:val="18"/>
          <w:lang w:val="en-GB"/>
        </w:rPr>
        <w:t>4</w:t>
      </w:r>
      <w:r>
        <w:rPr>
          <w:rFonts w:ascii="Calibri" w:cs="Calibri" w:hAnsi="Calibri"/>
          <w:i/>
          <w:iCs/>
          <w:color w:val="2f5496"/>
          <w:sz w:val="20"/>
          <w:szCs w:val="18"/>
        </w:rPr>
        <w:t xml:space="preserve"> – Q</w:t>
      </w:r>
      <w:r>
        <w:rPr>
          <w:rFonts w:ascii="Calibri" w:cs="Calibri" w:hAnsi="Calibri"/>
          <w:i/>
          <w:iCs/>
          <w:color w:val="2f5496"/>
          <w:sz w:val="20"/>
          <w:szCs w:val="18"/>
          <w:lang w:val="en-GB"/>
        </w:rPr>
        <w:t>4</w:t>
      </w:r>
      <w:r>
        <w:rPr>
          <w:rFonts w:ascii="Calibri" w:cs="Calibri" w:hAnsi="Calibri"/>
          <w:i/>
          <w:iCs/>
          <w:color w:val="2f5496"/>
          <w:sz w:val="20"/>
          <w:szCs w:val="18"/>
        </w:rPr>
        <w:t>202</w:t>
      </w:r>
      <w:r>
        <w:rPr>
          <w:rFonts w:ascii="Calibri" w:cs="Calibri" w:hAnsi="Calibri"/>
          <w:i/>
          <w:iCs/>
          <w:color w:val="2f5496"/>
          <w:sz w:val="20"/>
          <w:szCs w:val="18"/>
          <w:lang w:val="en-GB"/>
        </w:rPr>
        <w:t>5</w:t>
      </w:r>
      <w:r>
        <w:rPr>
          <w:rFonts w:ascii="Calibri" w:cs="Calibri" w:hAnsi="Calibri"/>
          <w:i/>
          <w:iCs/>
          <w:color w:val="2f5496"/>
          <w:sz w:val="20"/>
          <w:szCs w:val="18"/>
        </w:rPr>
        <w:t>) in percent</w:t>
      </w:r>
    </w:p>
    <w:p>
      <w:pPr>
        <w:pStyle w:val="style0"/>
        <w:jc w:val="both"/>
        <w:rPr>
          <w:rFonts w:ascii="Calibri" w:cs="Calibri" w:hAnsi="Calibri"/>
          <w:lang w:val="en-GB"/>
        </w:rPr>
      </w:pPr>
    </w:p>
    <w:p>
      <w:pPr>
        <w:pStyle w:val="style0"/>
        <w:jc w:val="both"/>
        <w:rPr>
          <w:rFonts w:ascii="Calibri" w:cs="Calibri" w:hAnsi="Calibri"/>
          <w:lang w:val="en-GB"/>
        </w:rPr>
      </w:pPr>
    </w:p>
    <w:p>
      <w:pPr>
        <w:pStyle w:val="style0"/>
        <w:jc w:val="both"/>
        <w:rPr>
          <w:rFonts w:ascii="Calibri" w:cs="Calibri" w:hAnsi="Calibri"/>
          <w:lang w:val="en-GB"/>
        </w:rPr>
      </w:pPr>
    </w:p>
    <w:p>
      <w:pPr>
        <w:pStyle w:val="style0"/>
        <w:jc w:val="both"/>
        <w:rPr>
          <w:rFonts w:ascii="Calibri" w:cs="Calibri" w:hAnsi="Calibri"/>
          <w:lang w:val="en-GB"/>
        </w:rPr>
      </w:pPr>
    </w:p>
    <w:p>
      <w:pPr>
        <w:pStyle w:val="style0"/>
        <w:jc w:val="both"/>
        <w:rPr>
          <w:rFonts w:ascii="Calibri" w:cs="Calibri" w:hAnsi="Calibri"/>
          <w:lang w:val="en-GB"/>
        </w:rPr>
      </w:pPr>
    </w:p>
    <w:p>
      <w:pPr>
        <w:pStyle w:val="style0"/>
        <w:jc w:val="both"/>
        <w:rPr>
          <w:rFonts w:ascii="Calibri" w:cs="Calibri" w:hAnsi="Calibri"/>
          <w:lang w:val="en-GB"/>
        </w:rPr>
      </w:pPr>
    </w:p>
    <w:p>
      <w:pPr>
        <w:pStyle w:val="style0"/>
        <w:jc w:val="both"/>
        <w:rPr>
          <w:rFonts w:ascii="Calibri" w:cs="Calibri" w:hAnsi="Calibri"/>
          <w:lang w:val="en-GB"/>
        </w:rPr>
      </w:pPr>
    </w:p>
    <w:p>
      <w:pPr>
        <w:pStyle w:val="style0"/>
        <w:jc w:val="both"/>
        <w:rPr>
          <w:rFonts w:ascii="Calibri" w:cs="Calibri" w:hAnsi="Calibri"/>
          <w:lang w:val="en-GB"/>
        </w:rPr>
      </w:pPr>
    </w:p>
    <w:p>
      <w:pPr>
        <w:pStyle w:val="style0"/>
        <w:jc w:val="both"/>
        <w:rPr>
          <w:rFonts w:ascii="Calibri" w:cs="Calibri" w:hAnsi="Calibri"/>
          <w:sz w:val="22"/>
          <w:szCs w:val="22"/>
          <w:lang w:val="en-GB"/>
        </w:rPr>
      </w:pPr>
      <w:r>
        <w:rPr>
          <w:rFonts w:ascii="Calibri" w:cs="Calibri" w:hAnsi="Calibri"/>
          <w:b/>
          <w:bCs/>
          <w:color w:val="2f5496"/>
          <w:sz w:val="18"/>
          <w:szCs w:val="16"/>
        </w:rPr>
        <w:t xml:space="preserve">Source: </w:t>
      </w:r>
      <w:r>
        <w:rPr>
          <w:rFonts w:ascii="Calibri" w:cs="Calibri" w:hAnsi="Calibri"/>
          <w:color w:val="2f5496"/>
          <w:sz w:val="18"/>
          <w:szCs w:val="16"/>
        </w:rPr>
        <w:t>National Bureau of Statistics (NBS)</w:t>
      </w:r>
    </w:p>
    <w:p>
      <w:pPr>
        <w:pStyle w:val="style0"/>
        <w:jc w:val="both"/>
        <w:rPr>
          <w:rFonts w:ascii="Calibri" w:cs="Calibri" w:hAnsi="Calibri"/>
          <w:sz w:val="22"/>
          <w:szCs w:val="22"/>
          <w:lang w:val="en-GB"/>
        </w:rPr>
      </w:pPr>
    </w:p>
    <w:p>
      <w:pPr>
        <w:pStyle w:val="style0"/>
        <w:jc w:val="both"/>
        <w:rPr>
          <w:rFonts w:ascii="Calibri" w:cs="Calibri" w:hAnsi="Calibri"/>
          <w:sz w:val="22"/>
          <w:szCs w:val="22"/>
          <w:lang w:val="en-GB"/>
        </w:rPr>
      </w:pPr>
    </w:p>
    <w:p>
      <w:pPr>
        <w:pStyle w:val="style0"/>
        <w:spacing w:after="160" w:lineRule="auto" w:line="259"/>
        <w:jc w:val="both"/>
        <w:rPr>
          <w:rFonts w:ascii="Calibri" w:cs="Calibri" w:hAnsi="Calibri"/>
          <w:i/>
          <w:iCs/>
          <w:color w:val="2f5496"/>
          <w:sz w:val="20"/>
          <w:szCs w:val="18"/>
        </w:rPr>
      </w:pPr>
      <w:r>
        <w:rPr>
          <w:rFonts w:ascii="Calibri" w:cs="Calibri" w:hAnsi="Calibri"/>
          <w:noProof/>
        </w:rPr>
        <w:drawing>
          <wp:anchor distT="0" distB="0" distL="0" distR="0" simplePos="false" relativeHeight="3" behindDoc="false" locked="false" layoutInCell="true" allowOverlap="true">
            <wp:simplePos x="0" y="0"/>
            <wp:positionH relativeFrom="column">
              <wp:posOffset>-76200</wp:posOffset>
            </wp:positionH>
            <wp:positionV relativeFrom="paragraph">
              <wp:posOffset>385445</wp:posOffset>
            </wp:positionV>
            <wp:extent cx="3018036" cy="1619250"/>
            <wp:effectExtent l="0" t="0" r="0" b="0"/>
            <wp:wrapNone/>
            <wp:docPr id="1031"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12" cstate="print"/>
                    <a:srcRect l="2240" t="8395" r="3204" b="0"/>
                    <a:stretch/>
                  </pic:blipFill>
                  <pic:spPr>
                    <a:xfrm rot="0">
                      <a:off x="0" y="0"/>
                      <a:ext cx="3018036" cy="1619250"/>
                    </a:xfrm>
                    <a:prstGeom prst="rect"/>
                    <a:ln>
                      <a:noFill/>
                    </a:ln>
                  </pic:spPr>
                </pic:pic>
              </a:graphicData>
            </a:graphic>
            <wp14:sizeRelH relativeFrom="margin">
              <wp14:pctWidth>0</wp14:pctWidth>
            </wp14:sizeRelH>
            <wp14:sizeRelV relativeFrom="margin">
              <wp14:pctHeight>0</wp14:pctHeight>
            </wp14:sizeRelV>
          </wp:anchor>
        </w:drawing>
      </w:r>
      <w:r>
        <w:rPr>
          <w:rFonts w:ascii="Calibri" w:cs="Calibri" w:hAnsi="Calibri"/>
          <w:i/>
          <w:iCs/>
          <w:color w:val="2f5496"/>
          <w:sz w:val="20"/>
          <w:szCs w:val="18"/>
        </w:rPr>
        <w:t xml:space="preserve">Figure </w:t>
      </w:r>
      <w:r>
        <w:rPr>
          <w:rFonts w:ascii="Calibri" w:cs="Calibri" w:hAnsi="Calibri"/>
          <w:i/>
          <w:iCs/>
          <w:color w:val="2f5496"/>
          <w:sz w:val="20"/>
          <w:szCs w:val="18"/>
          <w:lang w:val="en-GB"/>
        </w:rPr>
        <w:t>5</w:t>
      </w:r>
      <w:r>
        <w:rPr>
          <w:rFonts w:ascii="Calibri" w:cs="Calibri" w:hAnsi="Calibri"/>
          <w:i/>
          <w:iCs/>
          <w:color w:val="2f5496"/>
          <w:sz w:val="20"/>
          <w:szCs w:val="18"/>
        </w:rPr>
        <w:t xml:space="preserve">: </w:t>
      </w:r>
      <w:r>
        <w:rPr>
          <w:rFonts w:ascii="Calibri" w:cs="Calibri" w:hAnsi="Calibri"/>
          <w:i/>
          <w:iCs/>
          <w:color w:val="2f5496"/>
          <w:sz w:val="20"/>
          <w:szCs w:val="18"/>
          <w:lang w:val="en-GB"/>
        </w:rPr>
        <w:t xml:space="preserve">Annual </w:t>
      </w:r>
      <w:r>
        <w:rPr>
          <w:rFonts w:ascii="Calibri" w:cs="Calibri" w:hAnsi="Calibri"/>
          <w:i/>
          <w:iCs/>
          <w:color w:val="2f5496"/>
          <w:sz w:val="20"/>
          <w:szCs w:val="18"/>
        </w:rPr>
        <w:t>Real GDP Growth Rate in Nigeria (</w:t>
      </w:r>
      <w:r>
        <w:rPr>
          <w:rFonts w:ascii="Calibri" w:cs="Calibri" w:hAnsi="Calibri"/>
          <w:i/>
          <w:iCs/>
          <w:color w:val="2f5496"/>
          <w:sz w:val="20"/>
          <w:szCs w:val="18"/>
          <w:lang w:val="en-GB"/>
        </w:rPr>
        <w:t>2018</w:t>
      </w:r>
      <w:r>
        <w:rPr>
          <w:rFonts w:ascii="Calibri" w:cs="Calibri" w:hAnsi="Calibri"/>
          <w:i/>
          <w:iCs/>
          <w:color w:val="2f5496"/>
          <w:sz w:val="20"/>
          <w:szCs w:val="18"/>
        </w:rPr>
        <w:t xml:space="preserve"> – </w:t>
      </w:r>
      <w:r>
        <w:rPr>
          <w:rFonts w:ascii="Calibri" w:cs="Calibri" w:hAnsi="Calibri"/>
          <w:i/>
          <w:iCs/>
          <w:color w:val="2f5496"/>
          <w:sz w:val="20"/>
          <w:szCs w:val="18"/>
          <w:lang w:val="en-GB"/>
        </w:rPr>
        <w:t>2025</w:t>
      </w:r>
      <w:r>
        <w:rPr>
          <w:rFonts w:ascii="Calibri" w:cs="Calibri" w:hAnsi="Calibri"/>
          <w:i/>
          <w:iCs/>
          <w:color w:val="2f5496"/>
          <w:sz w:val="20"/>
          <w:szCs w:val="18"/>
        </w:rPr>
        <w:t>) in percent</w:t>
      </w:r>
    </w:p>
    <w:p>
      <w:pPr>
        <w:pStyle w:val="style0"/>
        <w:spacing w:after="160" w:lineRule="auto" w:line="259"/>
        <w:jc w:val="both"/>
        <w:rPr>
          <w:rFonts w:ascii="Calibri" w:cs="Calibri" w:hAnsi="Calibri"/>
          <w:i/>
          <w:iCs/>
          <w:color w:val="2f5496"/>
          <w:sz w:val="20"/>
          <w:szCs w:val="18"/>
        </w:rPr>
      </w:pPr>
    </w:p>
    <w:p>
      <w:pPr>
        <w:pStyle w:val="style0"/>
        <w:spacing w:after="160" w:lineRule="auto" w:line="259"/>
        <w:jc w:val="both"/>
        <w:rPr>
          <w:rFonts w:ascii="Calibri" w:cs="Calibri" w:hAnsi="Calibri"/>
          <w:i/>
          <w:iCs/>
          <w:color w:val="2f5496"/>
          <w:sz w:val="20"/>
          <w:szCs w:val="18"/>
        </w:rPr>
      </w:pPr>
    </w:p>
    <w:p>
      <w:pPr>
        <w:pStyle w:val="style0"/>
        <w:spacing w:after="160" w:lineRule="auto" w:line="259"/>
        <w:jc w:val="both"/>
        <w:rPr>
          <w:rFonts w:ascii="Calibri" w:cs="Calibri" w:hAnsi="Calibri"/>
          <w:i/>
          <w:iCs/>
          <w:color w:val="2f5496"/>
          <w:sz w:val="20"/>
          <w:szCs w:val="18"/>
        </w:rPr>
      </w:pPr>
    </w:p>
    <w:p>
      <w:pPr>
        <w:pStyle w:val="style0"/>
        <w:spacing w:after="160" w:lineRule="auto" w:line="259"/>
        <w:jc w:val="both"/>
        <w:rPr>
          <w:rFonts w:ascii="Calibri" w:cs="Calibri" w:hAnsi="Calibri"/>
          <w:i/>
          <w:iCs/>
          <w:color w:val="2f5496"/>
          <w:sz w:val="20"/>
          <w:szCs w:val="18"/>
        </w:rPr>
      </w:pPr>
    </w:p>
    <w:p>
      <w:pPr>
        <w:pStyle w:val="style0"/>
        <w:spacing w:after="160" w:lineRule="auto" w:line="259"/>
        <w:jc w:val="both"/>
        <w:rPr>
          <w:rFonts w:ascii="Calibri" w:cs="Calibri" w:hAnsi="Calibri"/>
          <w:i/>
          <w:iCs/>
          <w:color w:val="2f5496"/>
          <w:sz w:val="20"/>
          <w:szCs w:val="18"/>
          <w:lang w:val="en-GB"/>
        </w:rPr>
      </w:pPr>
    </w:p>
    <w:p>
      <w:pPr>
        <w:pStyle w:val="style0"/>
        <w:spacing w:after="160" w:lineRule="auto" w:line="259"/>
        <w:jc w:val="both"/>
        <w:rPr>
          <w:rFonts w:ascii="Calibri" w:cs="Calibri" w:hAnsi="Calibri"/>
          <w:i/>
          <w:iCs/>
          <w:color w:val="2f5496"/>
          <w:sz w:val="20"/>
          <w:szCs w:val="18"/>
          <w:lang w:val="en-GB"/>
        </w:rPr>
      </w:pPr>
    </w:p>
    <w:p>
      <w:pPr>
        <w:pStyle w:val="style0"/>
        <w:jc w:val="both"/>
        <w:rPr>
          <w:rFonts w:ascii="Calibri" w:cs="Calibri" w:hAnsi="Calibri"/>
          <w:lang w:val="en-GB"/>
        </w:rPr>
      </w:pPr>
      <w:r>
        <w:rPr>
          <w:rFonts w:ascii="Calibri" w:cs="Calibri" w:hAnsi="Calibri"/>
          <w:b/>
          <w:bCs/>
          <w:color w:val="2f5496"/>
          <w:sz w:val="18"/>
          <w:szCs w:val="16"/>
        </w:rPr>
        <w:t xml:space="preserve">Source: </w:t>
      </w:r>
      <w:r>
        <w:rPr>
          <w:rFonts w:ascii="Calibri" w:cs="Calibri" w:hAnsi="Calibri"/>
          <w:color w:val="2f5496"/>
          <w:sz w:val="18"/>
          <w:szCs w:val="16"/>
        </w:rPr>
        <w:t>National Bureau of Statistics (NBS)</w:t>
      </w:r>
    </w:p>
    <w:p>
      <w:pPr>
        <w:pStyle w:val="style0"/>
        <w:spacing w:after="160" w:lineRule="auto" w:line="259"/>
        <w:jc w:val="both"/>
        <w:rPr>
          <w:rFonts w:ascii="Calibri" w:hAnsi="Calibri"/>
          <w:sz w:val="22"/>
          <w:szCs w:val="22"/>
          <w:lang w:val="en-GB" w:eastAsia="en-US"/>
        </w:rPr>
      </w:pPr>
    </w:p>
    <w:p>
      <w:pPr>
        <w:pStyle w:val="style1"/>
        <w:rPr>
          <w:lang w:val="en-GB"/>
        </w:rPr>
      </w:pPr>
      <w:r>
        <w:rPr>
          <w:lang w:val="en-GB"/>
        </w:rPr>
        <w:t>Output Growth Outlook</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Nigeria entered the second quarter of 2026 with clear signs of macroeconomic stabilisation, supported by earlier reforms, resilient services activity, improved FX liquidity, and a modest recovery in oil output. Growth has remained moderate but stable, with underlying resilience expected to persist in the near term.</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In the second half of 2026, growth is expected to strengthen gradually but remain uneven. Activity in Q3 should improve modestly, supported by better FX availability and seasonal gains in agriculture, while Q4 is likely to see firmer momentum, aided by year end fiscal spending, easing price pressures, and continued normalisation in foreign exchange markets. However, expansion will remain measured, constrained by high financing costs, consumption, and structural bottlenecks.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External risks remain elevated. Heightened geopolitical tensions and associated oil price volatility present both opportunities (stronger revenues) and risks (capital flow volatility, exchange rate and price pressures). As a result, private investment and overall growth may remain sensitive to shifts in global financial conditions.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 xml:space="preserve">Looking into 2027, growth is expected to strengthen more sustainably, supported by continued policy credibility, improved investor confidence, and gradual recovery in investment. Nonetheless, progress will depend on addressing persistent structural constraints, including infrastructure gaps, energy supply limitations, logistics costs, and security challenges as well as election related concerns.  </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Overall, Nigeria’s outlook reflects a gradual and phased recovery, with stabilisation in early 2026, moderate strengthening in the second half, and a more durable expansion path emerging into 2027, conditional on sustained reforms and manageable external conditions.</w:t>
      </w:r>
    </w:p>
    <w:p>
      <w:pPr>
        <w:pStyle w:val="style0"/>
        <w:spacing w:after="160" w:lineRule="auto" w:line="259"/>
        <w:jc w:val="both"/>
        <w:rPr>
          <w:rFonts w:ascii="Calibri" w:cs="Calibri" w:hAnsi="Calibri"/>
          <w:i/>
          <w:iCs/>
          <w:color w:val="2f5496"/>
          <w:sz w:val="20"/>
          <w:szCs w:val="18"/>
        </w:rPr>
      </w:pPr>
      <w:r>
        <w:rPr>
          <w:rFonts w:ascii="Calibri" w:cs="Calibri" w:hAnsi="Calibri"/>
          <w:i/>
          <w:iCs/>
          <w:color w:val="2f5496"/>
          <w:sz w:val="20"/>
          <w:szCs w:val="18"/>
        </w:rPr>
        <w:t xml:space="preserve">Figure </w:t>
      </w:r>
      <w:r>
        <w:rPr>
          <w:rFonts w:ascii="Calibri" w:cs="Calibri" w:hAnsi="Calibri"/>
          <w:i/>
          <w:iCs/>
          <w:color w:val="2f5496"/>
          <w:sz w:val="20"/>
          <w:szCs w:val="18"/>
        </w:rPr>
        <w:t>6</w:t>
      </w:r>
      <w:r>
        <w:rPr>
          <w:rFonts w:ascii="Calibri" w:cs="Calibri" w:hAnsi="Calibri"/>
          <w:i/>
          <w:iCs/>
          <w:color w:val="2f5496"/>
          <w:sz w:val="20"/>
          <w:szCs w:val="18"/>
        </w:rPr>
        <w:t xml:space="preserve">: Economic Policy Uncertainty (EPU) index for Nigeria </w:t>
      </w:r>
      <w:r>
        <w:rPr>
          <w:rFonts w:ascii="Calibri" w:cs="Calibri" w:hAnsi="Calibri"/>
          <w:i/>
          <w:iCs/>
          <w:color w:val="2f5496"/>
          <w:sz w:val="20"/>
          <w:szCs w:val="18"/>
        </w:rPr>
        <w:t xml:space="preserve">April </w:t>
      </w:r>
      <w:r>
        <w:rPr>
          <w:rFonts w:ascii="Calibri" w:cs="Calibri" w:hAnsi="Calibri"/>
          <w:i/>
          <w:iCs/>
          <w:color w:val="2f5496"/>
          <w:sz w:val="20"/>
          <w:szCs w:val="18"/>
        </w:rPr>
        <w:t>2025</w:t>
      </w:r>
      <w:r>
        <w:rPr>
          <w:rFonts w:ascii="Calibri" w:cs="Calibri" w:hAnsi="Calibri"/>
          <w:i/>
          <w:iCs/>
          <w:color w:val="2f5496"/>
          <w:sz w:val="20"/>
          <w:szCs w:val="18"/>
        </w:rPr>
        <w:t xml:space="preserve"> – </w:t>
      </w:r>
      <w:r>
        <w:rPr>
          <w:rFonts w:ascii="Calibri" w:cs="Calibri" w:hAnsi="Calibri"/>
          <w:i/>
          <w:iCs/>
          <w:color w:val="2f5496"/>
          <w:sz w:val="20"/>
          <w:szCs w:val="18"/>
        </w:rPr>
        <w:t>April</w:t>
      </w:r>
      <w:r>
        <w:rPr>
          <w:rFonts w:ascii="Calibri" w:cs="Calibri" w:hAnsi="Calibri"/>
          <w:i/>
          <w:iCs/>
          <w:color w:val="2f5496"/>
          <w:sz w:val="20"/>
          <w:szCs w:val="18"/>
        </w:rPr>
        <w:t xml:space="preserve"> </w:t>
      </w:r>
      <w:r>
        <w:rPr>
          <w:rFonts w:ascii="Calibri" w:cs="Calibri" w:hAnsi="Calibri"/>
          <w:i/>
          <w:iCs/>
          <w:color w:val="2f5496"/>
          <w:sz w:val="20"/>
          <w:szCs w:val="18"/>
        </w:rPr>
        <w:t>202</w:t>
      </w:r>
      <w:r>
        <w:rPr>
          <w:rFonts w:ascii="Calibri" w:cs="Calibri" w:hAnsi="Calibri"/>
          <w:i/>
          <w:iCs/>
          <w:color w:val="2f5496"/>
          <w:sz w:val="20"/>
          <w:szCs w:val="18"/>
        </w:rPr>
        <w:t>6</w:t>
      </w:r>
    </w:p>
    <w:p>
      <w:pPr>
        <w:pStyle w:val="style0"/>
        <w:spacing w:after="160" w:lineRule="auto" w:line="259"/>
        <w:jc w:val="both"/>
        <w:rPr>
          <w:noProof/>
        </w:rPr>
      </w:pPr>
      <w:r>
        <w:rPr>
          <w:noProof/>
        </w:rPr>
        <w:drawing>
          <wp:inline distL="0" distT="0" distB="0" distR="0">
            <wp:extent cx="2828290" cy="1257300"/>
            <wp:effectExtent l="0" t="0" r="0" b="0"/>
            <wp:docPr id="1032"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srcRect l="0" t="0" r="0" b="0"/>
                    <a:stretch/>
                  </pic:blipFill>
                  <pic:spPr>
                    <a:xfrm rot="0">
                      <a:off x="0" y="0"/>
                      <a:ext cx="2828290" cy="1257300"/>
                    </a:xfrm>
                    <a:prstGeom prst="rect"/>
                    <a:ln>
                      <a:noFill/>
                    </a:ln>
                  </pic:spPr>
                </pic:pic>
              </a:graphicData>
            </a:graphic>
          </wp:inline>
        </w:drawing>
      </w:r>
    </w:p>
    <w:p>
      <w:pPr>
        <w:pStyle w:val="style0"/>
        <w:jc w:val="both"/>
        <w:rPr>
          <w:rFonts w:ascii="Calibri" w:cs="Calibri" w:hAnsi="Calibri"/>
          <w:color w:val="2f5496"/>
          <w:sz w:val="18"/>
          <w:szCs w:val="16"/>
        </w:rPr>
      </w:pPr>
      <w:r>
        <w:rPr>
          <w:rFonts w:ascii="Calibri" w:cs="Calibri" w:hAnsi="Calibri"/>
          <w:color w:val="2f5496"/>
          <w:sz w:val="18"/>
          <w:szCs w:val="16"/>
        </w:rPr>
        <w:t>Source: CAPE Economic Research and Consulting, 202</w:t>
      </w:r>
      <w:r>
        <w:rPr>
          <w:rFonts w:ascii="Calibri" w:cs="Calibri" w:hAnsi="Calibri"/>
          <w:color w:val="2f5496"/>
          <w:sz w:val="18"/>
          <w:szCs w:val="16"/>
        </w:rPr>
        <w:t>6</w:t>
      </w:r>
    </w:p>
    <w:p>
      <w:pPr>
        <w:pStyle w:val="style0"/>
        <w:spacing w:after="160" w:lineRule="auto" w:line="259"/>
        <w:jc w:val="both"/>
        <w:rPr>
          <w:rFonts w:ascii="Calibri" w:hAnsi="Calibri"/>
          <w:sz w:val="22"/>
          <w:szCs w:val="22"/>
          <w:lang w:val="en-GB" w:eastAsia="en-US"/>
        </w:rPr>
      </w:pP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The EPU index remained elevated in April 2026, with a slight uptick relative to March, signalling persistent uncertainty following the earlier escalation of geopolitical tensions in the Middle East. While the sharp increase observed in February–March began to stabilise, the April reading indicates that uncertainty has not yet normalised and continues to be shaped by external risk factors rather than domestic shocks.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The marginal increase in April reflects ongoing investor caution, driven by sustained global risk aversion, oil market volatility, and concerns around capital flow stability. The absence of a meaningful decline suggests that markets remain sensitive to evolving geopolitical developments, particularly around energy supply risks and global financial conditions. This sustained level of uncertainty implies: Continued risk off positioning by investors, with preference for shorter duration exposures, Cautious portfolio flows, limiting a full recovery in foreign capital inflows and Elevated risk premia on Nigeria related assets.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The sustained high level of uncertainty has important macroeconomic implications. First, it suggests continued caution in portfolio flows, with investors maintaining shorter investment horizons and higher required returns on Nigeria related assets. This environment is likely to moderate foreign exchange inflows, increasing the risk of intermittent pressure on the naira despite support from oil receipts. As a result, FX conditions are expected to remain sensitive and liquidity management dependent.</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Second, elevated uncertainty reinforces upside risks to inflation. Persistent external volatility could transmit through higher imported energy and logistics costs, as well as potential exchange rate pass through effects if FX pressures re-emerge. While earlier disinflation gains remain in place, the April EPU trend suggests that inflation risks have shifted back to the upside margin.</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 xml:space="preserve">Additionally, the April EPU dynamics support expectations of a cautious and relatively tight monetary policy stance. With uncertainty still elevated and external conditions fragile, the </w:t>
      </w:r>
      <w:r>
        <w:rPr>
          <w:rFonts w:ascii="Calibri" w:hAnsi="Calibri"/>
          <w:sz w:val="22"/>
          <w:szCs w:val="22"/>
          <w:lang w:val="en-GB" w:eastAsia="en-US"/>
        </w:rPr>
        <w:t>Central Bank is likely to prioritise price and exchange rate stability, delaying any aggressive easing cycle. Policy will likely remain data dependent, with liquidity management playing a central role in stabilising market conditions and preserving confidence.</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Overall, the April movement in the EPU index points to a plateauing at high uncertainty levels rather than a reversal, reinforcing a near term environment of cautious investor sentiment and continued sensitivity to external shocks and  the need for sustained policy credibility to anchor expectations and maintain stability.</w:t>
      </w:r>
      <w:r>
        <w:rPr>
          <w:rFonts w:ascii="Calibri" w:hAnsi="Calibri"/>
          <w:sz w:val="22"/>
          <w:szCs w:val="22"/>
          <w:lang w:val="en-GB" w:eastAsia="en-US"/>
        </w:rPr>
        <w:t xml:space="preserve"> </w:t>
      </w:r>
    </w:p>
    <w:p>
      <w:pPr>
        <w:pStyle w:val="style0"/>
        <w:spacing w:after="160" w:lineRule="auto" w:line="259"/>
        <w:jc w:val="both"/>
        <w:rPr>
          <w:rFonts w:ascii="Calibri" w:hAnsi="Calibri"/>
          <w:sz w:val="22"/>
          <w:szCs w:val="22"/>
          <w:lang w:val="en-GB" w:eastAsia="en-US"/>
        </w:rPr>
      </w:pPr>
    </w:p>
    <w:p>
      <w:pPr>
        <w:pStyle w:val="style1"/>
        <w:rPr>
          <w:b/>
          <w:bCs/>
          <w:lang w:val="en-GB"/>
        </w:rPr>
      </w:pPr>
      <w:r>
        <w:rPr>
          <w:b/>
          <w:bCs/>
          <w:lang w:val="en-GB"/>
        </w:rPr>
        <w:t xml:space="preserve">Price </w:t>
      </w:r>
      <w:r>
        <w:rPr>
          <w:b/>
          <w:bCs/>
          <w:lang w:val="en-GB"/>
        </w:rPr>
        <w:t>Update</w:t>
      </w:r>
    </w:p>
    <w:p>
      <w:pPr>
        <w:pStyle w:val="style0"/>
        <w:spacing w:after="160" w:lineRule="auto" w:line="259"/>
        <w:jc w:val="both"/>
        <w:rPr>
          <w:rFonts w:ascii="Calibri" w:cs="Calibri" w:hAnsi="Calibri"/>
          <w:sz w:val="22"/>
          <w:szCs w:val="22"/>
          <w:lang w:val="en-GB"/>
        </w:rPr>
      </w:pPr>
      <w:r>
        <w:rPr>
          <w:rFonts w:ascii="Calibri" w:cs="Calibri" w:hAnsi="Calibri"/>
          <w:sz w:val="22"/>
          <w:szCs w:val="22"/>
          <w:lang w:val="en-GB"/>
        </w:rPr>
        <w:t xml:space="preserve">Nigeria’s inflation </w:t>
      </w:r>
      <w:r>
        <w:rPr>
          <w:rFonts w:ascii="Calibri" w:cs="Calibri" w:hAnsi="Calibri"/>
          <w:sz w:val="22"/>
          <w:szCs w:val="22"/>
          <w:lang w:val="en-GB"/>
        </w:rPr>
        <w:t>trajectory</w:t>
      </w:r>
      <w:r>
        <w:rPr>
          <w:rFonts w:ascii="Calibri" w:cs="Calibri" w:hAnsi="Calibri"/>
          <w:sz w:val="22"/>
          <w:szCs w:val="22"/>
          <w:lang w:val="en-GB"/>
        </w:rPr>
        <w:t xml:space="preserve"> in March 2026 reflected a temporary interruption in the disinflation trend observed in previous months, as renewed cost pressures pushed headline inflation upward for the first time in eleven months. Headline inflation increased to 15.38 per cent in March 2026, from 15.06 per cent in February, representing an increase of 0.32 percentage points. Similarly, month-on-month headline inflation accelerated sharply to 4.18 per cent in March, compared with 2.01 per cent in February, indicating a significant increase in the average price level of goods and services during the review period. The twelve-month average inflation rate also rose to 20.05 per cent, from 18.58 per cent recorded in the corresponding period of 2025, underscoring the persistence of underlying inflationary pressures.</w:t>
      </w:r>
    </w:p>
    <w:p>
      <w:pPr>
        <w:pStyle w:val="style0"/>
        <w:spacing w:after="160" w:lineRule="auto" w:line="259"/>
        <w:jc w:val="both"/>
        <w:rPr>
          <w:rFonts w:ascii="Calibri" w:cs="Calibri" w:hAnsi="Calibri"/>
          <w:sz w:val="22"/>
          <w:szCs w:val="22"/>
          <w:lang w:val="en-GB"/>
        </w:rPr>
      </w:pPr>
      <w:r>
        <w:rPr>
          <w:rFonts w:ascii="Calibri" w:cs="Calibri" w:hAnsi="Calibri"/>
          <w:sz w:val="22"/>
          <w:szCs w:val="22"/>
          <w:lang w:val="en-GB"/>
        </w:rPr>
        <w:t xml:space="preserve">The renewed inflationary pressures were largely driven by external developments, particularly the escalation of geopolitical tensions in the Middle East following the February 2026 conflict involving the United States, Israel, and Iran. The conflict triggered a sharp rise in global crude oil prices, with Brent crude increasing above US$109 per barrel from US$60.85 at end-December 2025, while WTI crude exceeded US$102 per barrel from US$57.95 over the same period. The resulting increase in global energy prices transmitted into the domestic economy through higher fuel, </w:t>
      </w:r>
      <w:r>
        <w:rPr>
          <w:rFonts w:ascii="Calibri" w:cs="Calibri" w:hAnsi="Calibri"/>
          <w:sz w:val="22"/>
          <w:szCs w:val="22"/>
          <w:lang w:val="en-GB"/>
        </w:rPr>
        <w:t>transportation, logistics, and hospitality costs. These pressures were further amplified by exchange rate depreciation, as the naira weakened by 1.68 per cent at the Nigerian Foreign Exchange Market (NFEM) window to ₦1,386.72/US$ and by 1.41 per cent in the parallel market to ₦1,420/US$ during the review period.</w:t>
      </w:r>
    </w:p>
    <w:p>
      <w:pPr>
        <w:pStyle w:val="style0"/>
        <w:spacing w:after="160" w:lineRule="auto" w:line="259"/>
        <w:jc w:val="both"/>
        <w:rPr>
          <w:rFonts w:ascii="Calibri" w:hAnsi="Calibri"/>
          <w:sz w:val="22"/>
          <w:szCs w:val="22"/>
          <w:lang w:val="en-GB" w:eastAsia="en-US"/>
        </w:rPr>
      </w:pPr>
      <w:r>
        <w:rPr>
          <w:rFonts w:ascii="Calibri" w:cs="Calibri" w:hAnsi="Calibri"/>
          <w:sz w:val="22"/>
          <w:szCs w:val="22"/>
          <w:lang w:val="en-GB"/>
        </w:rPr>
        <w:t>F</w:t>
      </w:r>
      <w:r>
        <w:rPr>
          <w:rFonts w:ascii="Calibri" w:hAnsi="Calibri"/>
          <w:i/>
          <w:iCs/>
          <w:color w:val="2f5496"/>
          <w:sz w:val="20"/>
          <w:szCs w:val="18"/>
        </w:rPr>
        <w:t>igure</w:t>
      </w:r>
      <w:r>
        <w:rPr>
          <w:rFonts w:ascii="Calibri" w:hAnsi="Calibri"/>
          <w:i/>
          <w:iCs/>
          <w:color w:val="2f5496"/>
          <w:sz w:val="20"/>
          <w:szCs w:val="18"/>
        </w:rPr>
        <w:t xml:space="preserve"> </w:t>
      </w:r>
      <w:r>
        <w:rPr>
          <w:rFonts w:ascii="Calibri" w:hAnsi="Calibri"/>
          <w:i/>
          <w:iCs/>
          <w:color w:val="2f5496"/>
          <w:sz w:val="20"/>
          <w:szCs w:val="18"/>
          <w:lang w:val="en-GB"/>
        </w:rPr>
        <w:t>6</w:t>
      </w:r>
      <w:r>
        <w:rPr>
          <w:rFonts w:ascii="Calibri" w:hAnsi="Calibri"/>
          <w:i/>
          <w:iCs/>
          <w:color w:val="2f5496"/>
          <w:sz w:val="20"/>
          <w:szCs w:val="18"/>
        </w:rPr>
        <w:t xml:space="preserve">: </w:t>
      </w:r>
      <w:r>
        <w:rPr>
          <w:rFonts w:ascii="Calibri" w:hAnsi="Calibri"/>
          <w:i/>
          <w:iCs/>
          <w:color w:val="2f5496"/>
          <w:sz w:val="20"/>
          <w:szCs w:val="18"/>
          <w:lang w:val="en-GB"/>
        </w:rPr>
        <w:t>Year-on-Year Headline, Food and Core Inflation in Nigeria (Mar. 2025 – Mar. 2026)</w:t>
      </w:r>
    </w:p>
    <w:p>
      <w:pPr>
        <w:pStyle w:val="style0"/>
        <w:spacing w:after="160" w:lineRule="auto" w:line="259"/>
        <w:jc w:val="both"/>
        <w:rPr>
          <w:rFonts w:ascii="Calibri" w:cs="Calibri" w:hAnsi="Calibri"/>
          <w:sz w:val="22"/>
          <w:szCs w:val="22"/>
          <w:lang w:val="en-GB"/>
        </w:rPr>
      </w:pPr>
      <w:r>
        <w:rPr>
          <w:rFonts w:ascii="Calibri" w:cs="Calibri" w:hAnsi="Calibri"/>
          <w:noProof/>
          <w:sz w:val="22"/>
          <w:szCs w:val="22"/>
          <w:lang w:val="en-GB"/>
        </w:rPr>
        <w:drawing>
          <wp:inline distL="0" distT="0" distB="0" distR="0">
            <wp:extent cx="2997200" cy="2305050"/>
            <wp:effectExtent l="0" t="0" r="0" b="0"/>
            <wp:docPr id="1033"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3"/>
                    <pic:cNvPicPr/>
                  </pic:nvPicPr>
                  <pic:blipFill>
                    <a:blip r:embed="rId14" cstate="print"/>
                    <a:srcRect l="0" t="0" r="0" b="0"/>
                    <a:stretch/>
                  </pic:blipFill>
                  <pic:spPr>
                    <a:xfrm rot="0">
                      <a:off x="0" y="0"/>
                      <a:ext cx="2997200" cy="2305050"/>
                    </a:xfrm>
                    <a:prstGeom prst="rect"/>
                  </pic:spPr>
                </pic:pic>
              </a:graphicData>
            </a:graphic>
          </wp:inline>
        </w:drawing>
      </w:r>
    </w:p>
    <w:p>
      <w:pPr>
        <w:pStyle w:val="style0"/>
        <w:spacing w:after="160" w:lineRule="auto" w:line="259"/>
        <w:jc w:val="both"/>
        <w:rPr>
          <w:rFonts w:ascii="Calibri" w:hAnsi="Calibri"/>
          <w:color w:val="2f5496"/>
          <w:sz w:val="18"/>
          <w:szCs w:val="16"/>
        </w:rPr>
      </w:pPr>
      <w:r>
        <w:rPr>
          <w:rFonts w:ascii="Calibri" w:hAnsi="Calibri"/>
          <w:b/>
          <w:bCs/>
          <w:color w:val="2f5496"/>
          <w:sz w:val="18"/>
          <w:szCs w:val="16"/>
        </w:rPr>
        <w:t xml:space="preserve">Source: </w:t>
      </w:r>
      <w:r>
        <w:rPr>
          <w:rFonts w:ascii="Calibri" w:hAnsi="Calibri"/>
          <w:color w:val="2f5496"/>
          <w:sz w:val="18"/>
          <w:szCs w:val="16"/>
        </w:rPr>
        <w:t>National Bureau of Statistics (NBS</w:t>
      </w:r>
    </w:p>
    <w:p>
      <w:pPr>
        <w:pStyle w:val="style0"/>
        <w:spacing w:after="160" w:lineRule="auto" w:line="259"/>
        <w:jc w:val="both"/>
        <w:rPr>
          <w:rFonts w:ascii="Calibri" w:cs="Calibri" w:hAnsi="Calibri"/>
          <w:sz w:val="22"/>
          <w:szCs w:val="22"/>
          <w:lang w:val="en-GB"/>
        </w:rPr>
      </w:pPr>
      <w:r>
        <w:rPr>
          <w:rFonts w:ascii="Calibri" w:cs="Calibri" w:hAnsi="Calibri"/>
          <w:sz w:val="22"/>
          <w:szCs w:val="22"/>
          <w:lang w:val="en-GB"/>
        </w:rPr>
        <w:t>Food inflation showed mixed developments in March 2026. On a year-on-year basis, food inflation moderated significantly to 14.31 per cent, compared with 25.22 per cent in March 2025, indicating improved price conditions relative to the previous year. However, on a month-on-month basis, food inflation remained elevated at 4.17 per cent, although slightly lower than the 4.69 per cent recorded in February, reflecting continued pressures from transportation costs, distribution bottlenecks, and supply constraints affecting key food items.</w:t>
      </w:r>
    </w:p>
    <w:p>
      <w:pPr>
        <w:pStyle w:val="style0"/>
        <w:spacing w:after="160" w:lineRule="auto" w:line="259"/>
        <w:jc w:val="both"/>
        <w:rPr>
          <w:rFonts w:ascii="Calibri" w:cs="Calibri" w:hAnsi="Calibri"/>
          <w:sz w:val="22"/>
          <w:szCs w:val="22"/>
          <w:lang w:val="en-GB"/>
        </w:rPr>
      </w:pPr>
      <w:r>
        <w:rPr>
          <w:rFonts w:ascii="Calibri" w:cs="Calibri" w:hAnsi="Calibri"/>
          <w:sz w:val="22"/>
          <w:szCs w:val="22"/>
          <w:lang w:val="en-GB"/>
        </w:rPr>
        <w:t xml:space="preserve">Core inflation also indicated renewed underlying price pressures. On a year-on-year basis, core inflation rose to 16.21 per cent, but remained significantly below the 27.12 per cent recorded in March 2025. On a month-on-month basis, however, core inflation accelerated sharply to 4.03 per cent from 0.89 per cent in February, suggesting increasing price pressures across non-food components, particularly transportation, energy-related services, housing, and hospitality. </w:t>
      </w:r>
    </w:p>
    <w:p>
      <w:pPr>
        <w:pStyle w:val="style0"/>
        <w:spacing w:after="160" w:lineRule="auto" w:line="259"/>
        <w:jc w:val="both"/>
        <w:rPr>
          <w:rFonts w:ascii="Calibri" w:cs="Calibri" w:hAnsi="Calibri"/>
          <w:sz w:val="22"/>
          <w:szCs w:val="22"/>
          <w:lang w:val="en-GB"/>
        </w:rPr>
      </w:pPr>
      <w:r>
        <w:rPr>
          <w:rFonts w:ascii="Calibri" w:cs="Calibri" w:hAnsi="Calibri"/>
          <w:sz w:val="22"/>
          <w:szCs w:val="22"/>
          <w:lang w:val="en-GB"/>
        </w:rPr>
        <w:t>In conclusion, inflation developments in March 2026 indicate that while the broader disinflation trend remains relatively intact on a year-on-year basis, short-term price pressures strengthened considerably during the month. The renewed acceleration in both headline and core month-on-month inflation suggests that macroeconomic stability remains vulnerable to external shocks, particularly oil price volatility and exchange rate pressures. Nonetheless, the recent uptick appears largely externally induced, implying that the medium-term inflation outlook will depend significantly on improvements in domestic supply conditions, exchange rate stability, market liquidity, and broader policy coordination.</w:t>
      </w:r>
    </w:p>
    <w:p>
      <w:pPr>
        <w:pStyle w:val="style0"/>
        <w:spacing w:after="160" w:lineRule="auto" w:line="259"/>
        <w:jc w:val="both"/>
        <w:rPr>
          <w:rFonts w:ascii="Calibri" w:hAnsi="Calibri"/>
          <w:sz w:val="22"/>
          <w:szCs w:val="22"/>
          <w:lang w:val="en-GB" w:eastAsia="en-US"/>
        </w:rPr>
      </w:pPr>
    </w:p>
    <w:p>
      <w:pPr>
        <w:pStyle w:val="style1"/>
        <w:rPr>
          <w:b/>
          <w:bCs/>
          <w:lang w:val="en-GB"/>
        </w:rPr>
      </w:pPr>
      <w:r>
        <w:rPr>
          <w:b/>
          <w:bCs/>
          <w:lang w:val="en-GB"/>
        </w:rPr>
        <w:t>Fiscal Operations Update</w:t>
      </w:r>
    </w:p>
    <w:p>
      <w:pPr>
        <w:pStyle w:val="style157"/>
        <w:jc w:val="both"/>
        <w:rPr/>
      </w:pPr>
      <w:r>
        <w:t xml:space="preserve">The fiscal operations of the Nigerian government improved moderately in March 2026, as Federation Account inflows strengthened relative to the previous month, supported largely by higher statutory revenue collections. The Federation Account Allocation Committee (FAAC) disbursed a total of ₦2.04 trillion to the three tiers of government in </w:t>
      </w:r>
      <w:r>
        <w:rPr>
          <w:lang w:val="en-GB"/>
        </w:rPr>
        <w:t>April</w:t>
      </w:r>
      <w:r>
        <w:t xml:space="preserve"> 2026</w:t>
      </w:r>
      <w:r>
        <w:rPr>
          <w:lang w:val="en-GB"/>
        </w:rPr>
        <w:t xml:space="preserve"> for revenue collected in March</w:t>
      </w:r>
      <w:r>
        <w:t xml:space="preserve">, representing an increase of about ₦150 billion compared with the ₦1.89 trillion distributed in </w:t>
      </w:r>
      <w:r>
        <w:rPr>
          <w:lang w:val="en-GB"/>
        </w:rPr>
        <w:t>March</w:t>
      </w:r>
      <w:r>
        <w:t xml:space="preserve"> 2026. The improvement in distributable revenue reflects stronger inflows from statutory sources, despite continued volatility in oil-related revenues and a marginal decline in Value Added Tax (VAT) collections.</w:t>
      </w:r>
    </w:p>
    <w:p>
      <w:pPr>
        <w:pStyle w:val="style157"/>
        <w:jc w:val="both"/>
        <w:rPr/>
      </w:pPr>
    </w:p>
    <w:p>
      <w:pPr>
        <w:pStyle w:val="style157"/>
        <w:jc w:val="both"/>
        <w:rPr/>
      </w:pPr>
      <w:r>
        <w:t>The total distributable revenue was derived from gross Federation revenue of ₦2.364 trillion. From this amount, ₦81.08 billion was deducted as cost of collection, while ₦246.87 billion was allocated to transfers, refunds, and savings. The relatively high level of deductions and transfers, accounting for over 13 per cent of gross inflows, highlights the significant statutory obligations that continue to reduce net distributable revenue available to the three tiers of government.</w:t>
      </w:r>
    </w:p>
    <w:p>
      <w:pPr>
        <w:pStyle w:val="style157"/>
        <w:jc w:val="both"/>
        <w:rPr/>
      </w:pPr>
    </w:p>
    <w:p>
      <w:pPr>
        <w:pStyle w:val="style157"/>
        <w:jc w:val="both"/>
        <w:rPr/>
      </w:pPr>
      <w:r>
        <w:t xml:space="preserve">From the distributable pool, the Federal Government received ₦789.16 billion, representing about 38.8 per cent of total allocations, while State Governments received </w:t>
      </w:r>
      <w:r>
        <w:t>₦657.60 billion, and Local Government Councils received ₦468.83 billion. Oil-producing states also received ₦120.76 billion as 13 per cent derivation revenue. Compared with the previous month, allocations to the Federal Government and oil-producing states increased significantly, reflecting the improvement in statutory inflows during the period.</w:t>
      </w:r>
    </w:p>
    <w:tbl>
      <w:tblPr>
        <w:tblpPr w:leftFromText="180" w:rightFromText="180" w:topFromText="0" w:bottomFromText="0" w:vertAnchor="text" w:tblpXSpec="left" w:tblpY="119"/>
        <w:tblW w:w="4604" w:type="dxa"/>
        <w:tblBorders>
          <w:bottom w:val="single" w:sz="4" w:space="0" w:color="000000"/>
        </w:tblBorders>
        <w:tblLayout w:type="fixed"/>
        <w:tblLook w:val="04A0" w:firstRow="1" w:lastRow="0" w:firstColumn="1" w:lastColumn="0" w:noHBand="0" w:noVBand="1"/>
      </w:tblPr>
      <w:tblGrid>
        <w:gridCol w:w="709"/>
        <w:gridCol w:w="1413"/>
        <w:gridCol w:w="1275"/>
        <w:gridCol w:w="1207"/>
      </w:tblGrid>
      <w:tr>
        <w:trPr>
          <w:trHeight w:val="200" w:hRule="atLeast"/>
        </w:trPr>
        <w:tc>
          <w:tcPr>
            <w:tcW w:w="4604" w:type="dxa"/>
            <w:gridSpan w:val="4"/>
            <w:tcBorders>
              <w:bottom w:val="single" w:sz="4" w:space="0" w:color="000000"/>
            </w:tcBorders>
          </w:tcPr>
          <w:p>
            <w:pPr>
              <w:pStyle w:val="style0"/>
              <w:spacing w:lineRule="auto" w:line="259"/>
              <w:ind w:left="993" w:hanging="993"/>
              <w:jc w:val="both"/>
              <w:rPr>
                <w:rFonts w:ascii="Calibri" w:hAnsi="Calibri"/>
                <w:b/>
                <w:bCs/>
                <w:color w:val="000000"/>
                <w:sz w:val="20"/>
                <w:szCs w:val="20"/>
              </w:rPr>
            </w:pPr>
            <w:r>
              <w:rPr>
                <w:rFonts w:ascii="Calibri" w:hAnsi="Calibri"/>
                <w:b/>
                <w:bCs/>
                <w:i/>
                <w:color w:val="2f5496"/>
                <w:sz w:val="18"/>
                <w:szCs w:val="18"/>
              </w:rPr>
              <w:t xml:space="preserve">Table </w:t>
            </w:r>
            <w:r>
              <w:rPr>
                <w:rFonts w:ascii="Calibri" w:hAnsi="Calibri"/>
                <w:b/>
                <w:bCs/>
                <w:i/>
                <w:color w:val="2f5496"/>
                <w:sz w:val="18"/>
                <w:szCs w:val="18"/>
                <w:lang w:val="en-GB"/>
              </w:rPr>
              <w:t>1</w:t>
            </w:r>
            <w:r>
              <w:rPr>
                <w:rFonts w:ascii="Calibri" w:hAnsi="Calibri"/>
                <w:b/>
                <w:bCs/>
                <w:i/>
                <w:color w:val="2f5496"/>
                <w:sz w:val="18"/>
                <w:szCs w:val="18"/>
              </w:rPr>
              <w:t xml:space="preserve">: Highlight of </w:t>
            </w:r>
            <w:r>
              <w:rPr>
                <w:rFonts w:ascii="Calibri" w:hAnsi="Calibri"/>
                <w:b/>
                <w:bCs/>
                <w:i/>
                <w:color w:val="2f5496"/>
                <w:sz w:val="18"/>
                <w:szCs w:val="18"/>
                <w:lang w:val="en-GB"/>
              </w:rPr>
              <w:t xml:space="preserve">April </w:t>
            </w:r>
            <w:r>
              <w:rPr>
                <w:rFonts w:ascii="Calibri" w:hAnsi="Calibri"/>
                <w:b/>
                <w:bCs/>
                <w:i/>
                <w:color w:val="2f5496"/>
                <w:sz w:val="18"/>
                <w:szCs w:val="18"/>
              </w:rPr>
              <w:t>202</w:t>
            </w:r>
            <w:r>
              <w:rPr>
                <w:rFonts w:ascii="Calibri" w:hAnsi="Calibri"/>
                <w:b/>
                <w:bCs/>
                <w:i/>
                <w:color w:val="2f5496"/>
                <w:sz w:val="18"/>
                <w:szCs w:val="18"/>
                <w:lang w:val="en-GB"/>
              </w:rPr>
              <w:t xml:space="preserve">6 </w:t>
            </w:r>
            <w:r>
              <w:rPr>
                <w:rFonts w:ascii="Calibri" w:hAnsi="Calibri"/>
                <w:b/>
                <w:bCs/>
                <w:i/>
                <w:color w:val="2f5496"/>
                <w:sz w:val="18"/>
                <w:szCs w:val="18"/>
              </w:rPr>
              <w:t xml:space="preserve">FAAC </w:t>
            </w:r>
            <w:r>
              <w:rPr>
                <w:rFonts w:ascii="Calibri" w:hAnsi="Calibri"/>
                <w:b/>
                <w:bCs/>
                <w:i/>
                <w:color w:val="2f5496"/>
                <w:sz w:val="18"/>
                <w:szCs w:val="18"/>
              </w:rPr>
              <w:t>Distr</w:t>
            </w:r>
            <w:r>
              <w:rPr>
                <w:rFonts w:ascii="Calibri" w:hAnsi="Calibri"/>
                <w:b/>
                <w:bCs/>
                <w:i/>
                <w:color w:val="2f5496"/>
                <w:sz w:val="18"/>
                <w:szCs w:val="18"/>
              </w:rPr>
              <w:t xml:space="preserve"> (</w:t>
            </w:r>
            <w:r>
              <w:rPr>
                <w:rFonts w:ascii="Calibri" w:hAnsi="Calibri"/>
                <w:b/>
                <w:bCs/>
                <w:i/>
                <w:color w:val="2f5496"/>
                <w:sz w:val="18"/>
                <w:szCs w:val="18"/>
              </w:rPr>
              <w:t>N’billion</w:t>
            </w:r>
            <w:r>
              <w:rPr>
                <w:rFonts w:ascii="Calibri" w:hAnsi="Calibri"/>
                <w:b/>
                <w:bCs/>
                <w:i/>
                <w:color w:val="2f5496"/>
                <w:sz w:val="18"/>
                <w:szCs w:val="18"/>
              </w:rPr>
              <w:t>)</w:t>
            </w:r>
          </w:p>
        </w:tc>
      </w:tr>
      <w:tr>
        <w:tblPrEx/>
        <w:trPr>
          <w:trHeight w:val="200" w:hRule="atLeast"/>
        </w:trPr>
        <w:tc>
          <w:tcPr>
            <w:tcW w:w="709" w:type="dxa"/>
            <w:tcBorders>
              <w:top w:val="single" w:sz="4" w:space="0" w:color="000000"/>
              <w:bottom w:val="single" w:sz="4" w:space="0" w:color="000000"/>
            </w:tcBorders>
          </w:tcPr>
          <w:p>
            <w:pPr>
              <w:pStyle w:val="style0"/>
              <w:rPr>
                <w:rFonts w:ascii="Calibri" w:hAnsi="Calibri"/>
                <w:b/>
                <w:color w:val="c55911"/>
              </w:rPr>
            </w:pPr>
          </w:p>
        </w:tc>
        <w:tc>
          <w:tcPr>
            <w:tcW w:w="1413" w:type="dxa"/>
            <w:tcBorders>
              <w:top w:val="nil"/>
              <w:left w:val="nil"/>
              <w:bottom w:val="single" w:sz="8" w:space="0" w:color="000000"/>
              <w:right w:val="nil"/>
            </w:tcBorders>
            <w:vAlign w:val="center"/>
          </w:tcPr>
          <w:p>
            <w:pPr>
              <w:pStyle w:val="style0"/>
              <w:jc w:val="center"/>
              <w:rPr>
                <w:rFonts w:ascii="Calibri" w:hAnsi="Calibri"/>
                <w:b/>
                <w:color w:val="c55911"/>
                <w:lang w:val="en-GB"/>
              </w:rPr>
            </w:pPr>
            <w:r>
              <w:rPr>
                <w:rFonts w:ascii="Calibri" w:cs="Calibri" w:hAnsi="Calibri"/>
                <w:b/>
                <w:bCs/>
                <w:color w:val="c55911"/>
                <w:sz w:val="22"/>
                <w:szCs w:val="22"/>
                <w:lang w:val="en-GB"/>
              </w:rPr>
              <w:t>April 2026</w:t>
            </w:r>
          </w:p>
        </w:tc>
        <w:tc>
          <w:tcPr>
            <w:tcW w:w="1275" w:type="dxa"/>
            <w:tcBorders>
              <w:top w:val="nil"/>
              <w:left w:val="nil"/>
              <w:bottom w:val="single" w:sz="8" w:space="0" w:color="000000"/>
              <w:right w:val="nil"/>
            </w:tcBorders>
            <w:vAlign w:val="center"/>
          </w:tcPr>
          <w:p>
            <w:pPr>
              <w:pStyle w:val="style0"/>
              <w:jc w:val="center"/>
              <w:rPr>
                <w:rFonts w:ascii="Calibri" w:hAnsi="Calibri"/>
                <w:b/>
                <w:color w:val="c55911"/>
              </w:rPr>
            </w:pPr>
            <w:r>
              <w:rPr>
                <w:rFonts w:ascii="Calibri" w:cs="Calibri" w:hAnsi="Calibri"/>
                <w:b/>
                <w:bCs/>
                <w:color w:val="c55911"/>
                <w:sz w:val="22"/>
                <w:szCs w:val="22"/>
                <w:lang w:val="en-GB"/>
              </w:rPr>
              <w:t>Mar 2026</w:t>
            </w:r>
          </w:p>
        </w:tc>
        <w:tc>
          <w:tcPr>
            <w:tcW w:w="1207" w:type="dxa"/>
            <w:tcBorders>
              <w:top w:val="single" w:sz="4" w:space="0" w:color="000000"/>
              <w:bottom w:val="single" w:sz="4" w:space="0" w:color="000000"/>
            </w:tcBorders>
            <w:vAlign w:val="bottom"/>
          </w:tcPr>
          <w:p>
            <w:pPr>
              <w:pStyle w:val="style0"/>
              <w:jc w:val="center"/>
              <w:rPr>
                <w:rFonts w:ascii="Calibri" w:hAnsi="Calibri"/>
                <w:b/>
                <w:color w:val="c55911"/>
              </w:rPr>
            </w:pPr>
            <w:r>
              <w:rPr>
                <w:rFonts w:ascii="Calibri" w:hAnsi="Calibri"/>
                <w:b/>
                <w:color w:val="c55911"/>
                <w:sz w:val="22"/>
                <w:szCs w:val="22"/>
              </w:rPr>
              <w:t>% Change</w:t>
            </w:r>
          </w:p>
        </w:tc>
      </w:tr>
      <w:tr>
        <w:tblPrEx/>
        <w:trPr>
          <w:trHeight w:val="139" w:hRule="atLeast"/>
        </w:trPr>
        <w:tc>
          <w:tcPr>
            <w:tcW w:w="709" w:type="dxa"/>
            <w:tcBorders>
              <w:top w:val="nil"/>
              <w:left w:val="nil"/>
              <w:bottom w:val="nil"/>
              <w:right w:val="nil"/>
            </w:tcBorders>
            <w:vAlign w:val="center"/>
          </w:tcPr>
          <w:p>
            <w:pPr>
              <w:pStyle w:val="style0"/>
              <w:rPr>
                <w:rFonts w:ascii="Calibri" w:hAnsi="Calibri"/>
                <w:i/>
                <w:color w:val="000000"/>
              </w:rPr>
            </w:pPr>
            <w:r>
              <w:rPr>
                <w:rFonts w:ascii="Calibri" w:cs="Calibri" w:hAnsi="Calibri" w:hint="eastAsia"/>
                <w:i/>
                <w:iCs/>
                <w:color w:val="000000"/>
                <w:sz w:val="22"/>
                <w:szCs w:val="22"/>
                <w:lang w:eastAsia="zh-CN"/>
              </w:rPr>
              <w:t>Fed.</w:t>
            </w:r>
          </w:p>
        </w:tc>
        <w:tc>
          <w:tcPr>
            <w:tcW w:w="1413" w:type="dxa"/>
            <w:tcBorders>
              <w:top w:val="nil"/>
              <w:left w:val="nil"/>
              <w:bottom w:val="nil"/>
              <w:right w:val="nil"/>
            </w:tcBorders>
            <w:vAlign w:val="center"/>
          </w:tcPr>
          <w:p>
            <w:pPr>
              <w:pStyle w:val="style0"/>
              <w:jc w:val="center"/>
              <w:rPr>
                <w:rFonts w:ascii="Calibri" w:hAnsi="Calibri"/>
                <w:i/>
                <w:iCs/>
                <w:color w:val="000000"/>
                <w:lang w:val="en-GB"/>
              </w:rPr>
            </w:pPr>
            <w:r>
              <w:rPr>
                <w:rFonts w:ascii="Calibri" w:cs="Calibri" w:hAnsi="Calibri"/>
                <w:i/>
                <w:iCs/>
                <w:color w:val="000000"/>
                <w:sz w:val="22"/>
                <w:szCs w:val="22"/>
                <w:lang w:val="en-GB"/>
              </w:rPr>
              <w:t>789.16</w:t>
            </w:r>
          </w:p>
        </w:tc>
        <w:tc>
          <w:tcPr>
            <w:tcW w:w="1275" w:type="dxa"/>
            <w:tcBorders>
              <w:top w:val="nil"/>
              <w:left w:val="nil"/>
              <w:bottom w:val="nil"/>
              <w:right w:val="nil"/>
            </w:tcBorders>
            <w:vAlign w:val="center"/>
          </w:tcPr>
          <w:p>
            <w:pPr>
              <w:pStyle w:val="style0"/>
              <w:jc w:val="center"/>
              <w:rPr>
                <w:rFonts w:ascii="Calibri" w:hAnsi="Calibri"/>
                <w:i/>
                <w:color w:val="000000"/>
              </w:rPr>
            </w:pPr>
            <w:r>
              <w:rPr>
                <w:rFonts w:ascii="Calibri" w:cs="Calibri" w:hAnsi="Calibri"/>
                <w:i/>
                <w:iCs/>
                <w:color w:val="000000"/>
                <w:sz w:val="22"/>
                <w:szCs w:val="22"/>
                <w:lang w:val="en-GB"/>
              </w:rPr>
              <w:t>675.09</w:t>
            </w:r>
          </w:p>
        </w:tc>
        <w:tc>
          <w:tcPr>
            <w:tcW w:w="1207" w:type="dxa"/>
            <w:tcBorders>
              <w:top w:val="nil"/>
              <w:left w:val="nil"/>
              <w:bottom w:val="nil"/>
              <w:right w:val="nil"/>
            </w:tcBorders>
            <w:vAlign w:val="center"/>
          </w:tcPr>
          <w:p>
            <w:pPr>
              <w:pStyle w:val="style0"/>
              <w:jc w:val="center"/>
              <w:textAlignment w:val="center"/>
              <w:rPr>
                <w:rFonts w:ascii="Calibri" w:cs="Calibri" w:hAnsi="Calibri"/>
                <w:b/>
                <w:bCs/>
                <w:i/>
                <w:iCs/>
                <w:color w:val="000000"/>
                <w:sz w:val="22"/>
                <w:szCs w:val="22"/>
              </w:rPr>
            </w:pPr>
            <w:r>
              <w:rPr>
                <w:rFonts w:ascii="Calibri" w:cs="Calibri" w:eastAsia="SimSun" w:hAnsi="Calibri"/>
                <w:b/>
                <w:bCs/>
                <w:i/>
                <w:iCs/>
                <w:color w:val="000000"/>
                <w:sz w:val="22"/>
                <w:szCs w:val="22"/>
                <w:lang w:val="en-US" w:eastAsia="zh-CN"/>
              </w:rPr>
              <w:t>16.90</w:t>
            </w:r>
          </w:p>
        </w:tc>
      </w:tr>
      <w:tr>
        <w:tblPrEx/>
        <w:trPr>
          <w:trHeight w:val="139" w:hRule="atLeast"/>
        </w:trPr>
        <w:tc>
          <w:tcPr>
            <w:tcW w:w="709" w:type="dxa"/>
            <w:tcBorders>
              <w:top w:val="nil"/>
              <w:left w:val="nil"/>
              <w:bottom w:val="nil"/>
              <w:right w:val="nil"/>
            </w:tcBorders>
            <w:vAlign w:val="center"/>
          </w:tcPr>
          <w:p>
            <w:pPr>
              <w:pStyle w:val="style0"/>
              <w:rPr>
                <w:rFonts w:ascii="Calibri" w:hAnsi="Calibri"/>
                <w:i/>
                <w:color w:val="000000"/>
              </w:rPr>
            </w:pPr>
            <w:r>
              <w:rPr>
                <w:rFonts w:ascii="Calibri" w:cs="Calibri" w:hAnsi="Calibri" w:hint="eastAsia"/>
                <w:i/>
                <w:iCs/>
                <w:color w:val="000000"/>
                <w:sz w:val="22"/>
                <w:szCs w:val="22"/>
                <w:lang w:eastAsia="zh-CN"/>
              </w:rPr>
              <w:t>State</w:t>
            </w:r>
          </w:p>
        </w:tc>
        <w:tc>
          <w:tcPr>
            <w:tcW w:w="1413" w:type="dxa"/>
            <w:tcBorders>
              <w:top w:val="nil"/>
              <w:left w:val="nil"/>
              <w:bottom w:val="nil"/>
              <w:right w:val="nil"/>
            </w:tcBorders>
            <w:vAlign w:val="center"/>
          </w:tcPr>
          <w:p>
            <w:pPr>
              <w:pStyle w:val="style0"/>
              <w:jc w:val="center"/>
              <w:rPr>
                <w:rFonts w:ascii="Calibri" w:hAnsi="Calibri"/>
                <w:i/>
                <w:iCs/>
                <w:color w:val="000000"/>
                <w:lang w:val="en-GB"/>
              </w:rPr>
            </w:pPr>
            <w:r>
              <w:rPr>
                <w:rFonts w:ascii="Calibri" w:cs="Calibri" w:hAnsi="Calibri"/>
                <w:i/>
                <w:iCs/>
                <w:color w:val="000000"/>
                <w:sz w:val="22"/>
                <w:szCs w:val="22"/>
                <w:lang w:val="en-GB"/>
              </w:rPr>
              <w:t>657.60</w:t>
            </w:r>
          </w:p>
        </w:tc>
        <w:tc>
          <w:tcPr>
            <w:tcW w:w="1275" w:type="dxa"/>
            <w:tcBorders>
              <w:top w:val="nil"/>
              <w:left w:val="nil"/>
              <w:bottom w:val="nil"/>
              <w:right w:val="nil"/>
            </w:tcBorders>
            <w:vAlign w:val="center"/>
          </w:tcPr>
          <w:p>
            <w:pPr>
              <w:pStyle w:val="style0"/>
              <w:jc w:val="center"/>
              <w:rPr>
                <w:rFonts w:ascii="Calibri" w:hAnsi="Calibri"/>
                <w:i/>
                <w:color w:val="000000"/>
              </w:rPr>
            </w:pPr>
            <w:r>
              <w:rPr>
                <w:rFonts w:ascii="Calibri" w:cs="Calibri" w:hAnsi="Calibri"/>
                <w:i/>
                <w:iCs/>
                <w:color w:val="000000"/>
                <w:sz w:val="22"/>
                <w:szCs w:val="22"/>
                <w:lang w:val="en-GB"/>
              </w:rPr>
              <w:t>651.53</w:t>
            </w:r>
          </w:p>
        </w:tc>
        <w:tc>
          <w:tcPr>
            <w:tcW w:w="1207" w:type="dxa"/>
            <w:tcBorders>
              <w:top w:val="nil"/>
              <w:left w:val="nil"/>
              <w:bottom w:val="nil"/>
              <w:right w:val="nil"/>
            </w:tcBorders>
            <w:vAlign w:val="center"/>
          </w:tcPr>
          <w:p>
            <w:pPr>
              <w:pStyle w:val="style0"/>
              <w:jc w:val="center"/>
              <w:textAlignment w:val="center"/>
              <w:rPr>
                <w:rFonts w:ascii="Calibri" w:cs="Calibri" w:hAnsi="Calibri"/>
                <w:b/>
                <w:bCs/>
                <w:i/>
                <w:iCs/>
                <w:color w:val="000000"/>
                <w:sz w:val="22"/>
                <w:szCs w:val="22"/>
              </w:rPr>
            </w:pPr>
            <w:r>
              <w:rPr>
                <w:rFonts w:ascii="Calibri" w:cs="Calibri" w:eastAsia="SimSun" w:hAnsi="Calibri"/>
                <w:b/>
                <w:bCs/>
                <w:i/>
                <w:iCs/>
                <w:color w:val="000000"/>
                <w:sz w:val="22"/>
                <w:szCs w:val="22"/>
                <w:lang w:val="en-US" w:eastAsia="zh-CN"/>
              </w:rPr>
              <w:t>0.93</w:t>
            </w:r>
          </w:p>
        </w:tc>
      </w:tr>
      <w:tr>
        <w:tblPrEx/>
        <w:trPr>
          <w:trHeight w:val="139" w:hRule="atLeast"/>
        </w:trPr>
        <w:tc>
          <w:tcPr>
            <w:tcW w:w="709" w:type="dxa"/>
            <w:tcBorders>
              <w:top w:val="nil"/>
              <w:left w:val="nil"/>
              <w:bottom w:val="nil"/>
              <w:right w:val="nil"/>
            </w:tcBorders>
            <w:vAlign w:val="center"/>
          </w:tcPr>
          <w:p>
            <w:pPr>
              <w:pStyle w:val="style0"/>
              <w:rPr>
                <w:rFonts w:ascii="Calibri" w:hAnsi="Calibri"/>
                <w:i/>
                <w:color w:val="000000"/>
              </w:rPr>
            </w:pPr>
            <w:r>
              <w:rPr>
                <w:rFonts w:ascii="Calibri" w:cs="Calibri" w:hAnsi="Calibri" w:hint="eastAsia"/>
                <w:i/>
                <w:iCs/>
                <w:color w:val="000000"/>
                <w:sz w:val="22"/>
                <w:szCs w:val="22"/>
                <w:lang w:eastAsia="zh-CN"/>
              </w:rPr>
              <w:t>LG</w:t>
            </w:r>
          </w:p>
        </w:tc>
        <w:tc>
          <w:tcPr>
            <w:tcW w:w="1413" w:type="dxa"/>
            <w:tcBorders>
              <w:top w:val="nil"/>
              <w:left w:val="nil"/>
              <w:bottom w:val="nil"/>
              <w:right w:val="nil"/>
            </w:tcBorders>
            <w:vAlign w:val="center"/>
          </w:tcPr>
          <w:p>
            <w:pPr>
              <w:pStyle w:val="style0"/>
              <w:jc w:val="center"/>
              <w:rPr>
                <w:rFonts w:ascii="Calibri" w:hAnsi="Calibri"/>
                <w:i/>
                <w:iCs/>
                <w:color w:val="000000"/>
                <w:lang w:val="en-GB"/>
              </w:rPr>
            </w:pPr>
            <w:r>
              <w:rPr>
                <w:rFonts w:ascii="Calibri" w:cs="Calibri" w:hAnsi="Calibri"/>
                <w:i/>
                <w:iCs/>
                <w:color w:val="000000"/>
                <w:sz w:val="22"/>
                <w:szCs w:val="22"/>
                <w:lang w:val="en-GB"/>
              </w:rPr>
              <w:t>468.83</w:t>
            </w:r>
          </w:p>
        </w:tc>
        <w:tc>
          <w:tcPr>
            <w:tcW w:w="1275" w:type="dxa"/>
            <w:tcBorders>
              <w:top w:val="nil"/>
              <w:left w:val="nil"/>
              <w:bottom w:val="nil"/>
              <w:right w:val="nil"/>
            </w:tcBorders>
            <w:vAlign w:val="center"/>
          </w:tcPr>
          <w:p>
            <w:pPr>
              <w:pStyle w:val="style0"/>
              <w:jc w:val="center"/>
              <w:rPr>
                <w:rFonts w:ascii="Calibri" w:hAnsi="Calibri"/>
                <w:i/>
                <w:color w:val="000000"/>
              </w:rPr>
            </w:pPr>
            <w:r>
              <w:rPr>
                <w:rFonts w:ascii="Calibri" w:cs="Calibri" w:hAnsi="Calibri"/>
                <w:i/>
                <w:iCs/>
                <w:color w:val="000000"/>
                <w:sz w:val="22"/>
                <w:szCs w:val="22"/>
                <w:lang w:val="en-GB"/>
              </w:rPr>
              <w:t>456.47</w:t>
            </w:r>
          </w:p>
        </w:tc>
        <w:tc>
          <w:tcPr>
            <w:tcW w:w="1207" w:type="dxa"/>
            <w:tcBorders>
              <w:top w:val="nil"/>
              <w:left w:val="nil"/>
              <w:bottom w:val="nil"/>
              <w:right w:val="nil"/>
            </w:tcBorders>
            <w:vAlign w:val="center"/>
          </w:tcPr>
          <w:p>
            <w:pPr>
              <w:pStyle w:val="style0"/>
              <w:jc w:val="center"/>
              <w:textAlignment w:val="center"/>
              <w:rPr>
                <w:rFonts w:ascii="Calibri" w:cs="Calibri" w:hAnsi="Calibri"/>
                <w:b/>
                <w:bCs/>
                <w:i/>
                <w:iCs/>
                <w:color w:val="000000"/>
                <w:sz w:val="22"/>
                <w:szCs w:val="22"/>
              </w:rPr>
            </w:pPr>
            <w:r>
              <w:rPr>
                <w:rFonts w:ascii="Calibri" w:cs="Calibri" w:eastAsia="SimSun" w:hAnsi="Calibri"/>
                <w:b/>
                <w:bCs/>
                <w:i/>
                <w:iCs/>
                <w:color w:val="000000"/>
                <w:sz w:val="22"/>
                <w:szCs w:val="22"/>
                <w:lang w:val="en-US" w:eastAsia="zh-CN"/>
              </w:rPr>
              <w:t>2.71</w:t>
            </w:r>
          </w:p>
        </w:tc>
      </w:tr>
      <w:tr>
        <w:tblPrEx/>
        <w:trPr>
          <w:trHeight w:val="76" w:hRule="atLeast"/>
        </w:trPr>
        <w:tc>
          <w:tcPr>
            <w:tcW w:w="709" w:type="dxa"/>
            <w:tcBorders>
              <w:top w:val="nil"/>
              <w:left w:val="nil"/>
              <w:bottom w:val="single" w:sz="8" w:space="0" w:color="auto"/>
              <w:right w:val="nil"/>
            </w:tcBorders>
            <w:vAlign w:val="center"/>
          </w:tcPr>
          <w:p>
            <w:pPr>
              <w:pStyle w:val="style0"/>
              <w:rPr>
                <w:rFonts w:ascii="Calibri" w:hAnsi="Calibri"/>
                <w:i/>
                <w:color w:val="000000"/>
              </w:rPr>
            </w:pPr>
            <w:r>
              <w:rPr>
                <w:rFonts w:ascii="Calibri" w:cs="Calibri" w:hAnsi="Calibri" w:hint="eastAsia"/>
                <w:i/>
                <w:iCs/>
                <w:color w:val="000000"/>
                <w:sz w:val="22"/>
                <w:szCs w:val="22"/>
                <w:lang w:eastAsia="zh-CN"/>
              </w:rPr>
              <w:t>13%</w:t>
            </w:r>
          </w:p>
        </w:tc>
        <w:tc>
          <w:tcPr>
            <w:tcW w:w="1413" w:type="dxa"/>
            <w:tcBorders>
              <w:top w:val="nil"/>
              <w:left w:val="nil"/>
              <w:bottom w:val="single" w:sz="8" w:space="0" w:color="auto"/>
              <w:right w:val="nil"/>
            </w:tcBorders>
            <w:vAlign w:val="center"/>
          </w:tcPr>
          <w:p>
            <w:pPr>
              <w:pStyle w:val="style0"/>
              <w:jc w:val="center"/>
              <w:rPr>
                <w:rFonts w:ascii="Calibri" w:hAnsi="Calibri"/>
                <w:i/>
                <w:iCs/>
                <w:color w:val="000000"/>
                <w:lang w:val="en-GB"/>
              </w:rPr>
            </w:pPr>
            <w:r>
              <w:rPr>
                <w:rFonts w:ascii="Calibri" w:cs="Calibri" w:hAnsi="Calibri"/>
                <w:i/>
                <w:iCs/>
                <w:color w:val="000000"/>
                <w:sz w:val="22"/>
                <w:szCs w:val="22"/>
                <w:lang w:val="en-GB"/>
              </w:rPr>
              <w:t>120.76</w:t>
            </w:r>
          </w:p>
        </w:tc>
        <w:tc>
          <w:tcPr>
            <w:tcW w:w="1275" w:type="dxa"/>
            <w:tcBorders>
              <w:top w:val="nil"/>
              <w:left w:val="nil"/>
              <w:bottom w:val="single" w:sz="8" w:space="0" w:color="auto"/>
              <w:right w:val="nil"/>
            </w:tcBorders>
            <w:vAlign w:val="center"/>
          </w:tcPr>
          <w:p>
            <w:pPr>
              <w:pStyle w:val="style0"/>
              <w:jc w:val="center"/>
              <w:rPr>
                <w:rFonts w:ascii="Calibri" w:hAnsi="Calibri"/>
                <w:i/>
                <w:color w:val="000000"/>
              </w:rPr>
            </w:pPr>
            <w:r>
              <w:rPr>
                <w:rFonts w:ascii="Calibri" w:cs="Calibri" w:hAnsi="Calibri"/>
                <w:i/>
                <w:iCs/>
                <w:color w:val="000000"/>
                <w:sz w:val="22"/>
                <w:szCs w:val="22"/>
                <w:lang w:val="en-GB"/>
              </w:rPr>
              <w:t>110.95</w:t>
            </w:r>
          </w:p>
        </w:tc>
        <w:tc>
          <w:tcPr>
            <w:tcW w:w="1207" w:type="dxa"/>
            <w:tcBorders>
              <w:top w:val="nil"/>
              <w:left w:val="nil"/>
              <w:bottom w:val="single" w:sz="4" w:space="0" w:color="auto"/>
              <w:right w:val="nil"/>
            </w:tcBorders>
            <w:vAlign w:val="center"/>
          </w:tcPr>
          <w:p>
            <w:pPr>
              <w:pStyle w:val="style0"/>
              <w:jc w:val="center"/>
              <w:textAlignment w:val="center"/>
              <w:rPr>
                <w:rFonts w:ascii="Calibri" w:cs="Calibri" w:hAnsi="Calibri"/>
                <w:b/>
                <w:bCs/>
                <w:i/>
                <w:iCs/>
                <w:color w:val="000000"/>
                <w:sz w:val="22"/>
                <w:szCs w:val="22"/>
              </w:rPr>
            </w:pPr>
            <w:r>
              <w:rPr>
                <w:rFonts w:ascii="Calibri" w:cs="Calibri" w:eastAsia="SimSun" w:hAnsi="Calibri"/>
                <w:b/>
                <w:bCs/>
                <w:i/>
                <w:iCs/>
                <w:color w:val="000000"/>
                <w:sz w:val="22"/>
                <w:szCs w:val="22"/>
                <w:lang w:val="en-US" w:eastAsia="zh-CN"/>
              </w:rPr>
              <w:t>8.84</w:t>
            </w:r>
          </w:p>
        </w:tc>
      </w:tr>
      <w:tr>
        <w:tblPrEx/>
        <w:trPr>
          <w:trHeight w:val="66" w:hRule="atLeast"/>
        </w:trPr>
        <w:tc>
          <w:tcPr>
            <w:tcW w:w="709" w:type="dxa"/>
            <w:tcBorders>
              <w:top w:val="nil"/>
              <w:left w:val="nil"/>
              <w:bottom w:val="single" w:sz="8" w:space="0" w:color="000000"/>
              <w:right w:val="nil"/>
            </w:tcBorders>
            <w:vAlign w:val="center"/>
          </w:tcPr>
          <w:p>
            <w:pPr>
              <w:pStyle w:val="style0"/>
              <w:rPr>
                <w:rFonts w:ascii="Calibri" w:hAnsi="Calibri"/>
                <w:b/>
                <w:color w:val="c55911"/>
              </w:rPr>
            </w:pPr>
            <w:r>
              <w:rPr>
                <w:rFonts w:ascii="Calibri" w:cs="Calibri" w:hAnsi="Calibri" w:hint="eastAsia"/>
                <w:b/>
                <w:bCs/>
                <w:color w:val="c55911"/>
                <w:sz w:val="22"/>
                <w:szCs w:val="22"/>
                <w:lang w:eastAsia="zh-CN"/>
              </w:rPr>
              <w:t>Total</w:t>
            </w:r>
          </w:p>
        </w:tc>
        <w:tc>
          <w:tcPr>
            <w:tcW w:w="1413" w:type="dxa"/>
            <w:tcBorders>
              <w:top w:val="nil"/>
              <w:left w:val="nil"/>
              <w:bottom w:val="single" w:sz="8" w:space="0" w:color="000000"/>
              <w:right w:val="nil"/>
            </w:tcBorders>
            <w:vAlign w:val="center"/>
          </w:tcPr>
          <w:p>
            <w:pPr>
              <w:pStyle w:val="style0"/>
              <w:jc w:val="center"/>
              <w:rPr>
                <w:rFonts w:ascii="Calibri" w:cs="Calibri" w:hAnsi="Calibri"/>
                <w:b/>
                <w:bCs/>
                <w:i/>
                <w:iCs/>
                <w:color w:val="c45911"/>
                <w:lang w:val="en-GB"/>
              </w:rPr>
            </w:pPr>
            <w:r>
              <w:rPr>
                <w:rFonts w:ascii="Calibri" w:cs="Calibri" w:hAnsi="Calibri"/>
                <w:b/>
                <w:bCs/>
                <w:i/>
                <w:iCs/>
                <w:color w:val="c45911"/>
                <w:sz w:val="22"/>
                <w:szCs w:val="22"/>
                <w:lang w:val="en-GB"/>
              </w:rPr>
              <w:t>2,036.35</w:t>
            </w:r>
          </w:p>
        </w:tc>
        <w:tc>
          <w:tcPr>
            <w:tcW w:w="1275" w:type="dxa"/>
            <w:tcBorders>
              <w:top w:val="nil"/>
              <w:left w:val="nil"/>
              <w:bottom w:val="single" w:sz="8" w:space="0" w:color="000000"/>
              <w:right w:val="nil"/>
            </w:tcBorders>
            <w:vAlign w:val="center"/>
          </w:tcPr>
          <w:p>
            <w:pPr>
              <w:pStyle w:val="style0"/>
              <w:jc w:val="center"/>
              <w:rPr>
                <w:rFonts w:ascii="Calibri" w:hAnsi="Calibri"/>
                <w:b/>
                <w:color w:val="c55911"/>
              </w:rPr>
            </w:pPr>
            <w:r>
              <w:rPr>
                <w:rFonts w:ascii="Calibri" w:cs="Calibri" w:hAnsi="Calibri"/>
                <w:b/>
                <w:bCs/>
                <w:i/>
                <w:iCs/>
                <w:color w:val="c45911"/>
                <w:sz w:val="22"/>
                <w:szCs w:val="22"/>
                <w:lang w:val="en-GB"/>
              </w:rPr>
              <w:t>1,894.04</w:t>
            </w:r>
          </w:p>
        </w:tc>
        <w:tc>
          <w:tcPr>
            <w:tcW w:w="1207" w:type="dxa"/>
            <w:tcBorders>
              <w:top w:val="single" w:sz="4" w:space="0" w:color="auto"/>
              <w:left w:val="nil"/>
              <w:bottom w:val="single" w:sz="4" w:space="0" w:color="auto"/>
              <w:right w:val="nil"/>
            </w:tcBorders>
            <w:vAlign w:val="center"/>
          </w:tcPr>
          <w:p>
            <w:pPr>
              <w:pStyle w:val="style0"/>
              <w:jc w:val="center"/>
              <w:textAlignment w:val="center"/>
              <w:rPr>
                <w:rFonts w:ascii="Calibri" w:cs="Calibri" w:hAnsi="Calibri"/>
                <w:b/>
                <w:bCs/>
                <w:i/>
                <w:iCs/>
                <w:color w:val="c45911"/>
                <w:sz w:val="22"/>
                <w:szCs w:val="22"/>
              </w:rPr>
            </w:pPr>
            <w:r>
              <w:rPr>
                <w:rFonts w:ascii="Calibri" w:cs="Calibri" w:eastAsia="SimSun" w:hAnsi="Calibri"/>
                <w:b/>
                <w:bCs/>
                <w:i/>
                <w:iCs/>
                <w:color w:val="c45911"/>
                <w:sz w:val="22"/>
                <w:szCs w:val="22"/>
                <w:lang w:val="en-US" w:eastAsia="zh-CN"/>
              </w:rPr>
              <w:t>7.51</w:t>
            </w:r>
          </w:p>
        </w:tc>
      </w:tr>
    </w:tbl>
    <w:p>
      <w:pPr>
        <w:pStyle w:val="style0"/>
        <w:rPr>
          <w:rFonts w:ascii="Calibri" w:hAnsi="Calibri"/>
          <w:b/>
          <w:color w:val="2f5496"/>
          <w:sz w:val="18"/>
          <w:szCs w:val="18"/>
        </w:rPr>
      </w:pPr>
      <w:r>
        <w:rPr>
          <w:rFonts w:ascii="Calibri" w:hAnsi="Calibri"/>
          <w:b/>
          <w:color w:val="2f5496"/>
          <w:sz w:val="18"/>
          <w:szCs w:val="18"/>
        </w:rPr>
        <w:t>Source: FAAC</w:t>
      </w:r>
    </w:p>
    <w:p>
      <w:pPr>
        <w:pStyle w:val="style0"/>
        <w:rPr>
          <w:rFonts w:ascii="Calibri" w:hAnsi="Calibri"/>
          <w:b/>
          <w:color w:val="2f5496"/>
          <w:sz w:val="18"/>
          <w:szCs w:val="18"/>
          <w:lang w:val="en-GB"/>
        </w:rPr>
      </w:pPr>
    </w:p>
    <w:p>
      <w:pPr>
        <w:pStyle w:val="style0"/>
        <w:spacing w:after="160" w:lineRule="auto" w:line="259"/>
        <w:jc w:val="both"/>
        <w:rPr>
          <w:rFonts w:ascii="Calibri" w:hAnsi="Calibri"/>
          <w:sz w:val="22"/>
          <w:szCs w:val="22"/>
        </w:rPr>
      </w:pPr>
      <w:r>
        <w:rPr>
          <w:rFonts w:ascii="Calibri" w:hAnsi="Calibri"/>
          <w:sz w:val="22"/>
          <w:szCs w:val="22"/>
        </w:rPr>
        <w:t>Revenue composition data indicated mixed performance across major revenue sources. Gross statutory revenue increased to ₦1.699 trillion in March 2026, from ₦1.56 trillion recorded in February, representing a substantial improvement that largely drove the higher FAAC distribution during the period. Non-oil tax revenue also showed encouraging performance, as Companies Income Tax (CIT), Capital Gains Tax (CGT), Stamp Duties, and Excise Duty increased significantly, suggesting improved tax administration and stronger domestic economic activity.</w:t>
      </w:r>
    </w:p>
    <w:p>
      <w:pPr>
        <w:pStyle w:val="style0"/>
        <w:spacing w:after="160" w:lineRule="auto" w:line="259"/>
        <w:jc w:val="both"/>
        <w:rPr>
          <w:rFonts w:ascii="Calibri" w:hAnsi="Calibri"/>
          <w:sz w:val="22"/>
          <w:szCs w:val="22"/>
        </w:rPr>
      </w:pPr>
      <w:r>
        <w:rPr>
          <w:rFonts w:ascii="Calibri" w:hAnsi="Calibri"/>
          <w:sz w:val="22"/>
          <w:szCs w:val="22"/>
        </w:rPr>
        <w:t>In contrast, oil-related revenue streams weakened during the review period. Petroleum Profit Tax (PPT), Hydrocarbon Tax (HT), oil and gas royalties, Import Duty, and Common External Tariff (CET) levies declined considerably, reflecting continued volatility in international oil market conditions, fluctuations in crude oil production, and softer trade-related inflows. VAT collections also recorded a marginal decline, falling to ₦664.43 billion in March from ₦668.45 billion in February.</w:t>
      </w:r>
    </w:p>
    <w:p>
      <w:pPr>
        <w:pStyle w:val="style0"/>
        <w:spacing w:after="160" w:lineRule="auto" w:line="259"/>
        <w:jc w:val="both"/>
        <w:rPr>
          <w:rFonts w:ascii="Calibri" w:hAnsi="Calibri"/>
          <w:sz w:val="22"/>
          <w:szCs w:val="22"/>
          <w:lang w:val="en-US" w:eastAsia="en-US"/>
        </w:rPr>
      </w:pPr>
      <w:r>
        <w:rPr>
          <w:rFonts w:ascii="Calibri" w:hAnsi="Calibri"/>
          <w:sz w:val="22"/>
          <w:szCs w:val="22"/>
        </w:rPr>
        <w:t xml:space="preserve">Overall, the improvement in FAAC disbursements in March 2026 suggests a modest strengthening in fiscal inflows, particularly from statutory and non-oil tax sources. Nonetheless, the continued weakness and volatility in oil-related revenues underscore the persistent vulnerability of Federation finances to developments in the global oil market and domestic production conditions. </w:t>
      </w:r>
      <w:r>
        <w:rPr>
          <w:rFonts w:ascii="Calibri" w:hAnsi="Calibri"/>
          <w:sz w:val="22"/>
          <w:szCs w:val="22"/>
        </w:rPr>
        <w:t>Going forward, sustaining fiscal stability will depend largely on strengthening non-oil revenue mobilisation, improving tax efficiency, enhancing domestic production capacity, and maintaining fiscal discipline across all tiers of government.</w:t>
      </w:r>
    </w:p>
    <w:p>
      <w:pPr>
        <w:pStyle w:val="style1"/>
        <w:rPr>
          <w:rFonts w:ascii="Calibri" w:hAnsi="Calibri"/>
          <w:color w:val="auto"/>
          <w:sz w:val="22"/>
          <w:szCs w:val="22"/>
          <w:lang w:val="en-GB"/>
        </w:rPr>
      </w:pPr>
      <w:r>
        <w:rPr>
          <w:color w:val="auto"/>
          <w:lang w:val="en-GB"/>
        </w:rPr>
        <w:t>Conclusion</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The global economic environment in 2026 is characterised by fragile resilience, with moderate growth overshadowed by heightened geopolitical tensions, trade fragmentation, and volatile financial conditions. Persistent uncertainty</w:t>
      </w:r>
      <w:r>
        <w:rPr>
          <w:rFonts w:ascii="Calibri" w:hAnsi="Calibri"/>
          <w:sz w:val="22"/>
          <w:szCs w:val="22"/>
          <w:lang w:val="en-GB" w:eastAsia="en-US"/>
        </w:rPr>
        <w:t xml:space="preserve">, </w:t>
      </w:r>
      <w:r>
        <w:rPr>
          <w:rFonts w:ascii="Calibri" w:hAnsi="Calibri"/>
          <w:sz w:val="22"/>
          <w:szCs w:val="22"/>
          <w:lang w:val="en-GB" w:eastAsia="en-US"/>
        </w:rPr>
        <w:t>reinforced by recent developments in energy markets and global risk sentiment</w:t>
      </w:r>
      <w:r>
        <w:rPr>
          <w:rFonts w:ascii="Calibri" w:hAnsi="Calibri"/>
          <w:sz w:val="22"/>
          <w:szCs w:val="22"/>
          <w:lang w:val="en-GB" w:eastAsia="en-US"/>
        </w:rPr>
        <w:t xml:space="preserve">, </w:t>
      </w:r>
      <w:r>
        <w:rPr>
          <w:rFonts w:ascii="Calibri" w:hAnsi="Calibri"/>
          <w:sz w:val="22"/>
          <w:szCs w:val="22"/>
          <w:lang w:val="en-GB" w:eastAsia="en-US"/>
        </w:rPr>
        <w:t>continues to weigh on investment, capital flows, and inflation dynamics, while limiting policy flexibility across jurisdictions.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Against this backdrop, Nigeria has made notable progress in restoring macroeconomic stability, driven by sustained monetary tightening, improved fiscal discipline, and reforms to the foreign exchange framework. These measures have strengthened confidence, supported external buffers, and enhanced overall policy credibility. However, the persistence of elevated uncertainty</w:t>
      </w:r>
      <w:r>
        <w:rPr>
          <w:rFonts w:ascii="Calibri" w:hAnsi="Calibri"/>
          <w:sz w:val="22"/>
          <w:szCs w:val="22"/>
          <w:lang w:val="en-GB" w:eastAsia="en-US"/>
        </w:rPr>
        <w:t xml:space="preserve">, </w:t>
      </w:r>
      <w:r>
        <w:rPr>
          <w:rFonts w:ascii="Calibri" w:hAnsi="Calibri"/>
          <w:sz w:val="22"/>
          <w:szCs w:val="22"/>
          <w:lang w:val="en-GB" w:eastAsia="en-US"/>
        </w:rPr>
        <w:t>as reflected in recent EPU dynamics</w:t>
      </w:r>
      <w:r>
        <w:rPr>
          <w:rFonts w:ascii="Calibri" w:hAnsi="Calibri"/>
          <w:sz w:val="22"/>
          <w:szCs w:val="22"/>
          <w:lang w:val="en-GB" w:eastAsia="en-US"/>
        </w:rPr>
        <w:t xml:space="preserve">, </w:t>
      </w:r>
      <w:r>
        <w:rPr>
          <w:rFonts w:ascii="Calibri" w:hAnsi="Calibri"/>
          <w:sz w:val="22"/>
          <w:szCs w:val="22"/>
          <w:lang w:val="en-GB" w:eastAsia="en-US"/>
        </w:rPr>
        <w:t>highlights the economy’s continued sensitivity to external shocks, particularly oil price volatility and shifts in global liquidity.</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Looking ahead, Nigeria’s near</w:t>
      </w:r>
      <w:r>
        <w:rPr>
          <w:rFonts w:ascii="Cambria Math" w:cs="Cambria Math" w:hAnsi="Cambria Math"/>
          <w:sz w:val="22"/>
          <w:szCs w:val="22"/>
          <w:lang w:val="en-GB" w:eastAsia="en-US"/>
        </w:rPr>
        <w:t>‑</w:t>
      </w:r>
      <w:r>
        <w:rPr>
          <w:rFonts w:ascii="Calibri" w:hAnsi="Calibri"/>
          <w:sz w:val="22"/>
          <w:szCs w:val="22"/>
          <w:lang w:val="en-GB" w:eastAsia="en-US"/>
        </w:rPr>
        <w:t>term outlook remains one of gradual and uneven recovery. Growth is expected to strengthen through the second half of 2026, supported by improved FX conditions and policy stability, while a more durable expansion path could emerge in 2027, contingent on sustained reform momentum and improved investor confidence. Nonetheless, this trajectory remains vulnerable to both external headwinds and enduring domestic constraints, including infrastructure deficits, energy supply limitations, and security challenges.</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 xml:space="preserve">Sustaining and deepening progress will require consistent and coordinated policy execution, focused on preserving macroeconomic stability while accelerating structural transformation. Key priorities include maintaining monetary and </w:t>
      </w:r>
      <w:r>
        <w:rPr>
          <w:rFonts w:ascii="Calibri" w:hAnsi="Calibri"/>
          <w:sz w:val="22"/>
          <w:szCs w:val="22"/>
          <w:lang w:val="en-GB" w:eastAsia="en-US"/>
        </w:rPr>
        <w:t>exchange rate discipline, strengthening fiscal buffers, improving infrastructure investment, and addressing supply</w:t>
      </w:r>
      <w:r>
        <w:rPr>
          <w:rFonts w:ascii="Cambria Math" w:cs="Cambria Math" w:hAnsi="Cambria Math"/>
          <w:sz w:val="22"/>
          <w:szCs w:val="22"/>
          <w:lang w:val="en-GB" w:eastAsia="en-US"/>
        </w:rPr>
        <w:t>‑</w:t>
      </w:r>
      <w:r>
        <w:rPr>
          <w:rFonts w:ascii="Calibri" w:hAnsi="Calibri"/>
          <w:sz w:val="22"/>
          <w:szCs w:val="22"/>
          <w:lang w:val="en-GB" w:eastAsia="en-US"/>
        </w:rPr>
        <w:t>side bottlenecks that constrain productivity and private sector growth.</w:t>
      </w:r>
    </w:p>
    <w:p>
      <w:pPr>
        <w:pStyle w:val="style0"/>
        <w:spacing w:after="160" w:lineRule="auto" w:line="259"/>
        <w:jc w:val="both"/>
        <w:rPr>
          <w:rFonts w:ascii="Calibri" w:hAnsi="Calibri"/>
          <w:sz w:val="22"/>
          <w:szCs w:val="22"/>
          <w:lang w:val="en-GB" w:eastAsia="en-US"/>
        </w:rPr>
      </w:pPr>
      <w:r>
        <w:rPr>
          <w:rFonts w:ascii="Calibri" w:hAnsi="Calibri"/>
          <w:sz w:val="22"/>
          <w:szCs w:val="22"/>
          <w:lang w:val="en-GB" w:eastAsia="en-US"/>
        </w:rPr>
        <w:t>In an increasingly uncertain global environment, Nigeria’s ability to anchor expectations, sustain credibility, and translate stabilisation into inclusive growth will be critical to consolidating gains and achieving a more resilient and sustainable economic trajectory over the medium term.</w:t>
      </w:r>
    </w:p>
    <w:p>
      <w:pPr>
        <w:pStyle w:val="style1"/>
        <w:spacing w:before="0"/>
        <w:rPr>
          <w:color w:val="002060"/>
          <w:sz w:val="28"/>
          <w:szCs w:val="28"/>
          <w:lang w:val="en-GB"/>
        </w:rPr>
      </w:pPr>
      <w:r>
        <w:rPr>
          <w:color w:val="002060"/>
          <w:sz w:val="28"/>
          <w:szCs w:val="28"/>
          <w:lang w:val="en-GB"/>
        </w:rPr>
        <w:t>Country in Focus –</w:t>
      </w:r>
      <w:r>
        <w:rPr>
          <w:color w:val="002060"/>
          <w:sz w:val="28"/>
          <w:szCs w:val="28"/>
          <w:lang w:val="en-GB"/>
        </w:rPr>
        <w:t xml:space="preserve">Republic of </w:t>
      </w:r>
      <w:r>
        <w:rPr>
          <w:color w:val="002060"/>
          <w:sz w:val="28"/>
          <w:szCs w:val="28"/>
          <w:lang w:val="en-GB"/>
        </w:rPr>
        <w:t>B</w:t>
      </w:r>
      <w:r>
        <w:rPr>
          <w:color w:val="002060"/>
          <w:sz w:val="28"/>
          <w:szCs w:val="28"/>
          <w:lang w:val="en-GB"/>
        </w:rPr>
        <w:t>urkina Faso</w:t>
      </w:r>
    </w:p>
    <w:p>
      <w:pPr>
        <w:pStyle w:val="style0"/>
        <w:spacing w:after="160" w:lineRule="auto" w:line="259"/>
        <w:jc w:val="both"/>
        <w:rPr>
          <w:rFonts w:ascii="Calibri" w:hAnsi="Calibri"/>
          <w:i/>
          <w:iCs/>
          <w:color w:val="2f5496"/>
          <w:sz w:val="20"/>
          <w:szCs w:val="18"/>
          <w:lang w:val="en-GB"/>
        </w:rPr>
      </w:pPr>
      <w:r>
        <w:rPr>
          <w:rFonts w:ascii="Calibri" w:hAnsi="Calibri"/>
          <w:i/>
          <w:iCs/>
          <w:color w:val="2f5496"/>
          <w:sz w:val="20"/>
          <w:szCs w:val="18"/>
          <w:lang w:val="en-GB"/>
        </w:rPr>
        <w:t>Figure</w:t>
      </w:r>
      <w:r>
        <w:rPr>
          <w:rFonts w:ascii="Calibri" w:hAnsi="Calibri"/>
          <w:i/>
          <w:iCs/>
          <w:color w:val="2f5496"/>
          <w:sz w:val="20"/>
          <w:szCs w:val="18"/>
          <w:lang w:val="en-GB"/>
        </w:rPr>
        <w:t xml:space="preserve"> </w:t>
      </w:r>
      <w:r>
        <w:rPr>
          <w:rFonts w:ascii="Calibri" w:hAnsi="Calibri"/>
          <w:i/>
          <w:iCs/>
          <w:color w:val="2f5496"/>
          <w:sz w:val="20"/>
          <w:szCs w:val="18"/>
          <w:lang w:val="en-GB"/>
        </w:rPr>
        <w:t>7</w:t>
      </w:r>
      <w:r>
        <w:rPr>
          <w:rFonts w:ascii="Calibri" w:hAnsi="Calibri"/>
          <w:i/>
          <w:iCs/>
          <w:color w:val="2f5496"/>
          <w:sz w:val="20"/>
          <w:szCs w:val="18"/>
          <w:lang w:val="en-GB"/>
        </w:rPr>
        <w:t>: Economic Parameters for</w:t>
      </w:r>
      <w:r>
        <w:rPr>
          <w:rFonts w:ascii="Calibri" w:hAnsi="Calibri"/>
          <w:i/>
          <w:iCs/>
          <w:color w:val="2f5496"/>
          <w:sz w:val="20"/>
          <w:szCs w:val="18"/>
          <w:lang w:val="en-GB"/>
        </w:rPr>
        <w:t xml:space="preserve"> </w:t>
      </w:r>
      <w:r>
        <w:rPr>
          <w:rFonts w:ascii="Calibri" w:hAnsi="Calibri"/>
          <w:i/>
          <w:iCs/>
          <w:color w:val="2f5496"/>
          <w:sz w:val="20"/>
          <w:szCs w:val="18"/>
          <w:lang w:val="en-GB"/>
        </w:rPr>
        <w:t>Republic of</w:t>
      </w:r>
      <w:r>
        <w:rPr>
          <w:rFonts w:ascii="Calibri" w:hAnsi="Calibri"/>
          <w:i/>
          <w:iCs/>
          <w:color w:val="2f5496"/>
          <w:sz w:val="20"/>
          <w:szCs w:val="18"/>
          <w:lang w:val="en-GB"/>
        </w:rPr>
        <w:t xml:space="preserve"> </w:t>
      </w:r>
      <w:r>
        <w:rPr>
          <w:rFonts w:ascii="Calibri" w:hAnsi="Calibri"/>
          <w:i/>
          <w:iCs/>
          <w:color w:val="2f5496"/>
          <w:sz w:val="20"/>
          <w:szCs w:val="18"/>
          <w:lang w:val="en-GB"/>
        </w:rPr>
        <w:t>B</w:t>
      </w:r>
      <w:r>
        <w:rPr>
          <w:rFonts w:ascii="Calibri" w:hAnsi="Calibri"/>
          <w:i/>
          <w:iCs/>
          <w:color w:val="2f5496"/>
          <w:sz w:val="20"/>
          <w:szCs w:val="18"/>
          <w:lang w:val="en-GB"/>
        </w:rPr>
        <w:t>urkina Faso</w:t>
      </w:r>
    </w:p>
    <w:p>
      <w:pPr>
        <w:pStyle w:val="style0"/>
        <w:spacing w:after="160" w:lineRule="auto" w:line="259"/>
        <w:jc w:val="both"/>
        <w:rPr>
          <w:rFonts w:ascii="Calibri" w:hAnsi="Calibri"/>
          <w:sz w:val="22"/>
          <w:szCs w:val="22"/>
          <w:lang w:val="en-GB" w:eastAsia="en-US"/>
        </w:rPr>
      </w:pPr>
      <w:r>
        <w:rPr>
          <w:noProof/>
        </w:rPr>
        <w:drawing>
          <wp:inline distL="0" distT="0" distB="0" distR="0">
            <wp:extent cx="2828290" cy="1590040"/>
            <wp:effectExtent l="0" t="0" r="0" b="0"/>
            <wp:docPr id="1034"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15" cstate="print"/>
                    <a:srcRect l="0" t="0" r="0" b="0"/>
                    <a:stretch/>
                  </pic:blipFill>
                  <pic:spPr>
                    <a:xfrm rot="0">
                      <a:off x="0" y="0"/>
                      <a:ext cx="2828290" cy="1590040"/>
                    </a:xfrm>
                    <a:prstGeom prst="rect"/>
                    <a:ln>
                      <a:noFill/>
                    </a:ln>
                  </pic:spPr>
                </pic:pic>
              </a:graphicData>
            </a:graphic>
          </wp:inline>
        </w:drawing>
      </w:r>
    </w:p>
    <w:p>
      <w:pPr>
        <w:pStyle w:val="style0"/>
        <w:jc w:val="both"/>
        <w:rPr>
          <w:rFonts w:ascii="Calibri" w:hAnsi="Calibri"/>
          <w:b/>
          <w:bCs/>
          <w:sz w:val="18"/>
          <w:szCs w:val="16"/>
          <w:lang w:val="en-GB"/>
        </w:rPr>
      </w:pPr>
      <w:r>
        <w:rPr>
          <w:rFonts w:ascii="Calibri" w:hAnsi="Calibri"/>
          <w:b/>
          <w:bCs/>
          <w:sz w:val="18"/>
          <w:szCs w:val="16"/>
        </w:rPr>
        <w:t>Source: CAPE Economic Research and Consulting, 202</w:t>
      </w:r>
      <w:bookmarkEnd w:id="0"/>
      <w:r>
        <w:rPr>
          <w:rFonts w:ascii="Calibri" w:hAnsi="Calibri"/>
          <w:b/>
          <w:bCs/>
          <w:sz w:val="18"/>
          <w:szCs w:val="16"/>
          <w:lang w:val="en-GB"/>
        </w:rPr>
        <w:t>6</w:t>
      </w:r>
    </w:p>
    <w:sectPr>
      <w:type w:val="continuous"/>
      <w:pgSz w:w="11906" w:h="16838" w:orient="portrait"/>
      <w:pgMar w:top="1440" w:right="849" w:bottom="1440" w:left="1440" w:header="708" w:footer="708" w:gutter="0"/>
      <w:cols w:space="70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Segoe UI">
    <w:altName w:val="Segoe UI"/>
    <w:panose1 w:val="020b0502040002020203"/>
    <w:charset w:val="00"/>
    <w:family w:val="swiss"/>
    <w:pitch w:val="variable"/>
    <w:sig w:usb0="E4002EFF" w:usb1="C000E47F"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mbria Math">
    <w:altName w:val="Cambria Math"/>
    <w:panose1 w:val="02040503050004030204"/>
    <w:charset w:val="00"/>
    <w:family w:val="roman"/>
    <w:pitch w:val="variable"/>
    <w:sig w:usb0="E00006FF" w:usb1="420024FF" w:usb2="02000000" w:usb3="00000000" w:csb0="0000019F" w:csb1="00000000"/>
  </w:font>
  <w:font w:name="SimSun">
    <w:altName w:val="宋体"/>
    <w:panose1 w:val="02010600030001010101"/>
    <w:charset w:val="86"/>
    <w:family w:val="auto"/>
    <w:pitch w:val="variable"/>
    <w:sig w:usb0="00000203" w:usb1="288F0000" w:usb2="00000016" w:usb3="00000000" w:csb0="00040001"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noProof/>
      </w:rPr>
      <mc:AlternateContent>
        <mc:Choice Requires="wps">
          <w:drawing>
            <wp:anchor distT="0" distB="0" distL="0" distR="0" simplePos="false" relativeHeight="2" behindDoc="false" locked="false" layoutInCell="false" allowOverlap="true">
              <wp:simplePos x="0" y="0"/>
              <wp:positionH relativeFrom="page">
                <wp:posOffset>0</wp:posOffset>
              </wp:positionH>
              <wp:positionV relativeFrom="page">
                <wp:posOffset>10234930</wp:posOffset>
              </wp:positionV>
              <wp:extent cx="7560310" cy="266700"/>
              <wp:effectExtent l="0" t="0" r="0" b="0"/>
              <wp:wrapNone/>
              <wp:docPr id="4100" name="MSIPCMd16a41ba803e545d2be77ef0" descr="{&quot;HashCode&quot;:-1046210256,&quot;Height&quot;:841.0,&quot;Width&quot;:595.0,&quot;Placement&quot;:&quot;Footer&quot;,&quot;Index&quot;:&quot;Primary&quot;,&quot;Section&quot;:1,&quot;Top&quot;:0.0,&quot;Left&quot;:0.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560310" cy="266700"/>
                      </a:xfrm>
                      <a:prstGeom prst="rect"/>
                      <a:ln>
                        <a:noFill/>
                      </a:ln>
                    </wps:spPr>
                    <wps:txbx id="4100">
                      <w:txbxContent>
                        <w:p>
                          <w:pPr>
                            <w:pStyle w:val="style0"/>
                            <w:rPr>
                              <w:rFonts w:ascii="Calibri" w:cs="Calibri" w:hAnsi="Calibri"/>
                              <w:color w:val="000000"/>
                              <w:sz w:val="16"/>
                            </w:rPr>
                          </w:pPr>
                          <w:r>
                            <w:rPr>
                              <w:rFonts w:ascii="Calibri" w:cs="Calibri" w:hAnsi="Calibri"/>
                              <w:color w:val="000000"/>
                              <w:sz w:val="16"/>
                            </w:rPr>
                            <w:t>Classified as Confidential</w:t>
                          </w:r>
                        </w:p>
                      </w:txbxContent>
                    </wps:txbx>
                    <wps:bodyPr lIns="254000" rIns="91440" tIns="0" bIns="0" vert="horz" anchor="b" wrap="square">
                      <a:prstTxWarp prst="textNoShape"/>
                      <a:noAutofit/>
                    </wps:bodyPr>
                  </wps:wsp>
                </a:graphicData>
              </a:graphic>
            </wp:anchor>
          </w:drawing>
        </mc:Choice>
        <mc:Fallback>
          <w:pict>
            <v:rect id="4100" filled="f" stroked="f" alt="{&quot;HashCode&quot;:-1046210256,&quot;Height&quot;:841.0,&quot;Width&quot;:595.0,&quot;Placement&quot;:&quot;Footer&quot;,&quot;Index&quot;:&quot;Primary&quot;,&quot;Section&quot;:1,&quot;Top&quot;:0.0,&quot;Left&quot;:0.0}" style="position:absolute;margin-left:0.0pt;margin-top:805.9pt;width:595.3pt;height:21.0pt;z-index:2;mso-position-horizontal-relative:page;mso-position-vertical-relative:page;mso-width-relative:page;mso-height-relative:page;mso-wrap-distance-left:0.0pt;mso-wrap-distance-right:0.0pt;visibility:visible;v-text-anchor:bottom;" o:allowincell="false">
              <v:stroke on="f" weight="0.5pt"/>
              <v:fill/>
              <v:textbox inset="20.0pt,0.0pt,7.2pt,0.0pt">
                <w:txbxContent>
                  <w:p>
                    <w:pPr>
                      <w:pStyle w:val="style0"/>
                      <w:rPr>
                        <w:rFonts w:ascii="Calibri" w:cs="Calibri" w:hAnsi="Calibri"/>
                        <w:color w:val="000000"/>
                        <w:sz w:val="16"/>
                      </w:rPr>
                    </w:pPr>
                    <w:r>
                      <w:rPr>
                        <w:rFonts w:ascii="Calibri" w:cs="Calibri" w:hAnsi="Calibri"/>
                        <w:color w:val="000000"/>
                        <w:sz w:val="16"/>
                      </w:rPr>
                      <w:t>Classified as Confidential</w:t>
                    </w:r>
                  </w:p>
                </w:txbxContent>
              </v:textbox>
            </v:rect>
          </w:pict>
        </mc:Fallback>
      </mc:AlternateContent>
    </w:r>
    <w:r>
      <w:rPr/>
      <w:fldChar w:fldCharType="begin"/>
    </w:r>
    <w:r>
      <w:instrText xml:space="preserve"> PAGE   \* MERGEFORMAT </w:instrText>
    </w:r>
    <w:r>
      <w:rPr/>
      <w:fldChar w:fldCharType="separate"/>
    </w:r>
    <w:r>
      <w:rPr>
        <w:noProof/>
      </w:rPr>
      <w:t>2</w:t>
    </w:r>
    <w:r>
      <w:rPr>
        <w:noProof/>
      </w:rPr>
      <w:fldChar w:fldCharType="end"/>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rPr>
    </w:r>
    <w:r>
      <w:rPr>
        <w:noProof/>
      </w:rPr>
    </w:r>
    <w:r>
      <w:rPr>
        <w:noProof/>
      </w:rPr>
    </w:r>
    <w:r>
      <w:rPr>
        <w:noProof/>
      </w:rPr>
      <mc:AlternateContent>
        <mc:Choice Requires="wps">
          <w:drawing>
            <wp:inline distL="0" distT="0" distB="0" distR="0">
              <wp:extent cx="304800" cy="304800"/>
              <wp:effectExtent l="0" t="0" r="0" b="0"/>
              <wp:docPr id="4097" name="Rectangl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304800"/>
                      </a:xfrm>
                      <a:prstGeom prst="rect"/>
                      <a:ln>
                        <a:noFill/>
                      </a:ln>
                    </wps:spPr>
                    <wps:bodyPr>
                      <a:prstTxWarp prst="textNoShape"/>
                    </wps:bodyPr>
                  </wps:wsp>
                </a:graphicData>
              </a:graphic>
            </wp:inline>
          </w:drawing>
        </mc:Choice>
        <mc:Fallback>
          <w:pict>
            <v:rect id="4097" filled="f" stroked="f" style="margin-left:0.0pt;margin-top:0.0pt;width:24.0pt;height:24.0pt;mso-wrap-distance-left:0.0pt;mso-wrap-distance-right:0.0pt;visibility:visible;">
              <w10:anchorlock/>
              <v:stroke on="f"/>
              <v:fill rotate="true"/>
            </v:rect>
          </w:pict>
        </mc:Fallback>
      </mc:AlternateContent>
    </w:r>
    <w:r>
      <w:rPr>
        <w:noProof/>
      </w:rPr>
    </w:r>
    <w:r>
      <w:rPr>
        <w:noProof/>
      </w:rPr>
    </w:r>
    <w:r>
      <w:rPr>
        <w:noProof/>
      </w:rPr>
      <w:drawing>
        <wp:inline distL="0" distT="0" distB="0" distR="0">
          <wp:extent cx="2133600" cy="488950"/>
          <wp:effectExtent l="0" t="0" r="0" b="6350"/>
          <wp:docPr id="4099"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cstate="print"/>
                  <a:srcRect l="0" t="0" r="0" b="0"/>
                  <a:stretch/>
                </pic:blipFill>
                <pic:spPr>
                  <a:xfrm rot="0">
                    <a:off x="0" y="0"/>
                    <a:ext cx="2133600" cy="488950"/>
                  </a:xfrm>
                  <a:prstGeom prst="rect"/>
                </pic:spPr>
              </pic:pic>
            </a:graphicData>
          </a:graphic>
        </wp:inline>
      </w:drawing>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96E32F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
    <w:nsid w:val="00000001"/>
    <w:multiLevelType w:val="multilevel"/>
    <w:tmpl w:val="158852E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1DEADA8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3">
    <w:nsid w:val="00000003"/>
    <w:multiLevelType w:val="multilevel"/>
    <w:tmpl w:val="F0AEF5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hybridMultilevel"/>
    <w:tmpl w:val="81E0EA7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cs="Courier New" w:hAnsi="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cs="Courier New" w:hAnsi="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cs="Courier New" w:hAnsi="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nsid w:val="00000005"/>
    <w:multiLevelType w:val="multilevel"/>
    <w:tmpl w:val="648480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6">
    <w:nsid w:val="00000006"/>
    <w:multiLevelType w:val="multilevel"/>
    <w:tmpl w:val="CC8212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7">
    <w:nsid w:val="00000007"/>
    <w:multiLevelType w:val="multilevel"/>
    <w:tmpl w:val="D17C11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8">
    <w:nsid w:val="00000008"/>
    <w:multiLevelType w:val="multilevel"/>
    <w:tmpl w:val="1980C3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9">
    <w:nsid w:val="00000009"/>
    <w:multiLevelType w:val="hybridMultilevel"/>
    <w:tmpl w:val="2BC22944"/>
    <w:lvl w:ilvl="0" w:tplc="0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cs="Courier New" w:hAnsi="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cs="Courier New" w:hAnsi="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cs="Courier New" w:hAnsi="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nsid w:val="0000000A"/>
    <w:multiLevelType w:val="multilevel"/>
    <w:tmpl w:val="D8DAB2AE"/>
    <w:lvl w:ilvl="0">
      <w:start w:val="1"/>
      <w:numFmt w:val="bullet"/>
      <w:lvlText w:val="●"/>
      <w:lvlJc w:val="left"/>
      <w:pPr>
        <w:ind w:left="360"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num w:numId="1">
    <w:abstractNumId w:val="4"/>
  </w:num>
  <w:num w:numId="2">
    <w:abstractNumId w:val="1"/>
  </w:num>
  <w:num w:numId="3">
    <w:abstractNumId w:val="3"/>
  </w:num>
  <w:num w:numId="4">
    <w:abstractNumId w:val="5"/>
  </w:num>
  <w:num w:numId="5">
    <w:abstractNumId w:val="9"/>
  </w:num>
  <w:num w:numId="6">
    <w:abstractNumId w:val="10"/>
  </w:num>
  <w:num w:numId="7">
    <w:abstractNumId w:val="8"/>
  </w:num>
  <w:num w:numId="8">
    <w:abstractNumId w:val="2"/>
  </w:num>
  <w:num w:numId="9">
    <w:abstractNumId w:val="7"/>
  </w:num>
  <w:num w:numId="10">
    <w:abstractNumId w:val="0"/>
  </w:num>
  <w:num w:numId="11">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4"/>
      <w:szCs w:val="24"/>
    </w:rPr>
  </w:style>
  <w:style w:type="paragraph" w:styleId="style1">
    <w:name w:val="heading 1"/>
    <w:basedOn w:val="style0"/>
    <w:next w:val="style0"/>
    <w:link w:val="style4101"/>
    <w:qFormat/>
    <w:uiPriority w:val="9"/>
    <w:pPr>
      <w:keepNext/>
      <w:keepLines/>
      <w:spacing w:before="240" w:lineRule="auto" w:line="259"/>
      <w:outlineLvl w:val="0"/>
    </w:pPr>
    <w:rPr>
      <w:rFonts w:ascii="Calibri Light" w:cs="宋体" w:eastAsia="宋体" w:hAnsi="Calibri Light"/>
      <w:color w:val="2f5496"/>
      <w:sz w:val="32"/>
      <w:szCs w:val="32"/>
      <w:lang w:eastAsia="en-US"/>
    </w:rPr>
  </w:style>
  <w:style w:type="paragraph" w:styleId="style2">
    <w:name w:val="heading 2"/>
    <w:basedOn w:val="style0"/>
    <w:next w:val="style2"/>
    <w:link w:val="style4097"/>
    <w:qFormat/>
    <w:uiPriority w:val="9"/>
    <w:pPr>
      <w:spacing w:before="100" w:beforeAutospacing="true" w:after="100" w:afterAutospacing="true"/>
      <w:outlineLvl w:val="1"/>
    </w:pPr>
    <w:rPr>
      <w:b/>
      <w:bCs/>
      <w:sz w:val="36"/>
      <w:szCs w:val="36"/>
      <w:lang w:eastAsia="en-US"/>
    </w:rPr>
  </w:style>
  <w:style w:type="paragraph" w:styleId="style6">
    <w:name w:val="heading 6"/>
    <w:basedOn w:val="style0"/>
    <w:next w:val="style0"/>
    <w:link w:val="style4113"/>
    <w:qFormat/>
    <w:uiPriority w:val="9"/>
    <w:pPr>
      <w:keepNext/>
      <w:keepLines/>
      <w:spacing w:before="40"/>
      <w:outlineLvl w:val="5"/>
    </w:pPr>
    <w:rPr>
      <w:rFonts w:ascii="Calibri Light" w:cs="宋体" w:eastAsia="宋体" w:hAnsi="Calibri Light"/>
      <w:color w:val="1f3763"/>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2 Char_17bd4944-3137-46fd-823f-5ccbbadad7e1"/>
    <w:basedOn w:val="style65"/>
    <w:next w:val="style4097"/>
    <w:link w:val="style2"/>
    <w:uiPriority w:val="9"/>
    <w:rPr>
      <w:rFonts w:ascii="Times New Roman" w:cs="Times New Roman" w:eastAsia="Times New Roman" w:hAnsi="Times New Roman"/>
      <w:b/>
      <w:bCs/>
      <w:sz w:val="36"/>
      <w:szCs w:val="36"/>
    </w:rPr>
  </w:style>
  <w:style w:type="paragraph" w:styleId="style62">
    <w:name w:val="Title"/>
    <w:basedOn w:val="style0"/>
    <w:next w:val="style0"/>
    <w:link w:val="style4098"/>
    <w:qFormat/>
    <w:uiPriority w:val="10"/>
    <w:pPr>
      <w:contextualSpacing/>
    </w:pPr>
    <w:rPr>
      <w:rFonts w:ascii="Calibri Light" w:cs="宋体" w:eastAsia="宋体" w:hAnsi="Calibri Light"/>
      <w:spacing w:val="-10"/>
      <w:kern w:val="28"/>
      <w:sz w:val="56"/>
      <w:szCs w:val="56"/>
      <w:lang w:eastAsia="en-US"/>
    </w:rPr>
  </w:style>
  <w:style w:type="character" w:customStyle="1" w:styleId="style4098">
    <w:name w:val="Title Char_67f0cb81-daee-48f1-b23f-6043628ff101"/>
    <w:basedOn w:val="style65"/>
    <w:next w:val="style4098"/>
    <w:link w:val="style62"/>
    <w:uiPriority w:val="10"/>
    <w:rPr>
      <w:rFonts w:ascii="Calibri Light" w:cs="宋体" w:eastAsia="宋体" w:hAnsi="Calibri Light"/>
      <w:spacing w:val="-10"/>
      <w:kern w:val="28"/>
      <w:sz w:val="56"/>
      <w:szCs w:val="56"/>
    </w:rPr>
  </w:style>
  <w:style w:type="paragraph" w:styleId="style31">
    <w:name w:val="header"/>
    <w:basedOn w:val="style0"/>
    <w:next w:val="style31"/>
    <w:link w:val="style4099"/>
    <w:uiPriority w:val="99"/>
    <w:pPr>
      <w:tabs>
        <w:tab w:val="center" w:leader="none" w:pos="4513"/>
        <w:tab w:val="right" w:leader="none" w:pos="9026"/>
      </w:tabs>
    </w:pPr>
    <w:rPr>
      <w:rFonts w:ascii="Calibri" w:hAnsi="Calibri"/>
      <w:sz w:val="22"/>
      <w:szCs w:val="22"/>
      <w:lang w:eastAsia="en-US"/>
    </w:rPr>
  </w:style>
  <w:style w:type="character" w:customStyle="1" w:styleId="style4099">
    <w:name w:val="Header Char_82dd8d26-dfa2-475c-acbf-a1ad4ebf137f"/>
    <w:basedOn w:val="style65"/>
    <w:next w:val="style4099"/>
    <w:link w:val="style31"/>
    <w:uiPriority w:val="99"/>
  </w:style>
  <w:style w:type="paragraph" w:styleId="style32">
    <w:name w:val="footer"/>
    <w:basedOn w:val="style0"/>
    <w:next w:val="style32"/>
    <w:link w:val="style4100"/>
    <w:uiPriority w:val="99"/>
    <w:pPr>
      <w:tabs>
        <w:tab w:val="center" w:leader="none" w:pos="4513"/>
        <w:tab w:val="right" w:leader="none" w:pos="9026"/>
      </w:tabs>
    </w:pPr>
    <w:rPr>
      <w:rFonts w:ascii="Calibri" w:hAnsi="Calibri"/>
      <w:sz w:val="22"/>
      <w:szCs w:val="22"/>
      <w:lang w:eastAsia="en-US"/>
    </w:rPr>
  </w:style>
  <w:style w:type="character" w:customStyle="1" w:styleId="style4100">
    <w:name w:val="Footer Char_6c3addab-f618-4c35-9d47-172a14bee30a"/>
    <w:basedOn w:val="style65"/>
    <w:next w:val="style4100"/>
    <w:link w:val="style32"/>
    <w:uiPriority w:val="99"/>
  </w:style>
  <w:style w:type="character" w:customStyle="1" w:styleId="style4101">
    <w:name w:val="Heading 1 Char_da3bb2c7-8a27-4107-9f00-9a534458683c"/>
    <w:basedOn w:val="style65"/>
    <w:next w:val="style4101"/>
    <w:link w:val="style1"/>
    <w:uiPriority w:val="9"/>
    <w:rPr>
      <w:rFonts w:ascii="Calibri Light" w:cs="宋体" w:eastAsia="宋体" w:hAnsi="Calibri Light"/>
      <w:color w:val="2f5496"/>
      <w:sz w:val="32"/>
      <w:szCs w:val="32"/>
    </w:rPr>
  </w:style>
  <w:style w:type="character" w:styleId="style88">
    <w:name w:val="Emphasis"/>
    <w:basedOn w:val="style65"/>
    <w:next w:val="style88"/>
    <w:qFormat/>
    <w:uiPriority w:val="20"/>
    <w:rPr>
      <w:i/>
      <w:iCs/>
    </w:rPr>
  </w:style>
  <w:style w:type="paragraph" w:styleId="style94">
    <w:name w:val="Normal (Web)"/>
    <w:basedOn w:val="style0"/>
    <w:next w:val="style94"/>
    <w:uiPriority w:val="99"/>
    <w:pPr>
      <w:spacing w:before="100" w:beforeAutospacing="true" w:after="100" w:afterAutospacing="true"/>
    </w:pPr>
    <w:rPr>
      <w:lang w:eastAsia="en-US"/>
    </w:rPr>
  </w:style>
  <w:style w:type="character" w:styleId="style85">
    <w:name w:val="Hyperlink"/>
    <w:basedOn w:val="style65"/>
    <w:next w:val="style85"/>
    <w:uiPriority w:val="99"/>
    <w:rPr>
      <w:color w:val="0000ff"/>
      <w:u w:val="single"/>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7">
    <w:name w:val="No Spacing"/>
    <w:next w:val="style157"/>
    <w:qFormat/>
    <w:uiPriority w:val="1"/>
    <w:pPr>
      <w:spacing w:after="0" w:lineRule="auto" w:line="240"/>
    </w:pPr>
    <w:rPr>
      <w:rFonts w:ascii="Calibri" w:cs="Calibri" w:eastAsia="Calibri" w:hAnsi="Calibri"/>
      <w:lang w:val="en-US"/>
    </w:rPr>
  </w:style>
  <w:style w:type="table" w:customStyle="1" w:styleId="style4102">
    <w:name w:val="Grid Table 4 Accent 5"/>
    <w:basedOn w:val="style105"/>
    <w:next w:val="style4102"/>
    <w:uiPriority w:val="49"/>
    <w:pPr>
      <w:spacing w:after="0" w:lineRule="auto" w:line="240"/>
    </w:pPr>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pPr/>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pPr/>
      <w:rPr>
        <w:b/>
        <w:bCs/>
      </w:rPr>
      <w:tblPr/>
      <w:tcPr>
        <w:tcBorders>
          <w:top w:val="double" w:sz="4" w:space="0" w:color="5b9bd5"/>
        </w:tcBorders>
      </w:tcPr>
    </w:tblStylePr>
    <w:tblStylePr w:type="band1Horz">
      <w:pPr/>
      <w:tblPr/>
      <w:tcPr>
        <w:tcBorders/>
        <w:shd w:val="clear" w:color="auto" w:fill="deeaf6"/>
      </w:tcPr>
    </w:tblStylePr>
    <w:tblStylePr w:type="firstCol">
      <w:pPr/>
      <w:rPr>
        <w:b/>
        <w:bCs/>
      </w:rPr>
      <w:tcPr>
        <w:tcBorders/>
      </w:tcPr>
    </w:tblStylePr>
    <w:tblStylePr w:type="lastCol">
      <w:pPr/>
      <w:rPr>
        <w:b/>
        <w:bCs/>
      </w:rPr>
      <w:tcPr>
        <w:tcBorders/>
      </w:tcPr>
    </w:tblStylePr>
    <w:tblStylePr w:type="band1Vert">
      <w:pPr/>
      <w:tblPr/>
      <w:tcPr>
        <w:tcBorders/>
        <w:shd w:val="clear" w:color="auto" w:fill="deeaf6"/>
      </w:tcPr>
    </w:tblStylePr>
    <w:tcPr>
      <w:tcBorders/>
    </w:tcPr>
  </w:style>
  <w:style w:type="table" w:customStyle="1" w:styleId="style4103">
    <w:name w:val="Grid Table 2 Accent 2"/>
    <w:basedOn w:val="style105"/>
    <w:next w:val="style4103"/>
    <w:uiPriority w:val="47"/>
    <w:pPr>
      <w:spacing w:after="0" w:lineRule="auto" w:line="240"/>
    </w:pPr>
    <w:rPr/>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pPr/>
      <w:rPr>
        <w:b/>
        <w:bCs/>
      </w:rPr>
      <w:tblPr/>
      <w:tcPr>
        <w:tcBorders>
          <w:top w:val="nil"/>
          <w:bottom w:val="single" w:sz="12" w:space="0" w:color="f4b083"/>
          <w:insideH w:val="nil"/>
          <w:insideV w:val="nil"/>
        </w:tcBorders>
        <w:shd w:val="clear" w:color="auto" w:fill="ffffff"/>
      </w:tcPr>
    </w:tblStylePr>
    <w:tblStylePr w:type="lastRow">
      <w:pPr/>
      <w:rPr>
        <w:b/>
        <w:bCs/>
      </w:rPr>
      <w:tblPr/>
      <w:tcPr>
        <w:tcBorders>
          <w:top w:val="double" w:sz="2" w:space="0" w:color="f4b083"/>
          <w:bottom w:val="nil"/>
          <w:insideH w:val="nil"/>
          <w:insideV w:val="nil"/>
        </w:tcBorders>
        <w:shd w:val="clear" w:color="auto" w:fill="ffffff"/>
      </w:tcPr>
    </w:tblStylePr>
    <w:tblStylePr w:type="band1Horz">
      <w:pPr/>
      <w:tblPr/>
      <w:tcPr>
        <w:tcBorders/>
        <w:shd w:val="clear" w:color="auto" w:fill="fbe4d5"/>
      </w:tcPr>
    </w:tblStylePr>
    <w:tblStylePr w:type="firstCol">
      <w:pPr/>
      <w:rPr>
        <w:b/>
        <w:bCs/>
      </w:rPr>
      <w:tcPr>
        <w:tcBorders/>
      </w:tcPr>
    </w:tblStylePr>
    <w:tblStylePr w:type="lastCol">
      <w:pPr/>
      <w:rPr>
        <w:b/>
        <w:bCs/>
      </w:rPr>
      <w:tcPr>
        <w:tcBorders/>
      </w:tcPr>
    </w:tblStylePr>
    <w:tblStylePr w:type="band1Vert">
      <w:pPr/>
      <w:tblPr/>
      <w:tcPr>
        <w:tcBorders/>
        <w:shd w:val="clear" w:color="auto" w:fill="fbe4d5"/>
      </w:tcPr>
    </w:tblStylePr>
    <w:tcPr>
      <w:tcBorders/>
    </w:tcPr>
  </w:style>
  <w:style w:type="paragraph" w:styleId="style153">
    <w:name w:val="Balloon Text"/>
    <w:basedOn w:val="style0"/>
    <w:next w:val="style153"/>
    <w:link w:val="style4104"/>
    <w:uiPriority w:val="99"/>
    <w:pPr/>
    <w:rPr>
      <w:rFonts w:ascii="Segoe UI" w:cs="Segoe UI" w:hAnsi="Segoe UI"/>
      <w:sz w:val="18"/>
      <w:szCs w:val="18"/>
      <w:lang w:eastAsia="en-US"/>
    </w:rPr>
  </w:style>
  <w:style w:type="character" w:customStyle="1" w:styleId="style4104">
    <w:name w:val="Balloon Text Char"/>
    <w:basedOn w:val="style65"/>
    <w:next w:val="style4104"/>
    <w:link w:val="style153"/>
    <w:uiPriority w:val="99"/>
    <w:rPr>
      <w:rFonts w:ascii="Segoe UI" w:cs="Segoe UI" w:hAnsi="Segoe UI"/>
      <w:sz w:val="18"/>
      <w:szCs w:val="18"/>
    </w:rPr>
  </w:style>
  <w:style w:type="paragraph" w:styleId="style179">
    <w:name w:val="List Paragraph"/>
    <w:basedOn w:val="style0"/>
    <w:next w:val="style179"/>
    <w:qFormat/>
    <w:uiPriority w:val="34"/>
    <w:pPr>
      <w:spacing w:after="160" w:lineRule="auto" w:line="259"/>
      <w:ind w:left="720"/>
      <w:contextualSpacing/>
    </w:pPr>
    <w:rPr>
      <w:rFonts w:ascii="Calibri" w:hAnsi="Calibri"/>
      <w:sz w:val="22"/>
      <w:szCs w:val="22"/>
      <w:lang w:eastAsia="en-US"/>
    </w:rPr>
  </w:style>
  <w:style w:type="table" w:customStyle="1" w:styleId="style4105">
    <w:name w:val="Grid Table 2 Accent 1"/>
    <w:basedOn w:val="style105"/>
    <w:next w:val="style4105"/>
    <w:uiPriority w:val="47"/>
    <w:pPr>
      <w:spacing w:after="0" w:lineRule="auto" w:line="240"/>
    </w:pPr>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pPr/>
      <w:rPr>
        <w:b/>
        <w:bCs/>
      </w:rPr>
      <w:tblPr/>
      <w:tcPr>
        <w:tcBorders>
          <w:top w:val="nil"/>
          <w:bottom w:val="single" w:sz="12" w:space="0" w:color="8eaadb"/>
          <w:insideH w:val="nil"/>
          <w:insideV w:val="nil"/>
        </w:tcBorders>
        <w:shd w:val="clear" w:color="auto" w:fill="ffffff"/>
      </w:tcPr>
    </w:tblStylePr>
    <w:tblStylePr w:type="lastRow">
      <w:pPr/>
      <w:rPr>
        <w:b/>
        <w:bCs/>
      </w:rPr>
      <w:tblPr/>
      <w:tcPr>
        <w:tcBorders>
          <w:top w:val="double" w:sz="2" w:space="0" w:color="8eaadb"/>
          <w:bottom w:val="nil"/>
          <w:insideH w:val="nil"/>
          <w:insideV w:val="nil"/>
        </w:tcBorders>
        <w:shd w:val="clear" w:color="auto" w:fill="ffffff"/>
      </w:tcPr>
    </w:tblStylePr>
    <w:tblStylePr w:type="band1Horz">
      <w:pPr/>
      <w:tblPr/>
      <w:tcPr>
        <w:tcBorders/>
        <w:shd w:val="clear" w:color="auto" w:fill="d9e2f3"/>
      </w:tcPr>
    </w:tblStylePr>
    <w:tblStylePr w:type="firstCol">
      <w:pPr/>
      <w:rPr>
        <w:b/>
        <w:bCs/>
      </w:rPr>
      <w:tcPr>
        <w:tcBorders/>
      </w:tcPr>
    </w:tblStylePr>
    <w:tblStylePr w:type="lastCol">
      <w:pPr/>
      <w:rPr>
        <w:b/>
        <w:bCs/>
      </w:rPr>
      <w:tcPr>
        <w:tcBorders/>
      </w:tcPr>
    </w:tblStylePr>
    <w:tblStylePr w:type="band1Vert">
      <w:pPr/>
      <w:tblPr/>
      <w:tcPr>
        <w:tcBorders/>
        <w:shd w:val="clear" w:color="auto" w:fill="d9e2f3"/>
      </w:tcPr>
    </w:tblStylePr>
    <w:tcPr>
      <w:tcBorders/>
    </w:tcPr>
  </w:style>
  <w:style w:type="character" w:styleId="style87">
    <w:name w:val="Strong"/>
    <w:basedOn w:val="style65"/>
    <w:next w:val="style87"/>
    <w:qFormat/>
    <w:uiPriority w:val="22"/>
    <w:rPr>
      <w:b/>
      <w:bCs/>
    </w:rPr>
  </w:style>
  <w:style w:type="character" w:customStyle="1" w:styleId="style4106">
    <w:name w:val="line-clamp-1"/>
    <w:basedOn w:val="style65"/>
    <w:next w:val="style4106"/>
  </w:style>
  <w:style w:type="character" w:customStyle="1" w:styleId="style4107">
    <w:name w:val="overflow-hidden"/>
    <w:basedOn w:val="style65"/>
    <w:next w:val="style4107"/>
  </w:style>
  <w:style w:type="character" w:customStyle="1" w:styleId="style4108">
    <w:name w:val="morecontent"/>
    <w:basedOn w:val="style65"/>
    <w:next w:val="style4108"/>
  </w:style>
  <w:style w:type="paragraph" w:styleId="style92">
    <w:name w:val="HTML Top of Form"/>
    <w:basedOn w:val="style0"/>
    <w:next w:val="style0"/>
    <w:link w:val="style4109"/>
    <w:uiPriority w:val="99"/>
    <w:pPr>
      <w:pBdr>
        <w:bottom w:val="single" w:sz="6" w:space="1" w:color="auto"/>
      </w:pBdr>
      <w:jc w:val="center"/>
    </w:pPr>
    <w:rPr>
      <w:rFonts w:ascii="Arial" w:cs="Arial" w:hAnsi="Arial"/>
      <w:vanish/>
      <w:sz w:val="16"/>
      <w:szCs w:val="16"/>
    </w:rPr>
  </w:style>
  <w:style w:type="character" w:customStyle="1" w:styleId="style4109">
    <w:name w:val="z-Top of Form Char"/>
    <w:basedOn w:val="style65"/>
    <w:next w:val="style4109"/>
    <w:link w:val="style92"/>
    <w:uiPriority w:val="99"/>
    <w:rPr>
      <w:rFonts w:ascii="Arial" w:cs="Arial" w:eastAsia="Times New Roman" w:hAnsi="Arial"/>
      <w:vanish/>
      <w:sz w:val="16"/>
      <w:szCs w:val="16"/>
    </w:rPr>
  </w:style>
  <w:style w:type="paragraph" w:customStyle="1" w:styleId="style4110">
    <w:name w:val="placeholder"/>
    <w:basedOn w:val="style0"/>
    <w:next w:val="style4110"/>
    <w:pPr>
      <w:spacing w:before="100" w:beforeAutospacing="true" w:after="100" w:afterAutospacing="true"/>
    </w:pPr>
    <w:rPr/>
  </w:style>
  <w:style w:type="paragraph" w:styleId="style93">
    <w:name w:val="HTML Bottom of Form"/>
    <w:basedOn w:val="style0"/>
    <w:next w:val="style0"/>
    <w:link w:val="style4111"/>
    <w:uiPriority w:val="99"/>
    <w:pPr>
      <w:pBdr>
        <w:top w:val="single" w:sz="6" w:space="1" w:color="auto"/>
      </w:pBdr>
      <w:jc w:val="center"/>
    </w:pPr>
    <w:rPr>
      <w:rFonts w:ascii="Arial" w:cs="Arial" w:hAnsi="Arial"/>
      <w:vanish/>
      <w:sz w:val="16"/>
      <w:szCs w:val="16"/>
    </w:rPr>
  </w:style>
  <w:style w:type="character" w:customStyle="1" w:styleId="style4111">
    <w:name w:val="z-Bottom of Form Char"/>
    <w:basedOn w:val="style65"/>
    <w:next w:val="style4111"/>
    <w:link w:val="style93"/>
    <w:uiPriority w:val="99"/>
    <w:rPr>
      <w:rFonts w:ascii="Arial" w:cs="Arial" w:eastAsia="Times New Roman" w:hAnsi="Arial"/>
      <w:vanish/>
      <w:sz w:val="16"/>
      <w:szCs w:val="16"/>
    </w:rPr>
  </w:style>
  <w:style w:type="character" w:customStyle="1" w:styleId="style4112">
    <w:name w:val="sr-only"/>
    <w:basedOn w:val="style65"/>
    <w:next w:val="style4112"/>
  </w:style>
  <w:style w:type="character" w:customStyle="1" w:styleId="style4113">
    <w:name w:val="Heading 6 Char_80e444be-1c01-4a46-b756-de5922c93b7e"/>
    <w:basedOn w:val="style65"/>
    <w:next w:val="style4113"/>
    <w:link w:val="style6"/>
    <w:uiPriority w:val="9"/>
    <w:rPr>
      <w:rFonts w:ascii="Calibri Light" w:cs="宋体" w:eastAsia="宋体" w:hAnsi="Calibri Light"/>
      <w:color w:val="1f3763"/>
      <w:sz w:val="24"/>
      <w:szCs w:val="24"/>
    </w:rPr>
  </w:style>
</w:styles>
</file>

<file path=word/_rels/document.xml.rels><?xml version="1.0" encoding="UTF-8"?>
<Relationships xmlns="http://schemas.openxmlformats.org/package/2006/relationships"><Relationship Id="rId20"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2.jpeg"/><Relationship Id="rId12" Type="http://schemas.openxmlformats.org/officeDocument/2006/relationships/image" Target="media/image4.png"/><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3.xml"/><Relationship Id="rId9" Type="http://schemas.openxmlformats.org/officeDocument/2006/relationships/oleObject" Target="embeddings/oleObject1.bin"/><Relationship Id="rId15" Type="http://schemas.openxmlformats.org/officeDocument/2006/relationships/image" Target="media/image3.jpeg"/><Relationship Id="rId14" Type="http://schemas.openxmlformats.org/officeDocument/2006/relationships/image" Target="media/image5.png"/><Relationship Id="rId17" Type="http://schemas.openxmlformats.org/officeDocument/2006/relationships/fontTable" Target="fontTable.xml"/><Relationship Id="rId16" Type="http://schemas.openxmlformats.org/officeDocument/2006/relationships/styles" Target="styles.xml"/><Relationship Id="rId5" Type="http://schemas.openxmlformats.org/officeDocument/2006/relationships/footer" Target="footer4.xml"/><Relationship Id="rId19" Type="http://schemas.openxmlformats.org/officeDocument/2006/relationships/theme" Target="theme/theme1.xml"/><Relationship Id="rId6" Type="http://schemas.openxmlformats.org/officeDocument/2006/relationships/header" Target="header5.xml"/><Relationship Id="rId18" Type="http://schemas.openxmlformats.org/officeDocument/2006/relationships/settings" Target="settings.xml"/><Relationship Id="rId7" Type="http://schemas.openxmlformats.org/officeDocument/2006/relationships/chart" Target="charts/chart1.xml"/><Relationship Id="rId8" Type="http://schemas.openxmlformats.org/officeDocument/2006/relationships/image" Target="media/image1.png"/></Relationships>
</file>

<file path=word/_rels/header2.xml.rels><?xml version="1.0" encoding="UTF-8"?>
<Relationships xmlns="http://schemas.openxmlformats.org/package/2006/relationships"><Relationship Id="rId1" Type="http://schemas.openxmlformats.org/officeDocument/2006/relationships/image" Target="media/image6.png"/></Relationships>
</file>

<file path=word/charts/_rels/chart1.xml.rels><?xml version="1.0" encoding="UTF-8"?>
<Relationships xmlns="http://schemas.openxmlformats.org/package/2006/relationships"><Relationship Id="rId1" Type="http://schemas.openxmlformats.org/officeDocument/2006/relationships/oleObject" TargetMode="External" Target="https://cenbank-my.sharepoint.com/personal/laniran26079_cbn_gov_ng/Documents/Desktop/New%20folder/cape/2026/bulletin%20data.xlsx"/><Relationship Id="rId2" Type="http://schemas.microsoft.com/office/2011/relationships/chartStyle" Target="style1.xml"/><Relationship Id="rId3" Type="http://schemas.microsoft.com/office/2011/relationships/chartColorStyle" Target="colors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90325956673467"/>
          <c:y val="0.02741406949879768"/>
          <c:w val="0.9028635170603675"/>
          <c:h val="0.8792898804316127"/>
        </c:manualLayout>
      </c:layout>
      <c:barChart>
        <c:barDir val="col"/>
        <c:grouping val="clustered"/>
        <c:varyColors val="0"/>
        <c:ser>
          <c:idx val="0"/>
          <c:order val="0"/>
          <c:tx>
            <c:strRef>
              <c:f>Sheet2!$C$13</c:f>
              <c:strCache>
                <c:ptCount val="1"/>
                <c:pt idx="0">
                  <c:v>Mar-26</c:v>
                </c:pt>
              </c:strCache>
            </c:strRef>
          </c:tx>
          <c:spPr>
            <a:solidFill>
              <a:schemeClr val="accent1"/>
            </a:solidFill>
            <a:ln>
              <a:noFill/>
            </a:ln>
            <a:effectLst/>
            <a:scene3d>
              <a:camera prst="orthographicFront"/>
              <a:lightRig dir="t" rig="threePt"/>
            </a:scene3d>
            <a:sp3d>
              <a:bevelT w="139700" h="139700" prst="divo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Sheet2!$C$14:$C$21</c:f>
              <c:numCache>
                <c:formatCode>General</c:formatCode>
                <c:ptCount val="8"/>
                <c:pt idx="0">
                  <c:v>1.0</c:v>
                </c:pt>
                <c:pt idx="1">
                  <c:v>3.1</c:v>
                </c:pt>
                <c:pt idx="2">
                  <c:v>3.3</c:v>
                </c:pt>
                <c:pt idx="3">
                  <c:v>2.6</c:v>
                </c:pt>
                <c:pt idx="4">
                  <c:v>3.3</c:v>
                </c:pt>
                <c:pt idx="5">
                  <c:v>15.2</c:v>
                </c:pt>
                <c:pt idx="6">
                  <c:v>15.38</c:v>
                </c:pt>
                <c:pt idx="7">
                  <c:v>3.2</c:v>
                </c:pt>
              </c:numCache>
            </c:numRef>
          </c:val>
        </c:ser>
        <c:ser>
          <c:idx val="1"/>
          <c:order val="1"/>
          <c:tx>
            <c:strRef>
              <c:f>Sheet2!$D$13</c:f>
              <c:strCache>
                <c:ptCount val="1"/>
                <c:pt idx="0">
                  <c:v>Feb-26</c:v>
                </c:pt>
              </c:strCache>
            </c:strRef>
          </c:tx>
          <c:spPr>
            <a:solidFill>
              <a:srgbClr val="C00000"/>
            </a:solidFill>
            <a:ln>
              <a:noFill/>
            </a:ln>
            <a:effectLst/>
            <a:scene3d>
              <a:camera prst="orthographicFront"/>
              <a:lightRig dir="t" rig="threePt"/>
            </a:scene3d>
            <a:sp3d>
              <a:bevel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Sheet2!$D$14:$D$21</c:f>
              <c:numCache>
                <c:formatCode>General</c:formatCode>
                <c:ptCount val="8"/>
                <c:pt idx="0">
                  <c:v>1.3</c:v>
                </c:pt>
                <c:pt idx="1">
                  <c:v>3.0</c:v>
                </c:pt>
                <c:pt idx="2">
                  <c:v>2.4</c:v>
                </c:pt>
                <c:pt idx="3">
                  <c:v>1.9</c:v>
                </c:pt>
                <c:pt idx="4">
                  <c:v>3.0</c:v>
                </c:pt>
                <c:pt idx="5">
                  <c:v>13.4</c:v>
                </c:pt>
                <c:pt idx="6">
                  <c:v>15.06</c:v>
                </c:pt>
                <c:pt idx="7">
                  <c:v>3.3</c:v>
                </c:pt>
              </c:numCache>
            </c:numRef>
          </c:val>
        </c:ser>
        <c:dLbls>
          <c:showLegendKey val="0"/>
          <c:showVal val="0"/>
          <c:showCatName val="0"/>
          <c:showSerName val="0"/>
          <c:showPercent val="0"/>
          <c:showBubbleSize val="0"/>
        </c:dLbls>
        <c:gapWidth val="199"/>
        <c:axId val="1794116800"/>
        <c:axId val="1824792512"/>
      </c:barChart>
      <c:catAx>
        <c:axId val="1794116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1" i="0" u="none" strike="noStrike" kern="1200" cap="none" spc="0" normalizeH="0" baseline="0">
                <a:solidFill>
                  <a:sysClr val="windowText" lastClr="000000"/>
                </a:solidFill>
                <a:latin typeface="+mn-lt"/>
                <a:ea typeface="+mn-ea"/>
                <a:cs typeface="+mn-cs"/>
              </a:defRPr>
            </a:pPr>
            <a:endParaRPr lang="en-NG"/>
          </a:p>
        </c:txPr>
        <c:crossAx val="1824792512"/>
        <c:crosses val="autoZero"/>
        <c:auto val="1"/>
        <c:lblAlgn val="ctr"/>
        <c:lblOffset val="100"/>
        <c:noMultiLvlLbl val="0"/>
      </c:catAx>
      <c:valAx>
        <c:axId val="1824792512"/>
        <c:scaling>
          <c:orientation val="minMax"/>
        </c:scaling>
        <c:delete val="0"/>
        <c:axPos val="l"/>
        <c:title>
          <c:tx>
            <c:rich>
              <a:bodyPr rot="-5400000" spcFirstLastPara="1" vertOverflow="ellipsis" vert="horz" wrap="square" anchor="ctr" anchorCtr="1"/>
              <a:lstStyle/>
              <a:p>
                <a:pPr>
                  <a:defRPr sz="600" b="1" i="0" u="none" strike="noStrike" kern="1200" cap="all" baseline="0">
                    <a:solidFill>
                      <a:sysClr val="windowText" lastClr="000000"/>
                    </a:solidFill>
                    <a:latin typeface="+mn-lt"/>
                    <a:ea typeface="+mn-ea"/>
                    <a:cs typeface="+mn-cs"/>
                  </a:defRPr>
                </a:pPr>
                <a:r>
                  <a:rPr lang="en-GB"/>
                  <a:t>INFLATION (%)</a:t>
                </a:r>
              </a:p>
            </c:rich>
          </c:tx>
          <c:overlay val="0"/>
          <c:spPr>
            <a:noFill/>
            <a:ln>
              <a:noFill/>
            </a:ln>
            <a:effectLst/>
          </c:spPr>
          <c:txPr>
            <a:bodyPr rot="-5400000" spcFirstLastPara="1" vertOverflow="ellipsis" vert="horz" wrap="square" anchor="ctr" anchorCtr="1"/>
            <a:lstStyle/>
            <a:p>
              <a:pPr>
                <a:defRPr sz="600" b="1" i="0" u="none" strike="noStrike" kern="1200" cap="all" baseline="0">
                  <a:solidFill>
                    <a:sysClr val="windowText" lastClr="000000"/>
                  </a:solidFill>
                  <a:latin typeface="+mn-lt"/>
                  <a:ea typeface="+mn-ea"/>
                  <a:cs typeface="+mn-cs"/>
                </a:defRPr>
              </a:pPr>
              <a:endParaRPr lang="en-NG"/>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1" i="0" u="none" strike="noStrike" kern="1200" baseline="0">
                <a:solidFill>
                  <a:sysClr val="windowText" lastClr="000000"/>
                </a:solidFill>
                <a:latin typeface="+mn-lt"/>
                <a:ea typeface="+mn-ea"/>
                <a:cs typeface="+mn-cs"/>
              </a:defRPr>
            </a:pPr>
            <a:endParaRPr lang="en-NG"/>
          </a:p>
        </c:txPr>
        <c:crossAx val="17941168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1" i="0" u="none" strike="noStrike" kern="1200" baseline="0">
              <a:solidFill>
                <a:sysClr val="windowText" lastClr="000000"/>
              </a:solidFill>
              <a:latin typeface="+mn-lt"/>
              <a:ea typeface="+mn-ea"/>
              <a:cs typeface="+mn-cs"/>
            </a:defRPr>
          </a:pPr>
          <a:endParaRPr lang="en-NG"/>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b="1">
          <a:solidFill>
            <a:sysClr val="windowText" lastClr="000000"/>
          </a:solidFill>
        </a:defRPr>
      </a:pPr>
      <a:endParaRPr lang="en-NG"/>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TBClassification>
  <attrValue xml:space="preserve">Public</attrValue>
  <customPropName>Classification</customPropName>
  <timestamp>05/09/2022 17:14:15</timestamp>
  <userName>CENBANK\LANIRAN26079</userName>
  <computerName>MPDLTPA26079.cenbank.net</computerName>
  <guid>{528e43bb-cdf0-4d1e-833a-fd14e6776c05}</guid>
</GTBClassification>
</file>

<file path=customXml/itemProps1.xml><?xml version="1.0" encoding="utf-8"?>
<ds:datastoreItem xmlns:ds="http://schemas.openxmlformats.org/officeDocument/2006/customXml" ds:itemID="{8BBF37B7-993C-4C5D-88C9-780EC30EEAB7}">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4625</Words>
  <Pages>10</Pages>
  <Characters>29307</Characters>
  <Application>WPS Office</Application>
  <DocSecurity>0</DocSecurity>
  <Paragraphs>165</Paragraphs>
  <ScaleCrop>false</ScaleCrop>
  <LinksUpToDate>false</LinksUpToDate>
  <CharactersWithSpaces>33824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2026-05-09T23:47:00Z</dcterms:created>
  <dc:creator>LANIRAN, TEMITOPE JOSEPH</dc:creator>
  <lastModifiedBy>SM-G991U1</lastModifiedBy>
  <lastPrinted>2022-11-09T11:59:00Z</lastPrinted>
  <dcterms:modified xsi:type="dcterms:W3CDTF">2026-05-10T20:29:22Z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c88eb2-eb2d-44c8-912e-96a8f22df436_Enabled">
    <vt:lpwstr>True</vt:lpwstr>
  </property>
  <property fmtid="{D5CDD505-2E9C-101B-9397-08002B2CF9AE}" pid="3" name="MSIP_Label_a6c88eb2-eb2d-44c8-912e-96a8f22df436_SiteId">
    <vt:lpwstr>9cdc7dd5-9dd6-4fbb-9a68-bcb9021721d0</vt:lpwstr>
  </property>
  <property fmtid="{D5CDD505-2E9C-101B-9397-08002B2CF9AE}" pid="4" name="MSIP_Label_a6c88eb2-eb2d-44c8-912e-96a8f22df436_Owner">
    <vt:lpwstr>LANIRAN26079@cbn.gov.ng</vt:lpwstr>
  </property>
  <property fmtid="{D5CDD505-2E9C-101B-9397-08002B2CF9AE}" pid="5" name="MSIP_Label_a6c88eb2-eb2d-44c8-912e-96a8f22df436_SetDate">
    <vt:lpwstr>2022-08-18T14:34:27.9583406Z</vt:lpwstr>
  </property>
  <property fmtid="{D5CDD505-2E9C-101B-9397-08002B2CF9AE}" pid="6" name="MSIP_Label_a6c88eb2-eb2d-44c8-912e-96a8f22df436_Name">
    <vt:lpwstr>Confidential</vt:lpwstr>
  </property>
  <property fmtid="{D5CDD505-2E9C-101B-9397-08002B2CF9AE}" pid="7" name="MSIP_Label_a6c88eb2-eb2d-44c8-912e-96a8f22df436_Application">
    <vt:lpwstr>Microsoft Azure Information Protection</vt:lpwstr>
  </property>
  <property fmtid="{D5CDD505-2E9C-101B-9397-08002B2CF9AE}" pid="8" name="MSIP_Label_a6c88eb2-eb2d-44c8-912e-96a8f22df436_Extended_MSFT_Method">
    <vt:lpwstr>Automatic</vt:lpwstr>
  </property>
  <property fmtid="{D5CDD505-2E9C-101B-9397-08002B2CF9AE}" pid="9" name="MSIP_Label_56a3f9de-d7f5-4481-ad90-6d032fa2cd3a_Enabled">
    <vt:lpwstr>True</vt:lpwstr>
  </property>
  <property fmtid="{D5CDD505-2E9C-101B-9397-08002B2CF9AE}" pid="10" name="MSIP_Label_56a3f9de-d7f5-4481-ad90-6d032fa2cd3a_SiteId">
    <vt:lpwstr>9cdc7dd5-9dd6-4fbb-9a68-bcb9021721d0</vt:lpwstr>
  </property>
  <property fmtid="{D5CDD505-2E9C-101B-9397-08002B2CF9AE}" pid="11" name="MSIP_Label_56a3f9de-d7f5-4481-ad90-6d032fa2cd3a_Owner">
    <vt:lpwstr>LANIRAN26079@cbn.gov.ng</vt:lpwstr>
  </property>
  <property fmtid="{D5CDD505-2E9C-101B-9397-08002B2CF9AE}" pid="12" name="MSIP_Label_56a3f9de-d7f5-4481-ad90-6d032fa2cd3a_SetDate">
    <vt:lpwstr>2022-08-18T14:34:27.9583406Z</vt:lpwstr>
  </property>
  <property fmtid="{D5CDD505-2E9C-101B-9397-08002B2CF9AE}" pid="13" name="MSIP_Label_56a3f9de-d7f5-4481-ad90-6d032fa2cd3a_Name">
    <vt:lpwstr>Anyone (not protected)</vt:lpwstr>
  </property>
  <property fmtid="{D5CDD505-2E9C-101B-9397-08002B2CF9AE}" pid="14" name="MSIP_Label_56a3f9de-d7f5-4481-ad90-6d032fa2cd3a_Application">
    <vt:lpwstr>Microsoft Azure Information Protection</vt:lpwstr>
  </property>
  <property fmtid="{D5CDD505-2E9C-101B-9397-08002B2CF9AE}" pid="15" name="MSIP_Label_56a3f9de-d7f5-4481-ad90-6d032fa2cd3a_Parent">
    <vt:lpwstr>a6c88eb2-eb2d-44c8-912e-96a8f22df436</vt:lpwstr>
  </property>
  <property fmtid="{D5CDD505-2E9C-101B-9397-08002B2CF9AE}" pid="16" name="MSIP_Label_56a3f9de-d7f5-4481-ad90-6d032fa2cd3a_Extended_MSFT_Method">
    <vt:lpwstr>Automatic</vt:lpwstr>
  </property>
  <property fmtid="{D5CDD505-2E9C-101B-9397-08002B2CF9AE}" pid="17" name="Sensitivity">
    <vt:lpwstr>Confidential Anyone (not protected)</vt:lpwstr>
  </property>
  <property fmtid="{D5CDD505-2E9C-101B-9397-08002B2CF9AE}" pid="18" name="Classification">
    <vt:lpwstr>Public</vt:lpwstr>
  </property>
  <property fmtid="{D5CDD505-2E9C-101B-9397-08002B2CF9AE}" pid="19" name="ClassifiedBy">
    <vt:lpwstr>CENBANK\LANIRAN26079</vt:lpwstr>
  </property>
  <property fmtid="{D5CDD505-2E9C-101B-9397-08002B2CF9AE}" pid="20" name="ClassificationHost">
    <vt:lpwstr>MPDLTPA26079.cenbank.net</vt:lpwstr>
  </property>
  <property fmtid="{D5CDD505-2E9C-101B-9397-08002B2CF9AE}" pid="21" name="ClassificationDate">
    <vt:lpwstr>05/09/2022 17:14:15</vt:lpwstr>
  </property>
  <property fmtid="{D5CDD505-2E9C-101B-9397-08002B2CF9AE}" pid="22" name="ClassificationGUID">
    <vt:lpwstr>{528e43bb-cdf0-4d1e-833a-fd14e6776c05}</vt:lpwstr>
  </property>
  <property fmtid="{D5CDD505-2E9C-101B-9397-08002B2CF9AE}" pid="23" name="GrammarlyDocumentId">
    <vt:lpwstr>dfac30b43ab051f1c0fe405626e5c39e9b605bb48f2cd706e1783e03fa17b067</vt:lpwstr>
  </property>
  <property fmtid="{D5CDD505-2E9C-101B-9397-08002B2CF9AE}" pid="24" name="ICV">
    <vt:lpwstr>9742d1dd8bd2439eac92cd8aad5146bd</vt:lpwstr>
  </property>
</Properties>
</file>