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AA832E" w14:textId="30680BD0" w:rsidR="00845DC9" w:rsidRDefault="00F25966">
      <w:pPr>
        <w:pStyle w:val="Title"/>
        <w:spacing w:line="276" w:lineRule="auto"/>
        <w:rPr>
          <w:rFonts w:ascii="Calibri" w:hAnsi="Calibri" w:cs="Calibri"/>
          <w:sz w:val="32"/>
          <w:szCs w:val="32"/>
          <w:lang w:val="en-GB"/>
        </w:rPr>
      </w:pPr>
      <w:r>
        <w:rPr>
          <w:rFonts w:ascii="Calibri" w:hAnsi="Calibri" w:cs="Calibri"/>
          <w:sz w:val="32"/>
          <w:szCs w:val="32"/>
          <w:lang w:val="en-GB"/>
        </w:rPr>
        <w:t>Cape Economic Performance and Prospect Bulletin – October 2026</w:t>
      </w:r>
    </w:p>
    <w:p w14:paraId="6E777997" w14:textId="77777777" w:rsidR="00845DC9" w:rsidRDefault="00F25966">
      <w:pPr>
        <w:spacing w:before="240" w:line="276" w:lineRule="auto"/>
        <w:jc w:val="both"/>
        <w:rPr>
          <w:rFonts w:ascii="Calibri" w:hAnsi="Calibri" w:cs="Calibri"/>
          <w:b/>
          <w:bCs/>
          <w:lang w:val="en-GB"/>
        </w:rPr>
      </w:pPr>
      <w:r>
        <w:rPr>
          <w:rFonts w:ascii="Calibri" w:hAnsi="Calibri" w:cs="Calibri"/>
          <w:b/>
          <w:bCs/>
          <w:lang w:val="en-GB"/>
        </w:rPr>
        <w:t>Highlights</w:t>
      </w:r>
    </w:p>
    <w:p w14:paraId="788075B0" w14:textId="77777777" w:rsidR="00845DC9" w:rsidRDefault="00F25966">
      <w:pPr>
        <w:numPr>
          <w:ilvl w:val="0"/>
          <w:numId w:val="1"/>
        </w:numPr>
        <w:spacing w:line="276" w:lineRule="auto"/>
        <w:ind w:left="142"/>
        <w:contextualSpacing/>
        <w:jc w:val="both"/>
        <w:rPr>
          <w:rFonts w:ascii="Calibri" w:hAnsi="Calibri" w:cs="Calibri"/>
          <w:i/>
          <w:iCs/>
          <w:sz w:val="18"/>
          <w:szCs w:val="18"/>
          <w:lang w:val="en-GB"/>
        </w:rPr>
      </w:pPr>
      <w:r>
        <w:rPr>
          <w:rFonts w:ascii="Calibri" w:hAnsi="Calibri" w:cs="Calibri"/>
          <w:i/>
          <w:iCs/>
          <w:sz w:val="18"/>
          <w:szCs w:val="18"/>
          <w:lang w:val="en-GB"/>
        </w:rPr>
        <w:t>CAPE expects headline inflation to ease to 15.40 per cent in August 2026, within a forecast range of 14.98–15.51 per cent, as early harvest supplies offer some relief from food-price pressures.</w:t>
      </w:r>
    </w:p>
    <w:p w14:paraId="732FC710" w14:textId="77777777" w:rsidR="00845DC9" w:rsidRDefault="00F25966">
      <w:pPr>
        <w:numPr>
          <w:ilvl w:val="0"/>
          <w:numId w:val="1"/>
        </w:numPr>
        <w:spacing w:line="276" w:lineRule="auto"/>
        <w:ind w:left="142"/>
        <w:contextualSpacing/>
        <w:jc w:val="both"/>
        <w:rPr>
          <w:rFonts w:ascii="Calibri" w:hAnsi="Calibri" w:cs="Calibri"/>
          <w:i/>
          <w:iCs/>
          <w:sz w:val="18"/>
          <w:szCs w:val="18"/>
          <w:lang w:val="en-GB"/>
        </w:rPr>
      </w:pPr>
      <w:r>
        <w:rPr>
          <w:rFonts w:ascii="Calibri" w:hAnsi="Calibri" w:cs="Calibri"/>
          <w:i/>
          <w:iCs/>
          <w:sz w:val="18"/>
          <w:szCs w:val="18"/>
          <w:lang w:val="en-GB"/>
        </w:rPr>
        <w:t>Nigeria’s real GDP growth strengthened to 4.43 per cent in Q2 2026. CAPE places Q3 2026 growth within an indicative range of 4.34–4.50 per cent. CAPE continues to assess the strength and breadth of the recovery.</w:t>
      </w:r>
    </w:p>
    <w:p w14:paraId="0AF4A0D5" w14:textId="77777777" w:rsidR="00845DC9" w:rsidRDefault="00845DC9">
      <w:pPr>
        <w:spacing w:line="276" w:lineRule="auto"/>
        <w:jc w:val="both"/>
        <w:rPr>
          <w:rFonts w:ascii="Calibri" w:hAnsi="Calibri" w:cs="Calibri"/>
          <w:lang w:val="en-GB"/>
        </w:rPr>
        <w:sectPr w:rsidR="00845DC9">
          <w:headerReference w:type="default" r:id="rId9"/>
          <w:footerReference w:type="default" r:id="rId10"/>
          <w:type w:val="continuous"/>
          <w:pgSz w:w="11906" w:h="16838"/>
          <w:pgMar w:top="1440" w:right="849" w:bottom="1440" w:left="1440" w:header="708" w:footer="708" w:gutter="0"/>
          <w:cols w:space="708"/>
          <w:docGrid w:linePitch="360"/>
        </w:sectPr>
      </w:pPr>
    </w:p>
    <w:p w14:paraId="65CAD422" w14:textId="77777777" w:rsidR="00845DC9" w:rsidRDefault="00F25966">
      <w:pPr>
        <w:pStyle w:val="Heading1"/>
        <w:spacing w:line="276" w:lineRule="auto"/>
        <w:rPr>
          <w:rFonts w:ascii="Calibri" w:hAnsi="Calibri" w:cs="Calibri"/>
          <w:color w:val="auto"/>
          <w:lang w:val="en-GB"/>
        </w:rPr>
        <w:sectPr w:rsidR="00845DC9">
          <w:type w:val="continuous"/>
          <w:pgSz w:w="11906" w:h="16838"/>
          <w:pgMar w:top="1440" w:right="849" w:bottom="1440" w:left="1440" w:header="708" w:footer="708" w:gutter="0"/>
          <w:cols w:space="708"/>
          <w:docGrid w:linePitch="360"/>
        </w:sectPr>
      </w:pPr>
      <w:r>
        <w:rPr>
          <w:rFonts w:ascii="Calibri" w:hAnsi="Calibri" w:cs="Calibri"/>
          <w:color w:val="auto"/>
          <w:lang w:val="en-GB"/>
        </w:rPr>
        <w:t xml:space="preserve">Global Economic Update   </w:t>
      </w:r>
    </w:p>
    <w:p w14:paraId="31390481" w14:textId="4E5BFAB4" w:rsidR="00845DC9" w:rsidRDefault="00F25966">
      <w:pPr>
        <w:spacing w:after="160" w:line="276" w:lineRule="auto"/>
        <w:jc w:val="both"/>
        <w:rPr>
          <w:rFonts w:ascii="Calibri" w:hAnsi="Calibri" w:cs="Calibri"/>
          <w:sz w:val="22"/>
          <w:szCs w:val="22"/>
          <w:lang w:eastAsia="en-US"/>
        </w:rPr>
      </w:pPr>
      <w:r>
        <w:rPr>
          <w:rFonts w:ascii="Calibri" w:hAnsi="Calibri" w:cs="Calibri"/>
          <w:sz w:val="22"/>
          <w:szCs w:val="22"/>
          <w:lang w:eastAsia="en-US"/>
        </w:rPr>
        <w:t>Global growth remains moderate amid heightened uncertainty. The IMF’s July 2026 World Economic Outlook Update projects expansion of 3.0 per cent in 2026 and 3.4 per cent in 2027. Resilient services and technology investment support activity, while energy shocks, trade tensions and high borrowing costs weigh on the outlook.</w:t>
      </w:r>
    </w:p>
    <w:p w14:paraId="736E8EC5" w14:textId="39AD999E" w:rsidR="00845DC9" w:rsidRDefault="00F25966">
      <w:pPr>
        <w:spacing w:after="160" w:line="276" w:lineRule="auto"/>
        <w:jc w:val="both"/>
        <w:rPr>
          <w:rFonts w:ascii="Calibri" w:hAnsi="Calibri" w:cs="Calibri"/>
          <w:sz w:val="22"/>
          <w:szCs w:val="22"/>
          <w:lang w:eastAsia="en-US"/>
        </w:rPr>
      </w:pPr>
      <w:r>
        <w:rPr>
          <w:rFonts w:ascii="Calibri" w:hAnsi="Calibri" w:cs="Calibri"/>
          <w:sz w:val="22"/>
          <w:szCs w:val="22"/>
          <w:lang w:eastAsia="en-US"/>
        </w:rPr>
        <w:t>Growth prospects remain uneven. Economies with stronger domestic demand and greater access to finance are better placed to absorb external shocks. Highly indebted and import-dependent economies have less room to protect households and businesses from higher costs.</w:t>
      </w:r>
    </w:p>
    <w:p w14:paraId="73680776" w14:textId="77777777" w:rsidR="00845DC9" w:rsidRDefault="00F25966">
      <w:pPr>
        <w:spacing w:after="160" w:line="276" w:lineRule="auto"/>
        <w:jc w:val="both"/>
        <w:rPr>
          <w:rFonts w:ascii="Calibri" w:hAnsi="Calibri" w:cs="Calibri"/>
          <w:sz w:val="22"/>
          <w:szCs w:val="22"/>
          <w:lang w:eastAsia="en-US"/>
        </w:rPr>
      </w:pPr>
      <w:r>
        <w:rPr>
          <w:rFonts w:ascii="Calibri" w:hAnsi="Calibri" w:cs="Calibri"/>
          <w:sz w:val="22"/>
          <w:szCs w:val="22"/>
          <w:lang w:eastAsia="en-US"/>
        </w:rPr>
        <w:t>Trade-policy uncertainty continues to complicate business planning. Changes in tariffs and supply routes raise procurement costs and working-capital needs, particularly for smaller firms. Prolonged fragmentation would also weaken investment and productivity by reducing access to markets and efficient production networks.</w:t>
      </w:r>
    </w:p>
    <w:p w14:paraId="78F32948" w14:textId="7B8ABA24" w:rsidR="00845DC9" w:rsidRDefault="00F25966">
      <w:pPr>
        <w:spacing w:after="160" w:line="276" w:lineRule="auto"/>
        <w:jc w:val="both"/>
        <w:rPr>
          <w:rFonts w:ascii="Calibri" w:hAnsi="Calibri" w:cs="Calibri"/>
          <w:sz w:val="22"/>
          <w:szCs w:val="22"/>
          <w:lang w:eastAsia="en-US"/>
        </w:rPr>
      </w:pPr>
      <w:r>
        <w:rPr>
          <w:rFonts w:ascii="Calibri" w:hAnsi="Calibri" w:cs="Calibri"/>
          <w:sz w:val="22"/>
          <w:szCs w:val="22"/>
          <w:lang w:eastAsia="en-US"/>
        </w:rPr>
        <w:t>Major advanced-economy central banks maintained a cautious stance in July. The Federal Reserve held its target range at 3.50–3.75 per cent, the European Central Bank retained its 2.25 per cent deposit rate, and the Bank of England left Bank Rate at 3.75 per cent. Persistent inflation pressures continue to limit the scope for monetary easing.</w:t>
      </w:r>
    </w:p>
    <w:p w14:paraId="2383B342" w14:textId="77777777" w:rsidR="00845DC9" w:rsidRDefault="00F25966">
      <w:pPr>
        <w:spacing w:after="160" w:line="276" w:lineRule="auto"/>
        <w:jc w:val="both"/>
        <w:rPr>
          <w:rFonts w:ascii="Calibri" w:hAnsi="Calibri" w:cs="Calibri"/>
          <w:sz w:val="22"/>
          <w:szCs w:val="22"/>
          <w:lang w:eastAsia="en-US"/>
        </w:rPr>
      </w:pPr>
      <w:r>
        <w:rPr>
          <w:rFonts w:ascii="Calibri" w:hAnsi="Calibri" w:cs="Calibri"/>
          <w:sz w:val="22"/>
          <w:szCs w:val="22"/>
          <w:lang w:eastAsia="en-US"/>
        </w:rPr>
        <w:t>Emerging-market performance remains mixed. Domestic demand and investment support activity in parts of Asia, while debt-service burdens and currency pressures constrain several frontier markets. For African economies, export opportunities must be weighed against exposure to imported fuel, food and financing costs.</w:t>
      </w:r>
    </w:p>
    <w:p w14:paraId="0E80A772" w14:textId="37DACD52" w:rsidR="00845DC9" w:rsidRDefault="00F25966">
      <w:pPr>
        <w:spacing w:after="160" w:line="276" w:lineRule="auto"/>
        <w:jc w:val="both"/>
        <w:rPr>
          <w:rFonts w:ascii="Calibri" w:hAnsi="Calibri" w:cs="Calibri"/>
          <w:sz w:val="22"/>
          <w:szCs w:val="22"/>
          <w:lang w:eastAsia="en-US"/>
        </w:rPr>
      </w:pPr>
      <w:r>
        <w:rPr>
          <w:rFonts w:ascii="Calibri" w:hAnsi="Calibri" w:cs="Calibri"/>
          <w:sz w:val="22"/>
          <w:szCs w:val="22"/>
          <w:lang w:eastAsia="en-US"/>
        </w:rPr>
        <w:t>The IMF projects global headline inflation at 4.7 per cent in 2026, up from 4.1 per cent in 2025, before easing to 3.9 per cent in 2027. Renewed energy pressures have interrupted disinflation, with fuel, freight and fertiliser costs transmitting into broader consumer prices.</w:t>
      </w:r>
    </w:p>
    <w:p w14:paraId="78A48A4A" w14:textId="77777777" w:rsidR="00845DC9" w:rsidRDefault="00F25966">
      <w:pPr>
        <w:spacing w:line="276" w:lineRule="auto"/>
        <w:ind w:left="851" w:hanging="851"/>
        <w:jc w:val="both"/>
        <w:rPr>
          <w:rFonts w:ascii="Calibri" w:hAnsi="Calibri" w:cs="Calibri"/>
          <w:i/>
          <w:iCs/>
          <w:sz w:val="18"/>
          <w:szCs w:val="16"/>
          <w:lang w:val="en-GB"/>
        </w:rPr>
      </w:pPr>
      <w:r>
        <w:rPr>
          <w:rFonts w:ascii="Calibri" w:hAnsi="Calibri" w:cs="Calibri"/>
          <w:i/>
          <w:iCs/>
          <w:sz w:val="18"/>
          <w:szCs w:val="16"/>
        </w:rPr>
        <w:t xml:space="preserve">Figure </w:t>
      </w:r>
      <w:r>
        <w:rPr>
          <w:rFonts w:ascii="Calibri" w:hAnsi="Calibri" w:cs="Calibri"/>
          <w:i/>
          <w:iCs/>
          <w:sz w:val="18"/>
          <w:szCs w:val="16"/>
          <w:lang w:val="en-GB"/>
        </w:rPr>
        <w:t>1</w:t>
      </w:r>
      <w:r>
        <w:rPr>
          <w:rFonts w:ascii="Calibri" w:hAnsi="Calibri" w:cs="Calibri"/>
          <w:i/>
          <w:iCs/>
          <w:sz w:val="18"/>
          <w:szCs w:val="16"/>
        </w:rPr>
        <w:t xml:space="preserve">: Year-on-Year </w:t>
      </w:r>
      <w:r>
        <w:rPr>
          <w:rFonts w:ascii="Calibri" w:hAnsi="Calibri" w:cs="Calibri"/>
          <w:i/>
          <w:iCs/>
          <w:sz w:val="18"/>
          <w:szCs w:val="16"/>
          <w:lang w:val="en-GB"/>
        </w:rPr>
        <w:t xml:space="preserve">Inflation in Selected Economies (May 2025 – June </w:t>
      </w:r>
      <w:r>
        <w:rPr>
          <w:rFonts w:ascii="Calibri" w:hAnsi="Calibri" w:cs="Calibri"/>
          <w:i/>
          <w:iCs/>
          <w:sz w:val="18"/>
          <w:szCs w:val="16"/>
        </w:rPr>
        <w:t>202</w:t>
      </w:r>
      <w:r>
        <w:rPr>
          <w:rFonts w:ascii="Calibri" w:hAnsi="Calibri" w:cs="Calibri"/>
          <w:i/>
          <w:iCs/>
          <w:sz w:val="18"/>
          <w:szCs w:val="16"/>
          <w:lang w:val="en-GB"/>
        </w:rPr>
        <w:t>5</w:t>
      </w:r>
      <w:r>
        <w:rPr>
          <w:rFonts w:ascii="Calibri" w:hAnsi="Calibri" w:cs="Calibri"/>
          <w:i/>
          <w:iCs/>
          <w:sz w:val="18"/>
          <w:szCs w:val="16"/>
        </w:rPr>
        <w:t xml:space="preserve">) in </w:t>
      </w:r>
      <w:r>
        <w:rPr>
          <w:rFonts w:ascii="Calibri" w:hAnsi="Calibri" w:cs="Calibri"/>
          <w:i/>
          <w:iCs/>
          <w:sz w:val="18"/>
          <w:szCs w:val="16"/>
          <w:lang w:val="en-GB"/>
        </w:rPr>
        <w:t>percent</w:t>
      </w:r>
    </w:p>
    <w:p w14:paraId="5B5A3CD5" w14:textId="77777777" w:rsidR="00845DC9" w:rsidRDefault="00F25966">
      <w:pPr>
        <w:spacing w:line="276" w:lineRule="auto"/>
        <w:ind w:left="851" w:hanging="851"/>
        <w:jc w:val="both"/>
        <w:rPr>
          <w:rFonts w:ascii="Calibri" w:hAnsi="Calibri" w:cs="Calibri"/>
          <w:sz w:val="18"/>
          <w:szCs w:val="16"/>
          <w:lang w:val="en-GB"/>
        </w:rPr>
      </w:pPr>
      <w:r>
        <w:rPr>
          <w:rFonts w:ascii="Calibri" w:hAnsi="Calibri" w:cs="Calibri"/>
          <w:noProof/>
          <w:lang w:val="en-US" w:eastAsia="en-US"/>
        </w:rPr>
        <w:drawing>
          <wp:inline distT="0" distB="0" distL="0" distR="0" wp14:anchorId="24E4E485" wp14:editId="7C1F93FC">
            <wp:extent cx="2828290" cy="1696720"/>
            <wp:effectExtent l="4445" t="4445" r="12065" b="1333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FDC8C46" w14:textId="77777777" w:rsidR="00845DC9" w:rsidRDefault="00F25966">
      <w:pPr>
        <w:spacing w:line="276" w:lineRule="auto"/>
        <w:jc w:val="both"/>
        <w:rPr>
          <w:rFonts w:ascii="Calibri" w:hAnsi="Calibri" w:cs="Calibri"/>
          <w:lang w:val="en-GB"/>
        </w:rPr>
      </w:pPr>
      <w:r>
        <w:rPr>
          <w:rFonts w:ascii="Calibri" w:hAnsi="Calibri" w:cs="Calibri"/>
          <w:b/>
          <w:bCs/>
          <w:sz w:val="18"/>
          <w:szCs w:val="16"/>
        </w:rPr>
        <w:t>Source: Various National Statistics Offices</w:t>
      </w:r>
    </w:p>
    <w:p w14:paraId="3AFE2B8D" w14:textId="63BB5EF2"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The pace of future interest-rate reductions will depend on whether inflation pressures recede sustainably. Premature easing could prolong inflation, while excessive restraint would weaken investment and employment. Differences in labour markets and exposure to imported energy are likely to produce divergent policy paths.</w:t>
      </w:r>
    </w:p>
    <w:p w14:paraId="43D99D0F"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In Nigeria, the Monetary Policy Committee retained the Monetary Policy Rate at 26.5 per cent and the cash reserve ratio for deposit money banks at 45.0 per cent in July 2026. The restrictive stance supports price stability but keeps borrowing costs elevated. Improvements in food supply, transport and energy remain essential to reducing inflation without placing undue pressure on output.</w:t>
      </w:r>
    </w:p>
    <w:p w14:paraId="0E6B2451" w14:textId="6DEB8DC7" w:rsidR="00845DC9" w:rsidRDefault="00F25966">
      <w:pPr>
        <w:spacing w:after="160" w:line="276" w:lineRule="auto"/>
        <w:jc w:val="both"/>
        <w:rPr>
          <w:rFonts w:ascii="Calibri" w:hAnsi="Calibri" w:cs="Calibri"/>
          <w:sz w:val="22"/>
          <w:szCs w:val="22"/>
        </w:rPr>
      </w:pPr>
      <w:r>
        <w:rPr>
          <w:rFonts w:ascii="Calibri" w:hAnsi="Calibri" w:cs="Calibri"/>
          <w:sz w:val="22"/>
          <w:szCs w:val="22"/>
        </w:rPr>
        <w:t>Financial markets remain sensitive to inflation, interest-rate expectations and geopolitical developments. For frontier economies, sustained capital inflows will depend on credible policy and confidence in currency stability. A renewed shift towards safer assets could tighten external financing conditions even where domestic activity remains resilient.</w:t>
      </w:r>
    </w:p>
    <w:p w14:paraId="3F5CDF10" w14:textId="77777777" w:rsidR="00845DC9" w:rsidRDefault="00F25966">
      <w:pPr>
        <w:spacing w:after="160" w:line="276" w:lineRule="auto"/>
        <w:jc w:val="both"/>
        <w:rPr>
          <w:rFonts w:ascii="Calibri" w:hAnsi="Calibri" w:cs="Calibri"/>
          <w:sz w:val="22"/>
          <w:szCs w:val="22"/>
        </w:rPr>
      </w:pPr>
      <w:r>
        <w:rPr>
          <w:rFonts w:ascii="Calibri" w:hAnsi="Calibri" w:cs="Calibri"/>
          <w:sz w:val="22"/>
          <w:szCs w:val="22"/>
        </w:rPr>
        <w:t>Conflict and uncertainty around major shipping routes continue to threaten supply chains. Higher freight and insurance costs can feed into consumer prices and strain firms’ cash flow. Import-dependent economies are particularly exposed, especially where domestic security and infrastructure constraints already raise distribution costs.</w:t>
      </w:r>
    </w:p>
    <w:p w14:paraId="68E64605"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Oil markets reflect competing pressures. The International Energy Agency reported global supply of 101.5 million barrels per day in July 2026 while lowering its forecast for annual demand growth. North Sea Dated crude ended July near US$96.80 per barrel and traded around US$92 at the time of the August report. Softer demand could weigh on prices, but further supply disruptions remain an upside risk.</w:t>
      </w:r>
    </w:p>
    <w:p w14:paraId="65192C85" w14:textId="00AAFD6A"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For Nigeria, higher crude prices can strengthen export and fiscal receipts only if production is sustained. The IEA estimated July output at about 1.44 million barrels per day, below the 1.5 million-barrel-per-day target. Higher oil prices also raise domestic fuel and transport costs, limiting the benefit to households and non-oil businesses.</w:t>
      </w:r>
    </w:p>
    <w:p w14:paraId="1ECE19FD" w14:textId="2BB4EC21"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The external environment therefore presents both opportunities and risks for Nigeria. Stronger export receipts could support fiscal and foreign-exchange conditions, while renewed energy shocks or tighter global financing would increase domestic pressures. Reliable oil production and stronger non-oil competitiveness remain central to resilience.</w:t>
      </w:r>
    </w:p>
    <w:p w14:paraId="63C7C5A4" w14:textId="77777777" w:rsidR="00845DC9" w:rsidRDefault="00F25966">
      <w:pPr>
        <w:pStyle w:val="Heading1"/>
        <w:spacing w:line="276" w:lineRule="auto"/>
        <w:rPr>
          <w:rFonts w:ascii="Calibri" w:hAnsi="Calibri" w:cs="Calibri"/>
          <w:color w:val="002060"/>
          <w:lang w:val="en-GB"/>
        </w:rPr>
      </w:pPr>
      <w:r>
        <w:rPr>
          <w:rFonts w:ascii="Calibri" w:hAnsi="Calibri" w:cs="Calibri"/>
          <w:color w:val="002060"/>
          <w:lang w:val="en-GB"/>
        </w:rPr>
        <w:t>Global Economic Outlook</w:t>
      </w:r>
    </w:p>
    <w:p w14:paraId="01F61067" w14:textId="2AE50753"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Global expansion is expected to continue through the remainder of 2026, though the recovery remains vulnerable to energy and trade disruptions. Stronger investment would improve the durability of growth; a renewed squeeze on household purchasing power would weaken demand.</w:t>
      </w:r>
    </w:p>
    <w:p w14:paraId="57E00181" w14:textId="362A1274"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Monetary easing is likely to remain gradual and uneven. In Nigeria, sustained disinflation and currency stability would improve the scope for a less restrictive policy stance. Until then, high financing costs are likely to constrain investment and consumption.</w:t>
      </w:r>
    </w:p>
    <w:p w14:paraId="47A693A6" w14:textId="77A4C4A0"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Commodity-price volatility remains a key risk. Favourable harvests could ease food prices, but adverse weather, insecurity and distribution bottlenecks may limit the relief reaching consumers. Oil-price gains should be treated cautiously in fiscal planning because both prices and production can reverse quickly.</w:t>
      </w:r>
    </w:p>
    <w:p w14:paraId="5C7B135B"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Policy priorities remain clear: protect productive investment, improve energy and transport reliability, and rebuild fiscal buffers. Predictable implementation would strengthen business confidence and help economies absorb external shocks.</w:t>
      </w:r>
    </w:p>
    <w:p w14:paraId="78A271E8" w14:textId="77777777" w:rsidR="00845DC9" w:rsidRDefault="00F25966">
      <w:pPr>
        <w:pStyle w:val="Heading1"/>
        <w:spacing w:line="276" w:lineRule="auto"/>
        <w:rPr>
          <w:rFonts w:ascii="Calibri" w:hAnsi="Calibri" w:cs="Calibri"/>
          <w:color w:val="auto"/>
          <w:lang w:val="en-GB"/>
        </w:rPr>
      </w:pPr>
      <w:r>
        <w:rPr>
          <w:rFonts w:ascii="Calibri" w:hAnsi="Calibri" w:cs="Calibri"/>
          <w:color w:val="auto"/>
          <w:lang w:val="en-GB"/>
        </w:rPr>
        <w:t xml:space="preserve">Nigeria’s Output Growth </w:t>
      </w:r>
    </w:p>
    <w:p w14:paraId="0AF8C80C" w14:textId="77777777" w:rsidR="00845DC9" w:rsidRDefault="00F25966">
      <w:pPr>
        <w:spacing w:line="276" w:lineRule="auto"/>
        <w:jc w:val="both"/>
        <w:rPr>
          <w:rFonts w:ascii="Calibri" w:hAnsi="Calibri" w:cs="Calibri"/>
          <w:sz w:val="22"/>
          <w:szCs w:val="22"/>
          <w:lang w:val="en-GB"/>
        </w:rPr>
      </w:pPr>
      <w:r>
        <w:rPr>
          <w:rFonts w:ascii="Calibri" w:hAnsi="Calibri" w:cs="Calibri"/>
          <w:sz w:val="22"/>
          <w:szCs w:val="22"/>
          <w:lang w:val="en-GB"/>
        </w:rPr>
        <w:t>Nigeria’s real GDP grew by 4.43 per cent year-on-year in Q2 2026, up from 3.89 per cent in Q1. Expansion across services, agriculture and industry points to a broadening recovery. The stronger outturn is encouraging, although sustained gains in employment and household purchasing power remain the more demanding test of economic progress.</w:t>
      </w:r>
    </w:p>
    <w:p w14:paraId="16B854E2" w14:textId="13EF0CD5" w:rsidR="00845DC9" w:rsidRDefault="00F25966">
      <w:pPr>
        <w:spacing w:line="276" w:lineRule="auto"/>
        <w:jc w:val="both"/>
        <w:rPr>
          <w:rFonts w:ascii="Calibri" w:hAnsi="Calibri" w:cs="Calibri"/>
          <w:sz w:val="22"/>
          <w:szCs w:val="22"/>
          <w:lang w:val="en-GB"/>
        </w:rPr>
      </w:pPr>
      <w:r>
        <w:rPr>
          <w:rFonts w:ascii="Calibri" w:hAnsi="Calibri" w:cs="Calibri"/>
          <w:sz w:val="22"/>
          <w:szCs w:val="22"/>
          <w:lang w:val="en-GB"/>
        </w:rPr>
        <w:t>The Stanbic IBTC Nigeria Purchasing Managers’ Index (PMI) rose to 52.7 points in August 2026 from 51.1 points in July. This marks 3 consecutive months above the 50.0 threshold and signals continued private-sector expansion. The improvement points to firmer business activity, although high financing, energy, transport and other operating costs remain important constraints.</w:t>
      </w:r>
    </w:p>
    <w:p w14:paraId="389D235D" w14:textId="77777777" w:rsidR="00845DC9" w:rsidRDefault="00F25966">
      <w:pPr>
        <w:spacing w:line="276" w:lineRule="auto"/>
        <w:jc w:val="both"/>
        <w:rPr>
          <w:rFonts w:ascii="Calibri" w:hAnsi="Calibri" w:cs="Calibri"/>
          <w:i/>
          <w:iCs/>
          <w:color w:val="2F5496"/>
          <w:sz w:val="20"/>
          <w:szCs w:val="18"/>
          <w:lang w:val="en-GB"/>
        </w:rPr>
      </w:pPr>
      <w:r>
        <w:rPr>
          <w:rFonts w:ascii="Calibri" w:hAnsi="Calibri" w:cs="Calibri"/>
          <w:i/>
          <w:iCs/>
          <w:color w:val="2F5496"/>
          <w:sz w:val="20"/>
          <w:szCs w:val="18"/>
          <w:lang w:val="en-GB"/>
        </w:rPr>
        <w:t>Figure 2: Trend of Nigeria’s PMI (Jul 2025–Aug 2026)</w:t>
      </w:r>
    </w:p>
    <w:p w14:paraId="7F6288A3" w14:textId="77777777" w:rsidR="00845DC9" w:rsidRDefault="00F25966">
      <w:pPr>
        <w:spacing w:line="276" w:lineRule="auto"/>
        <w:jc w:val="both"/>
        <w:rPr>
          <w:rFonts w:ascii="Calibri" w:hAnsi="Calibri" w:cs="Calibri"/>
          <w:i/>
          <w:iCs/>
          <w:color w:val="2F5496"/>
          <w:sz w:val="20"/>
          <w:szCs w:val="18"/>
          <w:lang w:val="en-GB"/>
        </w:rPr>
      </w:pPr>
      <w:r>
        <w:rPr>
          <w:rFonts w:ascii="Calibri" w:hAnsi="Calibri" w:cs="Calibri"/>
          <w:i/>
          <w:iCs/>
          <w:noProof/>
          <w:color w:val="2F5496"/>
          <w:sz w:val="20"/>
          <w:szCs w:val="18"/>
          <w:lang w:val="en-US" w:eastAsia="en-US"/>
        </w:rPr>
        <w:drawing>
          <wp:anchor distT="0" distB="0" distL="114300" distR="114300" simplePos="0" relativeHeight="251661312" behindDoc="0" locked="0" layoutInCell="1" allowOverlap="1" wp14:anchorId="627D2A4C" wp14:editId="76CC9A45">
            <wp:simplePos x="0" y="0"/>
            <wp:positionH relativeFrom="column">
              <wp:posOffset>-169545</wp:posOffset>
            </wp:positionH>
            <wp:positionV relativeFrom="paragraph">
              <wp:posOffset>43815</wp:posOffset>
            </wp:positionV>
            <wp:extent cx="3128645" cy="1809115"/>
            <wp:effectExtent l="0" t="0" r="8255" b="6985"/>
            <wp:wrapNone/>
            <wp:docPr id="12" name="Picture 12" descr="ChatGPT Image Aug 8, 2026, 02_18_3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tGPT Image Aug 8, 2026, 02_18_30 AM"/>
                    <pic:cNvPicPr>
                      <a:picLocks noChangeAspect="1"/>
                    </pic:cNvPicPr>
                  </pic:nvPicPr>
                  <pic:blipFill>
                    <a:blip r:embed="rId13"/>
                    <a:stretch>
                      <a:fillRect/>
                    </a:stretch>
                  </pic:blipFill>
                  <pic:spPr>
                    <a:xfrm>
                      <a:off x="0" y="0"/>
                      <a:ext cx="3128645" cy="1809115"/>
                    </a:xfrm>
                    <a:prstGeom prst="rect">
                      <a:avLst/>
                    </a:prstGeom>
                  </pic:spPr>
                </pic:pic>
              </a:graphicData>
            </a:graphic>
          </wp:anchor>
        </w:drawing>
      </w:r>
    </w:p>
    <w:p w14:paraId="0220DDF7" w14:textId="77777777" w:rsidR="00845DC9" w:rsidRDefault="00845DC9">
      <w:pPr>
        <w:spacing w:line="276" w:lineRule="auto"/>
        <w:jc w:val="both"/>
        <w:rPr>
          <w:rFonts w:ascii="Calibri" w:hAnsi="Calibri" w:cs="Calibri"/>
          <w:i/>
          <w:iCs/>
          <w:color w:val="2F5496"/>
          <w:sz w:val="20"/>
          <w:szCs w:val="18"/>
          <w:lang w:val="en-GB"/>
        </w:rPr>
      </w:pPr>
    </w:p>
    <w:p w14:paraId="41EFECE0" w14:textId="77777777" w:rsidR="00845DC9" w:rsidRDefault="00845DC9">
      <w:pPr>
        <w:spacing w:line="276" w:lineRule="auto"/>
        <w:jc w:val="both"/>
        <w:rPr>
          <w:rFonts w:ascii="Calibri" w:hAnsi="Calibri" w:cs="Calibri"/>
          <w:i/>
          <w:iCs/>
          <w:color w:val="2F5496"/>
          <w:sz w:val="20"/>
          <w:szCs w:val="18"/>
          <w:lang w:val="en-GB"/>
        </w:rPr>
      </w:pPr>
    </w:p>
    <w:p w14:paraId="2C5F244C" w14:textId="77777777" w:rsidR="00845DC9" w:rsidRDefault="00845DC9">
      <w:pPr>
        <w:spacing w:line="276" w:lineRule="auto"/>
        <w:jc w:val="both"/>
        <w:rPr>
          <w:rFonts w:ascii="Calibri" w:hAnsi="Calibri" w:cs="Calibri"/>
          <w:i/>
          <w:iCs/>
          <w:color w:val="2F5496"/>
          <w:sz w:val="20"/>
          <w:szCs w:val="18"/>
          <w:lang w:val="en-GB"/>
        </w:rPr>
      </w:pPr>
    </w:p>
    <w:p w14:paraId="590036B3" w14:textId="77777777" w:rsidR="00845DC9" w:rsidRDefault="00845DC9">
      <w:pPr>
        <w:spacing w:line="276" w:lineRule="auto"/>
        <w:jc w:val="both"/>
        <w:rPr>
          <w:rFonts w:ascii="Calibri" w:hAnsi="Calibri" w:cs="Calibri"/>
          <w:i/>
          <w:iCs/>
          <w:color w:val="2F5496"/>
          <w:sz w:val="20"/>
          <w:szCs w:val="18"/>
          <w:lang w:val="en-GB"/>
        </w:rPr>
      </w:pPr>
    </w:p>
    <w:p w14:paraId="783F489E" w14:textId="77777777" w:rsidR="00845DC9" w:rsidRDefault="00845DC9">
      <w:pPr>
        <w:spacing w:line="276" w:lineRule="auto"/>
        <w:jc w:val="both"/>
        <w:rPr>
          <w:rFonts w:ascii="Calibri" w:hAnsi="Calibri" w:cs="Calibri"/>
          <w:i/>
          <w:iCs/>
          <w:color w:val="2F5496"/>
          <w:sz w:val="20"/>
          <w:szCs w:val="18"/>
          <w:lang w:val="en-GB"/>
        </w:rPr>
      </w:pPr>
    </w:p>
    <w:p w14:paraId="2ED1BC34" w14:textId="77777777" w:rsidR="00845DC9" w:rsidRDefault="00845DC9">
      <w:pPr>
        <w:spacing w:line="276" w:lineRule="auto"/>
        <w:jc w:val="both"/>
        <w:rPr>
          <w:rFonts w:ascii="Calibri" w:hAnsi="Calibri" w:cs="Calibri"/>
          <w:i/>
          <w:iCs/>
          <w:color w:val="2F5496"/>
          <w:sz w:val="20"/>
          <w:szCs w:val="18"/>
          <w:lang w:val="en-GB"/>
        </w:rPr>
      </w:pPr>
    </w:p>
    <w:p w14:paraId="3F2DD276" w14:textId="77777777" w:rsidR="00845DC9" w:rsidRDefault="00845DC9">
      <w:pPr>
        <w:spacing w:line="276" w:lineRule="auto"/>
        <w:jc w:val="both"/>
        <w:rPr>
          <w:rFonts w:ascii="Calibri" w:hAnsi="Calibri" w:cs="Calibri"/>
          <w:i/>
          <w:iCs/>
          <w:color w:val="2F5496"/>
          <w:sz w:val="20"/>
          <w:szCs w:val="18"/>
          <w:lang w:val="en-GB"/>
        </w:rPr>
      </w:pPr>
    </w:p>
    <w:p w14:paraId="5BEFBBDA" w14:textId="77777777" w:rsidR="00845DC9" w:rsidRDefault="00845DC9">
      <w:pPr>
        <w:spacing w:line="276" w:lineRule="auto"/>
        <w:jc w:val="both"/>
        <w:rPr>
          <w:rFonts w:ascii="Calibri" w:hAnsi="Calibri" w:cs="Calibri"/>
          <w:i/>
          <w:iCs/>
          <w:color w:val="2F5496"/>
          <w:sz w:val="20"/>
          <w:szCs w:val="18"/>
          <w:lang w:val="en-GB"/>
        </w:rPr>
      </w:pPr>
    </w:p>
    <w:p w14:paraId="170682DF" w14:textId="77777777" w:rsidR="00845DC9" w:rsidRDefault="00845DC9">
      <w:pPr>
        <w:spacing w:line="276" w:lineRule="auto"/>
        <w:jc w:val="both"/>
        <w:rPr>
          <w:rFonts w:ascii="Calibri" w:hAnsi="Calibri" w:cs="Calibri"/>
          <w:i/>
          <w:iCs/>
          <w:color w:val="2F5496"/>
          <w:sz w:val="20"/>
          <w:szCs w:val="18"/>
          <w:lang w:val="en-GB"/>
        </w:rPr>
      </w:pPr>
    </w:p>
    <w:p w14:paraId="6FD77555" w14:textId="77777777" w:rsidR="00845DC9" w:rsidRDefault="00845DC9">
      <w:pPr>
        <w:spacing w:line="276" w:lineRule="auto"/>
        <w:jc w:val="both"/>
        <w:rPr>
          <w:rFonts w:ascii="Calibri" w:hAnsi="Calibri" w:cs="Calibri"/>
          <w:i/>
          <w:iCs/>
          <w:color w:val="2F5496"/>
          <w:sz w:val="20"/>
          <w:szCs w:val="18"/>
          <w:lang w:val="en-GB"/>
        </w:rPr>
      </w:pPr>
    </w:p>
    <w:p w14:paraId="37BD334B" w14:textId="6F4FDFCA" w:rsidR="00845DC9" w:rsidRDefault="00F25966">
      <w:pPr>
        <w:spacing w:line="276" w:lineRule="auto"/>
        <w:jc w:val="both"/>
        <w:rPr>
          <w:rFonts w:ascii="Calibri" w:hAnsi="Calibri" w:cs="Calibri"/>
          <w:sz w:val="22"/>
          <w:szCs w:val="22"/>
          <w:lang w:val="en-GB"/>
        </w:rPr>
      </w:pPr>
      <w:r>
        <w:rPr>
          <w:rFonts w:ascii="Calibri" w:hAnsi="Calibri" w:cs="Calibri"/>
          <w:color w:val="2F5496"/>
          <w:sz w:val="18"/>
          <w:szCs w:val="16"/>
        </w:rPr>
        <w:t>Source: Stanbic-IB</w:t>
      </w:r>
      <w:r w:rsidR="0088730F">
        <w:rPr>
          <w:rFonts w:ascii="Calibri" w:hAnsi="Calibri" w:cs="Calibri"/>
          <w:color w:val="2F5496"/>
          <w:sz w:val="18"/>
          <w:szCs w:val="16"/>
          <w:lang w:val="en-US"/>
        </w:rPr>
        <w:t>T</w:t>
      </w:r>
      <w:r>
        <w:rPr>
          <w:rFonts w:ascii="Calibri" w:hAnsi="Calibri" w:cs="Calibri"/>
          <w:color w:val="2F5496"/>
          <w:sz w:val="18"/>
          <w:szCs w:val="16"/>
        </w:rPr>
        <w:t>C</w:t>
      </w:r>
    </w:p>
    <w:p w14:paraId="70658FFF" w14:textId="77777777" w:rsidR="00845DC9" w:rsidRDefault="00845DC9">
      <w:pPr>
        <w:spacing w:line="276" w:lineRule="auto"/>
        <w:jc w:val="both"/>
        <w:rPr>
          <w:rFonts w:ascii="Calibri" w:hAnsi="Calibri" w:cs="Calibri"/>
          <w:sz w:val="22"/>
          <w:szCs w:val="22"/>
          <w:lang w:val="en-GB"/>
        </w:rPr>
      </w:pPr>
    </w:p>
    <w:p w14:paraId="000826DB" w14:textId="6149DBAF" w:rsidR="00845DC9" w:rsidRDefault="00F25966">
      <w:pPr>
        <w:spacing w:line="276" w:lineRule="auto"/>
        <w:jc w:val="both"/>
        <w:rPr>
          <w:rFonts w:ascii="Calibri" w:hAnsi="Calibri" w:cs="Calibri"/>
          <w:sz w:val="22"/>
          <w:szCs w:val="22"/>
          <w:lang w:val="en-GB"/>
        </w:rPr>
      </w:pPr>
      <w:r>
        <w:rPr>
          <w:rFonts w:ascii="Calibri" w:hAnsi="Calibri" w:cs="Calibri"/>
          <w:sz w:val="22"/>
          <w:szCs w:val="22"/>
          <w:lang w:val="en-GB"/>
        </w:rPr>
        <w:t>The latest PMI readings point to a cautious improvement in near-term private-sector activity. The index moved from 51.1 in July to 52.7 in August, remaining above the expansion threshold. Sustaining this momentum will require reliable power and transport, access to working capital and continued stability in the foreign-exchange market.</w:t>
      </w:r>
    </w:p>
    <w:p w14:paraId="2213FA12" w14:textId="7E9F7928" w:rsidR="00845DC9" w:rsidRDefault="00F25966">
      <w:pPr>
        <w:spacing w:line="276" w:lineRule="auto"/>
        <w:jc w:val="both"/>
        <w:rPr>
          <w:rFonts w:ascii="Calibri" w:hAnsi="Calibri" w:cs="Calibri"/>
          <w:sz w:val="22"/>
          <w:szCs w:val="22"/>
          <w:lang w:val="en-GB"/>
        </w:rPr>
      </w:pPr>
      <w:r>
        <w:rPr>
          <w:rFonts w:ascii="Calibri" w:hAnsi="Calibri" w:cs="Calibri"/>
          <w:sz w:val="22"/>
          <w:szCs w:val="22"/>
          <w:lang w:val="en-GB"/>
        </w:rPr>
        <w:t>Services remained the largest component of output, growing by 4.60 per cent and accounting for 56.62 per cent of GDP. Agriculture and industry expanded by 4.39 per cent and 3.96 per cent respectively. Growth of 7.31 per cent in the oil sector complemented a 4.31 per cent expansion in non-oil activity.</w:t>
      </w:r>
    </w:p>
    <w:p w14:paraId="41DBF0E4" w14:textId="07183274" w:rsidR="00845DC9" w:rsidRDefault="00F25966">
      <w:pPr>
        <w:spacing w:line="276" w:lineRule="auto"/>
        <w:jc w:val="both"/>
        <w:rPr>
          <w:rFonts w:ascii="Calibri" w:hAnsi="Calibri" w:cs="Calibri"/>
          <w:sz w:val="22"/>
          <w:szCs w:val="22"/>
          <w:lang w:val="en-GB"/>
        </w:rPr>
      </w:pPr>
      <w:r>
        <w:rPr>
          <w:rFonts w:ascii="Calibri" w:hAnsi="Calibri" w:cs="Calibri"/>
          <w:sz w:val="22"/>
          <w:szCs w:val="22"/>
          <w:lang w:val="en-GB"/>
        </w:rPr>
        <w:t>The recovery nevertheless remains uneven. Insecurity, infrastructure gaps and high business costs limit investment and job creation. Addressing these constraints would help translate aggregate growth into broader improvements in living standards.</w:t>
      </w:r>
    </w:p>
    <w:p w14:paraId="2DB52FB9" w14:textId="77777777" w:rsidR="00845DC9" w:rsidRDefault="00845DC9">
      <w:pPr>
        <w:spacing w:line="276" w:lineRule="auto"/>
        <w:jc w:val="both"/>
        <w:rPr>
          <w:rFonts w:ascii="Calibri" w:hAnsi="Calibri" w:cs="Calibri"/>
          <w:sz w:val="10"/>
          <w:szCs w:val="10"/>
          <w:lang w:val="en-GB"/>
        </w:rPr>
      </w:pPr>
    </w:p>
    <w:p w14:paraId="1AF49E55" w14:textId="77777777" w:rsidR="00845DC9" w:rsidRDefault="00F25966">
      <w:pPr>
        <w:spacing w:after="160" w:line="276" w:lineRule="auto"/>
        <w:jc w:val="both"/>
        <w:rPr>
          <w:rFonts w:ascii="Calibri" w:hAnsi="Calibri" w:cs="Calibri"/>
          <w:i/>
          <w:iCs/>
          <w:color w:val="2F5496"/>
          <w:sz w:val="20"/>
          <w:szCs w:val="18"/>
          <w:lang w:val="en-GB"/>
        </w:rPr>
      </w:pPr>
      <w:r>
        <w:rPr>
          <w:rFonts w:ascii="Calibri" w:hAnsi="Calibri" w:cs="Calibri"/>
          <w:noProof/>
          <w:lang w:val="en-US" w:eastAsia="en-US"/>
        </w:rPr>
        <w:drawing>
          <wp:anchor distT="0" distB="0" distL="114300" distR="114300" simplePos="0" relativeHeight="251660288" behindDoc="0" locked="0" layoutInCell="1" allowOverlap="1" wp14:anchorId="22474227" wp14:editId="22C19A07">
            <wp:simplePos x="0" y="0"/>
            <wp:positionH relativeFrom="column">
              <wp:posOffset>-35560</wp:posOffset>
            </wp:positionH>
            <wp:positionV relativeFrom="paragraph">
              <wp:posOffset>346075</wp:posOffset>
            </wp:positionV>
            <wp:extent cx="3133725" cy="1911350"/>
            <wp:effectExtent l="0" t="0" r="3175" b="6350"/>
            <wp:wrapNone/>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14"/>
                    <a:stretch>
                      <a:fillRect/>
                    </a:stretch>
                  </pic:blipFill>
                  <pic:spPr>
                    <a:xfrm>
                      <a:off x="0" y="0"/>
                      <a:ext cx="3133725" cy="1911350"/>
                    </a:xfrm>
                    <a:prstGeom prst="rect">
                      <a:avLst/>
                    </a:prstGeom>
                    <a:noFill/>
                    <a:ln>
                      <a:noFill/>
                    </a:ln>
                  </pic:spPr>
                </pic:pic>
              </a:graphicData>
            </a:graphic>
          </wp:anchor>
        </w:drawing>
      </w:r>
      <w:r>
        <w:rPr>
          <w:rFonts w:ascii="Calibri" w:hAnsi="Calibri" w:cs="Calibri"/>
          <w:i/>
          <w:iCs/>
          <w:color w:val="2F5496"/>
          <w:sz w:val="20"/>
          <w:szCs w:val="18"/>
        </w:rPr>
        <w:t>Figure 3: Nigeria Real GDP Growth and CAPE Q3 2026 Indicative Range (Q1 2024–Q3 2026) in percent</w:t>
      </w:r>
    </w:p>
    <w:p w14:paraId="356AD95A" w14:textId="77777777" w:rsidR="00845DC9" w:rsidRDefault="00845DC9">
      <w:pPr>
        <w:spacing w:line="276" w:lineRule="auto"/>
        <w:jc w:val="both"/>
        <w:rPr>
          <w:rFonts w:ascii="Calibri" w:hAnsi="Calibri" w:cs="Calibri"/>
          <w:lang w:val="en-GB"/>
        </w:rPr>
      </w:pPr>
    </w:p>
    <w:p w14:paraId="5F212D8E" w14:textId="77777777" w:rsidR="00845DC9" w:rsidRDefault="00845DC9">
      <w:pPr>
        <w:spacing w:line="276" w:lineRule="auto"/>
        <w:jc w:val="both"/>
        <w:rPr>
          <w:rFonts w:ascii="Calibri" w:hAnsi="Calibri" w:cs="Calibri"/>
          <w:lang w:val="en-GB"/>
        </w:rPr>
      </w:pPr>
    </w:p>
    <w:p w14:paraId="16DD94F4" w14:textId="77777777" w:rsidR="00845DC9" w:rsidRDefault="00845DC9">
      <w:pPr>
        <w:spacing w:line="276" w:lineRule="auto"/>
        <w:jc w:val="both"/>
        <w:rPr>
          <w:rFonts w:ascii="Calibri" w:hAnsi="Calibri" w:cs="Calibri"/>
          <w:lang w:val="en-GB"/>
        </w:rPr>
      </w:pPr>
    </w:p>
    <w:p w14:paraId="4DA80B7D" w14:textId="77777777" w:rsidR="00845DC9" w:rsidRDefault="00845DC9">
      <w:pPr>
        <w:spacing w:line="276" w:lineRule="auto"/>
        <w:jc w:val="both"/>
        <w:rPr>
          <w:rFonts w:ascii="Calibri" w:hAnsi="Calibri" w:cs="Calibri"/>
          <w:lang w:val="en-GB"/>
        </w:rPr>
      </w:pPr>
    </w:p>
    <w:p w14:paraId="42CD92C0" w14:textId="77777777" w:rsidR="00845DC9" w:rsidRDefault="00845DC9">
      <w:pPr>
        <w:spacing w:line="276" w:lineRule="auto"/>
        <w:jc w:val="both"/>
        <w:rPr>
          <w:rFonts w:ascii="Calibri" w:hAnsi="Calibri" w:cs="Calibri"/>
          <w:lang w:val="en-GB"/>
        </w:rPr>
      </w:pPr>
    </w:p>
    <w:p w14:paraId="6383AF82" w14:textId="77777777" w:rsidR="00845DC9" w:rsidRDefault="00845DC9">
      <w:pPr>
        <w:spacing w:line="276" w:lineRule="auto"/>
        <w:jc w:val="both"/>
        <w:rPr>
          <w:rFonts w:ascii="Calibri" w:hAnsi="Calibri" w:cs="Calibri"/>
          <w:lang w:val="en-GB"/>
        </w:rPr>
      </w:pPr>
    </w:p>
    <w:p w14:paraId="4DF0ED4F" w14:textId="77777777" w:rsidR="00845DC9" w:rsidRDefault="00845DC9">
      <w:pPr>
        <w:spacing w:line="276" w:lineRule="auto"/>
        <w:jc w:val="both"/>
        <w:rPr>
          <w:rFonts w:ascii="Calibri" w:hAnsi="Calibri" w:cs="Calibri"/>
          <w:lang w:val="en-GB"/>
        </w:rPr>
      </w:pPr>
    </w:p>
    <w:p w14:paraId="2ECCDCCC" w14:textId="77777777" w:rsidR="00845DC9" w:rsidRDefault="00845DC9">
      <w:pPr>
        <w:spacing w:line="276" w:lineRule="auto"/>
        <w:jc w:val="both"/>
        <w:rPr>
          <w:rFonts w:ascii="Calibri" w:hAnsi="Calibri" w:cs="Calibri"/>
          <w:lang w:val="en-GB"/>
        </w:rPr>
      </w:pPr>
    </w:p>
    <w:p w14:paraId="043F4392" w14:textId="77777777" w:rsidR="00845DC9" w:rsidRDefault="00845DC9">
      <w:pPr>
        <w:spacing w:line="276" w:lineRule="auto"/>
        <w:jc w:val="both"/>
        <w:rPr>
          <w:rFonts w:ascii="Calibri" w:hAnsi="Calibri" w:cs="Calibri"/>
          <w:lang w:val="en-GB"/>
        </w:rPr>
      </w:pPr>
    </w:p>
    <w:p w14:paraId="0A0FFA21" w14:textId="77777777" w:rsidR="00845DC9" w:rsidRDefault="00F25966">
      <w:pPr>
        <w:spacing w:line="276" w:lineRule="auto"/>
        <w:jc w:val="both"/>
        <w:rPr>
          <w:rFonts w:ascii="Calibri" w:hAnsi="Calibri" w:cs="Calibri"/>
          <w:lang w:val="en-GB"/>
        </w:rPr>
      </w:pPr>
      <w:r>
        <w:rPr>
          <w:rFonts w:ascii="Calibri" w:hAnsi="Calibri" w:cs="Calibri"/>
          <w:b/>
          <w:bCs/>
          <w:color w:val="2F5496"/>
          <w:sz w:val="18"/>
          <w:szCs w:val="16"/>
        </w:rPr>
        <w:t xml:space="preserve">Source: </w:t>
      </w:r>
      <w:r>
        <w:rPr>
          <w:rFonts w:ascii="Calibri" w:hAnsi="Calibri" w:cs="Calibri"/>
          <w:color w:val="2F5496"/>
          <w:sz w:val="18"/>
          <w:szCs w:val="16"/>
        </w:rPr>
        <w:t>National Bureau of Statistics (NBS) and CAPE Economic Research and Consulting</w:t>
      </w:r>
    </w:p>
    <w:p w14:paraId="21FB7F69" w14:textId="77777777" w:rsidR="00845DC9" w:rsidRDefault="00F25966">
      <w:pPr>
        <w:pStyle w:val="Heading1"/>
        <w:spacing w:line="276" w:lineRule="auto"/>
        <w:rPr>
          <w:rFonts w:ascii="Calibri" w:hAnsi="Calibri" w:cs="Calibri"/>
          <w:color w:val="auto"/>
          <w:lang w:val="en-GB"/>
        </w:rPr>
      </w:pPr>
      <w:r>
        <w:rPr>
          <w:rFonts w:ascii="Calibri" w:hAnsi="Calibri" w:cs="Calibri"/>
          <w:color w:val="auto"/>
          <w:lang w:val="en-GB"/>
        </w:rPr>
        <w:t>Output Growth Outlook</w:t>
      </w:r>
    </w:p>
    <w:p w14:paraId="48539432"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CAPE places Q3 2026 real GDP growth in an indicative 4.34–4.50 per cent range. High borrowing costs, energy expenses and insecurity remain risks to the outlook. We continue to monitor economic developments and will refine the outlook as the quarter progresses.</w:t>
      </w:r>
    </w:p>
    <w:p w14:paraId="49690CB8" w14:textId="2095A0BB"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Figure 4: Nigeria Economic Policy Uncertainty Index</w:t>
      </w:r>
    </w:p>
    <w:p w14:paraId="5E19BE6B"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noProof/>
          <w:sz w:val="22"/>
          <w:szCs w:val="22"/>
          <w:lang w:val="en-US" w:eastAsia="en-US"/>
        </w:rPr>
        <w:drawing>
          <wp:inline distT="0" distB="0" distL="0" distR="0" wp14:anchorId="783EB96F" wp14:editId="195CCEB0">
            <wp:extent cx="2806700" cy="1358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18575" cy="1364649"/>
                    </a:xfrm>
                    <a:prstGeom prst="rect">
                      <a:avLst/>
                    </a:prstGeom>
                    <a:noFill/>
                    <a:ln>
                      <a:noFill/>
                    </a:ln>
                  </pic:spPr>
                </pic:pic>
              </a:graphicData>
            </a:graphic>
          </wp:inline>
        </w:drawing>
      </w:r>
      <w:r>
        <w:pict>
          <v:shape id="EPUAugustAnnotation" style="position:absolute;margin-left:135pt;margin-top:12pt;width:83pt;height:43pt;z-index:251659264;mso-position-horizontal-relative:text;mso-position-vertical-relative:text" stroked="f" filled="f">
            <v:textbox inset="0,0,0,0">
              <w:txbxContent>
                <w:p>
                  <w:pPr>
                    <w:spacing w:before="0" w:after="0"/>
                  </w:pPr>
                  <w:r>
                    <w:rPr>
                      <w:rFonts w:ascii="Arial" w:hAnsi="Arial"/>
                      <w:color w:val="00666B"/>
                      <w:sz w:val="14"/>
                      <w:b/>
                    </w:rPr>
                    <w:t>August 2026 update</w:t>
                    <w:br/>
                    <w:t>EPU index: 87.10881</w:t>
                    <w:br/>
                    <w:t>Policy uncertainty eased</w:t>
                  </w:r>
                </w:p>
              </w:txbxContent>
            </v:textbox>
          </v:shape>
        </w:pict>
      </w:r>
    </w:p>
    <w:p w14:paraId="1CAAE4F7" w14:textId="71AD7AAB" w:rsidR="00845DC9" w:rsidRPr="0088730F" w:rsidRDefault="00F25966">
      <w:pPr>
        <w:spacing w:line="276" w:lineRule="auto"/>
        <w:jc w:val="both"/>
        <w:rPr>
          <w:rFonts w:ascii="Calibri" w:eastAsiaTheme="minorEastAsia" w:hAnsi="Calibri" w:cs="Calibri"/>
          <w:b/>
          <w:bCs/>
          <w:sz w:val="18"/>
          <w:szCs w:val="16"/>
          <w:lang w:val="en-US"/>
        </w:rPr>
      </w:pPr>
      <w:r>
        <w:rPr>
          <w:rFonts w:ascii="Calibri" w:hAnsi="Calibri" w:cs="Calibri"/>
          <w:b/>
          <w:bCs/>
          <w:sz w:val="18"/>
          <w:szCs w:val="16"/>
        </w:rPr>
        <w:t>Source: CAPE ERC. Latest index: 87.10881 (August 2026).</w:t>
      </w:r>
      <w:r w:rsidR="0088730F">
        <w:rPr>
          <w:rFonts w:ascii="Calibri" w:hAnsi="Calibri" w:cs="Calibri"/>
          <w:b/>
          <w:bCs/>
          <w:sz w:val="18"/>
          <w:szCs w:val="16"/>
          <w:lang w:val="en-US"/>
        </w:rPr>
      </w:r>
    </w:p>
    <w:p w14:paraId="631EA641" w14:textId="09AD3F6E"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CAPE’s Economic Policy Uncertainty index eased to 87.11 in August 2026. Lower uncertainty may support business planning and investment, although lasting confidence will depend on consistent policy implementation and a stable operating environment.</w:t>
      </w:r>
    </w:p>
    <w:p w14:paraId="29DCF33E" w14:textId="46A994A9" w:rsidR="00845DC9" w:rsidRDefault="00845DC9">
      <w:pPr>
        <w:spacing w:after="160" w:line="276" w:lineRule="auto"/>
        <w:jc w:val="both"/>
        <w:rPr>
          <w:rFonts w:ascii="Calibri" w:hAnsi="Calibri" w:cs="Calibri"/>
          <w:sz w:val="22"/>
          <w:szCs w:val="22"/>
          <w:lang w:val="en-GB" w:eastAsia="en-US"/>
        </w:rPr>
      </w:pPr>
    </w:p>
    <w:p w14:paraId="72B8F667" w14:textId="77777777" w:rsidR="004A00FD" w:rsidRDefault="004A00FD">
      <w:pPr>
        <w:spacing w:after="160" w:line="276" w:lineRule="auto"/>
        <w:jc w:val="both"/>
        <w:rPr>
          <w:rFonts w:ascii="Calibri" w:hAnsi="Calibri" w:cs="Calibri"/>
          <w:sz w:val="22"/>
          <w:szCs w:val="22"/>
          <w:lang w:val="en-GB" w:eastAsia="en-US"/>
        </w:rPr>
      </w:pPr>
    </w:p>
    <w:p w14:paraId="51837C68" w14:textId="3F1E48F5" w:rsidR="004A00FD" w:rsidRDefault="004A00FD">
      <w:pPr>
        <w:spacing w:after="160" w:line="276" w:lineRule="auto"/>
        <w:jc w:val="both"/>
        <w:rPr>
          <w:rFonts w:ascii="Calibri" w:hAnsi="Calibri" w:cs="Calibri"/>
          <w:sz w:val="22"/>
          <w:szCs w:val="22"/>
          <w:lang w:val="en-GB" w:eastAsia="en-US"/>
        </w:rPr>
      </w:pPr>
    </w:p>
    <w:p w14:paraId="07E1BED7" w14:textId="44B22FFC" w:rsidR="004A00FD" w:rsidRDefault="004A00FD">
      <w:pPr>
        <w:spacing w:after="160" w:line="276" w:lineRule="auto"/>
        <w:jc w:val="both"/>
        <w:rPr>
          <w:rFonts w:ascii="Calibri" w:hAnsi="Calibri" w:cs="Calibri"/>
          <w:sz w:val="22"/>
          <w:szCs w:val="22"/>
          <w:lang w:val="en-GB" w:eastAsia="en-US"/>
        </w:rPr>
      </w:pPr>
    </w:p>
    <w:p w14:paraId="02E7AB25" w14:textId="590783FF" w:rsidR="004A00FD" w:rsidRDefault="004A00FD">
      <w:pPr>
        <w:spacing w:after="160" w:line="276" w:lineRule="auto"/>
        <w:jc w:val="both"/>
        <w:rPr>
          <w:rFonts w:ascii="Calibri" w:hAnsi="Calibri" w:cs="Calibri"/>
          <w:sz w:val="22"/>
          <w:szCs w:val="22"/>
          <w:lang w:val="en-GB" w:eastAsia="en-US"/>
        </w:rPr>
      </w:pPr>
    </w:p>
    <w:p w14:paraId="36EDA46E" w14:textId="1637248D" w:rsidR="004A00FD" w:rsidRDefault="004A00FD">
      <w:pPr>
        <w:spacing w:after="160" w:line="276" w:lineRule="auto"/>
        <w:jc w:val="both"/>
        <w:rPr>
          <w:rFonts w:ascii="Calibri" w:hAnsi="Calibri" w:cs="Calibri"/>
          <w:sz w:val="22"/>
          <w:szCs w:val="22"/>
          <w:lang w:val="en-GB" w:eastAsia="en-US"/>
        </w:rPr>
      </w:pPr>
    </w:p>
    <w:p w14:paraId="1C6C4D05" w14:textId="77777777" w:rsidR="00845DC9" w:rsidRDefault="00F25966">
      <w:pPr>
        <w:pStyle w:val="Heading1"/>
        <w:spacing w:line="276" w:lineRule="auto"/>
        <w:rPr>
          <w:rFonts w:ascii="Calibri" w:hAnsi="Calibri" w:cs="Calibri"/>
          <w:color w:val="auto"/>
          <w:lang w:val="en-GB"/>
        </w:rPr>
      </w:pPr>
      <w:r>
        <w:rPr>
          <w:rFonts w:ascii="Calibri" w:hAnsi="Calibri" w:cs="Calibri"/>
          <w:color w:val="auto"/>
          <w:lang w:val="en-GB"/>
        </w:rPr>
        <w:t>Price Update</w:t>
      </w:r>
    </w:p>
    <w:p w14:paraId="01D374D7" w14:textId="77777777" w:rsidR="00845DC9" w:rsidRDefault="00F25966">
      <w:pPr>
        <w:spacing w:line="276" w:lineRule="auto"/>
        <w:jc w:val="both"/>
        <w:rPr>
          <w:rFonts w:ascii="Calibri" w:hAnsi="Calibri" w:cs="Calibri"/>
          <w:sz w:val="22"/>
          <w:szCs w:val="22"/>
          <w:lang w:val="en-GB"/>
        </w:rPr>
      </w:pPr>
      <w:r>
        <w:rPr>
          <w:rFonts w:ascii="Calibri" w:hAnsi="Calibri" w:cs="Calibri"/>
          <w:sz w:val="22"/>
          <w:szCs w:val="22"/>
          <w:lang w:val="en-GB"/>
        </w:rPr>
        <w:t>Headline inflation eased to 15.45 per cent year-on-year in July 2026 from 15.91 per cent in June. Consumer prices nevertheless rose by 1.61 per cent over the month. Disinflation therefore represents a slower pace of price increases, not a decline in the overall cost of living.</w:t>
      </w:r>
    </w:p>
    <w:p w14:paraId="2835FC2D" w14:textId="77777777" w:rsidR="00845DC9" w:rsidRDefault="00845DC9">
      <w:pPr>
        <w:spacing w:line="276" w:lineRule="auto"/>
        <w:jc w:val="both"/>
        <w:rPr>
          <w:rFonts w:ascii="Calibri" w:hAnsi="Calibri" w:cs="Calibri"/>
          <w:sz w:val="22"/>
          <w:szCs w:val="22"/>
          <w:lang w:val="en-GB"/>
        </w:rPr>
      </w:pPr>
    </w:p>
    <w:p w14:paraId="3A181A4D" w14:textId="77777777" w:rsidR="00845DC9" w:rsidRDefault="00F25966">
      <w:pPr>
        <w:spacing w:after="160" w:line="276" w:lineRule="auto"/>
        <w:jc w:val="both"/>
        <w:rPr>
          <w:rFonts w:ascii="Calibri" w:hAnsi="Calibri" w:cs="Calibri"/>
          <w:i/>
          <w:iCs/>
          <w:color w:val="2F5496"/>
          <w:sz w:val="20"/>
          <w:szCs w:val="18"/>
          <w:lang w:val="en-GB"/>
        </w:rPr>
      </w:pPr>
      <w:r>
        <w:rPr>
          <w:rFonts w:ascii="Calibri" w:hAnsi="Calibri" w:cs="Calibri"/>
          <w:i/>
          <w:iCs/>
          <w:color w:val="2F5496"/>
          <w:sz w:val="20"/>
          <w:szCs w:val="18"/>
          <w:lang w:val="en-GB"/>
        </w:rPr>
        <w:t>Figure 5: Nigeria Headline Inflation and CAPE August 2026 Forecast (Jun. 2025–Aug. 2026)</w:t>
      </w:r>
    </w:p>
    <w:p w14:paraId="49B5BF2F" w14:textId="77777777" w:rsidR="00845DC9" w:rsidRDefault="00F25966">
      <w:pPr>
        <w:spacing w:line="276" w:lineRule="auto"/>
        <w:jc w:val="both"/>
        <w:rPr>
          <w:rFonts w:ascii="Calibri" w:hAnsi="Calibri" w:cs="Calibri"/>
          <w:lang w:val="en-GB"/>
        </w:rPr>
      </w:pPr>
      <w:r>
        <w:rPr>
          <w:rFonts w:ascii="Calibri" w:hAnsi="Calibri" w:cs="Calibri"/>
          <w:noProof/>
          <w:lang w:val="en-US" w:eastAsia="en-US"/>
        </w:rPr>
        <w:drawing>
          <wp:inline distT="0" distB="0" distL="114300" distR="114300" wp14:anchorId="1871F70E" wp14:editId="671F81A4">
            <wp:extent cx="3136900" cy="1971040"/>
            <wp:effectExtent l="0" t="0" r="0" b="10160"/>
            <wp:docPr id="15" name="Picture 15" descr="ChatGPT Image Aug 8, 2026, 03_42_3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tGPT Image Aug 8, 2026, 03_42_33 AM"/>
                    <pic:cNvPicPr>
                      <a:picLocks noChangeAspect="1"/>
                    </pic:cNvPicPr>
                  </pic:nvPicPr>
                  <pic:blipFill>
                    <a:blip r:embed="rId16"/>
                    <a:stretch>
                      <a:fillRect/>
                    </a:stretch>
                  </pic:blipFill>
                  <pic:spPr>
                    <a:xfrm>
                      <a:off x="0" y="0"/>
                      <a:ext cx="3136900" cy="1971040"/>
                    </a:xfrm>
                    <a:prstGeom prst="rect">
                      <a:avLst/>
                    </a:prstGeom>
                  </pic:spPr>
                </pic:pic>
              </a:graphicData>
            </a:graphic>
          </wp:inline>
        </w:drawing>
      </w:r>
    </w:p>
    <w:p w14:paraId="5C74454A" w14:textId="77777777" w:rsidR="00845DC9" w:rsidRDefault="00F25966">
      <w:pPr>
        <w:spacing w:line="276" w:lineRule="auto"/>
        <w:jc w:val="both"/>
        <w:rPr>
          <w:rFonts w:ascii="Calibri" w:hAnsi="Calibri" w:cs="Calibri"/>
          <w:color w:val="2F5496"/>
          <w:sz w:val="18"/>
          <w:szCs w:val="16"/>
        </w:rPr>
      </w:pPr>
      <w:r>
        <w:rPr>
          <w:rFonts w:ascii="Calibri" w:hAnsi="Calibri" w:cs="Calibri"/>
          <w:color w:val="2F5496"/>
          <w:sz w:val="18"/>
          <w:szCs w:val="16"/>
        </w:rPr>
        <w:t>Source: National Bureau of Statistics (NBS) and CAPE Economic Research and Consulting</w:t>
      </w:r>
    </w:p>
    <w:p w14:paraId="73931234" w14:textId="77777777" w:rsidR="00845DC9" w:rsidRDefault="00845DC9">
      <w:pPr>
        <w:spacing w:line="276" w:lineRule="auto"/>
        <w:jc w:val="both"/>
        <w:rPr>
          <w:rFonts w:ascii="Calibri" w:hAnsi="Calibri" w:cs="Calibri"/>
          <w:sz w:val="22"/>
          <w:szCs w:val="22"/>
          <w:lang w:val="en-GB"/>
        </w:rPr>
      </w:pPr>
    </w:p>
    <w:p w14:paraId="6C2E4B6D" w14:textId="77777777" w:rsidR="00845DC9" w:rsidRDefault="00F25966">
      <w:pPr>
        <w:spacing w:line="276" w:lineRule="auto"/>
        <w:jc w:val="both"/>
        <w:rPr>
          <w:rFonts w:ascii="Calibri" w:hAnsi="Calibri" w:cs="Calibri"/>
          <w:sz w:val="22"/>
          <w:szCs w:val="22"/>
          <w:lang w:val="en-GB"/>
        </w:rPr>
      </w:pPr>
      <w:r>
        <w:rPr>
          <w:rFonts w:ascii="Calibri" w:hAnsi="Calibri" w:cs="Calibri"/>
          <w:sz w:val="22"/>
          <w:szCs w:val="22"/>
          <w:lang w:val="en-GB"/>
        </w:rPr>
        <w:t>Food inflation rose to 20.31 per cent year-on-year in July, with a monthly increase of 4.13 per cent, as lean-season pressures affected staple supplies. Core inflation eased to 14.97 per cent year-on-year and 0.64 per cent month-on-month. Food availability and distribution costs remain important risks to the near-term inflation outlook.</w:t>
      </w:r>
    </w:p>
    <w:p w14:paraId="47107C39" w14:textId="77777777" w:rsidR="00845DC9" w:rsidRDefault="00845DC9">
      <w:pPr>
        <w:spacing w:line="276" w:lineRule="auto"/>
        <w:jc w:val="both"/>
        <w:rPr>
          <w:rFonts w:ascii="Calibri" w:hAnsi="Calibri" w:cs="Calibri"/>
          <w:sz w:val="22"/>
          <w:szCs w:val="22"/>
          <w:lang w:val="en-GB"/>
        </w:rPr>
      </w:pPr>
    </w:p>
    <w:p w14:paraId="5E7A78A3" w14:textId="77777777" w:rsidR="00845DC9" w:rsidRDefault="00F25966">
      <w:pPr>
        <w:pStyle w:val="Heading1"/>
        <w:spacing w:line="276" w:lineRule="auto"/>
        <w:rPr>
          <w:rFonts w:ascii="Calibri" w:hAnsi="Calibri" w:cs="Calibri"/>
          <w:color w:val="auto"/>
          <w:lang w:val="en-GB"/>
        </w:rPr>
      </w:pPr>
      <w:r>
        <w:rPr>
          <w:rFonts w:ascii="Calibri" w:hAnsi="Calibri" w:cs="Calibri"/>
          <w:color w:val="auto"/>
          <w:lang w:val="en-GB"/>
        </w:rPr>
        <w:t>Price Outlook</w:t>
      </w:r>
    </w:p>
    <w:p w14:paraId="1B72EE91" w14:textId="77777777" w:rsidR="00845DC9" w:rsidRDefault="00845DC9">
      <w:pPr>
        <w:spacing w:line="276" w:lineRule="auto"/>
        <w:jc w:val="both"/>
        <w:rPr>
          <w:rFonts w:ascii="Calibri" w:hAnsi="Calibri" w:cs="Calibri"/>
          <w:sz w:val="22"/>
          <w:szCs w:val="22"/>
          <w:lang w:val="en-GB"/>
        </w:rPr>
      </w:pPr>
    </w:p>
    <w:p w14:paraId="2336F2FD" w14:textId="77777777" w:rsidR="00845DC9" w:rsidRDefault="00F25966">
      <w:pPr>
        <w:spacing w:line="276" w:lineRule="auto"/>
        <w:jc w:val="both"/>
        <w:rPr>
          <w:rFonts w:ascii="Calibri" w:hAnsi="Calibri" w:cs="Calibri"/>
          <w:sz w:val="22"/>
          <w:szCs w:val="22"/>
          <w:lang w:val="en-GB"/>
        </w:rPr>
      </w:pPr>
      <w:r>
        <w:rPr>
          <w:rFonts w:ascii="Calibri" w:hAnsi="Calibri" w:cs="Calibri"/>
          <w:sz w:val="22"/>
          <w:szCs w:val="22"/>
          <w:lang w:val="en-GB"/>
        </w:rPr>
        <w:t>CAPE forecasts headline inflation of 15.40 per cent in August 2026, within a range of 14.98–15.51 per cent. This would represent a modest decline from July’s 15.45 per cent as early harvest supplies begin to ease food-price pressures. The expected improvement remains fragile: insecurity, transport costs and uneven harvest conditions could limit the relief to consumers. Continued monetary restraint and currency stability would support further disinflation.</w:t>
      </w:r>
    </w:p>
    <w:p w14:paraId="0E14A43D" w14:textId="77777777" w:rsidR="00845DC9" w:rsidRDefault="00845DC9">
      <w:pPr>
        <w:spacing w:after="160" w:line="276" w:lineRule="auto"/>
        <w:jc w:val="both"/>
        <w:rPr>
          <w:rFonts w:ascii="Calibri" w:hAnsi="Calibri" w:cs="Calibri"/>
          <w:sz w:val="22"/>
          <w:szCs w:val="22"/>
          <w:lang w:val="en-GB" w:eastAsia="en-US"/>
        </w:rPr>
      </w:pPr>
    </w:p>
    <w:p w14:paraId="48ED60D9" w14:textId="77777777" w:rsidR="00845DC9" w:rsidRDefault="00F25966">
      <w:pPr>
        <w:pStyle w:val="Heading1"/>
        <w:spacing w:line="276" w:lineRule="auto"/>
        <w:rPr>
          <w:rFonts w:ascii="Calibri" w:hAnsi="Calibri" w:cs="Calibri"/>
          <w:color w:val="auto"/>
          <w:lang w:val="en-GB"/>
        </w:rPr>
      </w:pPr>
      <w:r>
        <w:rPr>
          <w:rFonts w:ascii="Calibri" w:hAnsi="Calibri" w:cs="Calibri"/>
          <w:color w:val="auto"/>
          <w:lang w:val="en-GB"/>
        </w:rPr>
        <w:t>Fiscal Operations Update</w:t>
      </w:r>
    </w:p>
    <w:p w14:paraId="55A93082"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Higher federation receipts increased the resources available to federal, state and local governments in August 2026. The improvement offers short-term fiscal relief, but its lasting value will depend on revenue stability and the quality of public spending.</w:t>
      </w:r>
    </w:p>
    <w:p w14:paraId="56B6D699"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The Federation Account Allocation Committee distributed ₦3.007 trillion from July revenue, compared with ₦2.551 trillion from June, an increase of about 17.9 per cent. Gross statutory revenue reached ₦4.359 trillion, while value-added tax receipts stood at ₦793.968 billion. Stronger statutory receipts accounted for most of the increase.</w:t>
      </w:r>
    </w:p>
    <w:p w14:paraId="3F539096"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Figure 6: Total Distributable Revenue (Jan.–Jul. 2026)</w:t>
      </w:r>
    </w:p>
    <w:p w14:paraId="03DE9EA4"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noProof/>
          <w:lang w:val="en-US" w:eastAsia="en-US"/>
        </w:rPr>
        <w:drawing>
          <wp:inline distT="0" distB="0" distL="114300" distR="114300" wp14:anchorId="3EBD5B34" wp14:editId="01609F94">
            <wp:extent cx="3208655" cy="1880235"/>
            <wp:effectExtent l="0" t="0" r="4445" b="1206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17"/>
                    <a:stretch>
                      <a:fillRect/>
                    </a:stretch>
                  </pic:blipFill>
                  <pic:spPr>
                    <a:xfrm>
                      <a:off x="0" y="0"/>
                      <a:ext cx="3208655" cy="1880235"/>
                    </a:xfrm>
                    <a:prstGeom prst="rect">
                      <a:avLst/>
                    </a:prstGeom>
                    <a:noFill/>
                    <a:ln>
                      <a:noFill/>
                    </a:ln>
                  </pic:spPr>
                </pic:pic>
              </a:graphicData>
            </a:graphic>
          </wp:inline>
        </w:drawing>
      </w:r>
    </w:p>
    <w:p w14:paraId="0E78AC62" w14:textId="77777777" w:rsidR="00845DC9" w:rsidRDefault="00F25966">
      <w:pPr>
        <w:spacing w:line="276" w:lineRule="auto"/>
        <w:jc w:val="both"/>
        <w:rPr>
          <w:rFonts w:ascii="Calibri" w:hAnsi="Calibri" w:cs="Calibri"/>
          <w:sz w:val="22"/>
          <w:szCs w:val="22"/>
          <w:lang w:val="en-GB" w:eastAsia="en-US"/>
        </w:rPr>
      </w:pPr>
      <w:r>
        <w:rPr>
          <w:rFonts w:ascii="Calibri" w:hAnsi="Calibri" w:cs="Calibri"/>
          <w:b/>
          <w:bCs/>
          <w:color w:val="2F5496"/>
          <w:sz w:val="18"/>
          <w:szCs w:val="16"/>
        </w:rPr>
        <w:t xml:space="preserve">Source: </w:t>
      </w:r>
      <w:r>
        <w:rPr>
          <w:rFonts w:ascii="Calibri" w:hAnsi="Calibri" w:cs="Calibri"/>
          <w:b/>
          <w:bCs/>
          <w:color w:val="2F5496"/>
          <w:sz w:val="18"/>
          <w:szCs w:val="16"/>
          <w:lang w:val="en-GB"/>
        </w:rPr>
        <w:t>FAAC</w:t>
      </w:r>
    </w:p>
    <w:p w14:paraId="4679E4EC"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The Federal Government received ₦1.146 trillion, state governments ₦943.352 billion and local government councils ₦673.649 billion. Oil-producing states received a further ₦243.478 billion in derivation revenue.</w:t>
      </w:r>
    </w:p>
    <w:p w14:paraId="4D5009D9"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Larger transfers should ease immediate financing pressures, particularly at state and local levels. Sustained fiscal improvement will require stronger revenue collection, reliable oil production and disciplined spending. Saving part of higher receipts would help protect essential services when revenues weaken.</w:t>
      </w:r>
    </w:p>
    <w:p w14:paraId="1296BB0D" w14:textId="63F2FF57" w:rsidR="00845DC9" w:rsidRDefault="00845DC9">
      <w:pPr>
        <w:spacing w:after="160" w:line="276" w:lineRule="auto"/>
        <w:jc w:val="both"/>
        <w:rPr>
          <w:rFonts w:ascii="Calibri" w:hAnsi="Calibri" w:cs="Calibri"/>
          <w:sz w:val="22"/>
          <w:szCs w:val="22"/>
          <w:lang w:val="en-GB" w:eastAsia="en-US"/>
        </w:rPr>
      </w:pPr>
    </w:p>
    <w:p w14:paraId="7C3A8CCF" w14:textId="00D3036E" w:rsidR="004A00FD" w:rsidRDefault="004A00FD">
      <w:pPr>
        <w:spacing w:after="160" w:line="276" w:lineRule="auto"/>
        <w:jc w:val="both"/>
        <w:rPr>
          <w:rFonts w:ascii="Calibri" w:hAnsi="Calibri" w:cs="Calibri"/>
          <w:sz w:val="22"/>
          <w:szCs w:val="22"/>
          <w:lang w:val="en-GB" w:eastAsia="en-US"/>
        </w:rPr>
      </w:pPr>
    </w:p>
    <w:p w14:paraId="3A373F9E" w14:textId="77777777" w:rsidR="004A00FD" w:rsidRDefault="004A00FD">
      <w:pPr>
        <w:spacing w:after="160" w:line="276" w:lineRule="auto"/>
        <w:jc w:val="both"/>
        <w:rPr>
          <w:rFonts w:ascii="Calibri" w:hAnsi="Calibri" w:cs="Calibri"/>
          <w:sz w:val="22"/>
          <w:szCs w:val="22"/>
          <w:lang w:val="en-GB" w:eastAsia="en-US"/>
        </w:rPr>
      </w:pPr>
    </w:p>
    <w:p w14:paraId="3B92A6CF" w14:textId="77777777" w:rsidR="00845DC9" w:rsidRDefault="00F25966">
      <w:pPr>
        <w:pStyle w:val="Heading1"/>
        <w:spacing w:line="276" w:lineRule="auto"/>
        <w:rPr>
          <w:rFonts w:ascii="Calibri" w:hAnsi="Calibri" w:cs="Calibri"/>
          <w:color w:val="auto"/>
          <w:sz w:val="22"/>
          <w:szCs w:val="22"/>
          <w:lang w:val="en-GB"/>
        </w:rPr>
      </w:pPr>
      <w:r>
        <w:rPr>
          <w:rFonts w:ascii="Calibri" w:hAnsi="Calibri" w:cs="Calibri"/>
          <w:color w:val="auto"/>
          <w:lang w:val="en-GB"/>
        </w:rPr>
        <w:t>Conclusion</w:t>
      </w:r>
    </w:p>
    <w:p w14:paraId="041618D0" w14:textId="01C896F4"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Global growth remains positive, but energy shocks, trade uncertainty and high financing costs continue to pose risks. For Nigeria, the benefits of stronger export receipts must be balanced against exposure to imported inflation and volatile capital flows.</w:t>
      </w:r>
    </w:p>
    <w:p w14:paraId="5EC28D39"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Nigeria enters October with stronger activity but persistent cost pressures. Real GDP growth accelerated to 4.43 per cent in Q2 2026. CAPE places Q3 2026 growth in an indicative 4.34–4.50 per cent range, subject to further assessment as the quarter progresses. Stronger federation receipts provide some fiscal relief, while headline inflation is expected to ease to 15.40 per cent in August. Sustaining the recovery will require improvements in security, food distribution, energy supply and the investment environment.</w:t>
      </w:r>
    </w:p>
    <w:bookmarkEnd w:id="1"/>
    <w:p w14:paraId="68B09D3F" w14:textId="77777777" w:rsidR="00845DC9" w:rsidRDefault="00F25966">
      <w:pPr>
        <w:pStyle w:val="Heading1"/>
        <w:spacing w:before="0" w:line="276" w:lineRule="auto"/>
        <w:rPr>
          <w:rFonts w:ascii="Calibri" w:hAnsi="Calibri" w:cs="Calibri"/>
          <w:color w:val="002060"/>
          <w:sz w:val="28"/>
          <w:szCs w:val="28"/>
          <w:lang w:val="en-GB"/>
        </w:rPr>
      </w:pPr>
      <w:r>
        <w:rPr>
          <w:rFonts w:ascii="Calibri" w:hAnsi="Calibri" w:cs="Calibri"/>
          <w:color w:val="002060"/>
          <w:sz w:val="28"/>
          <w:szCs w:val="28"/>
          <w:lang w:val="en-GB"/>
        </w:rPr>
        <w:br w:type="column"/>
        <w:t>Country in Focus – Republic of Somalia</w:t>
      </w:r>
    </w:p>
    <w:p w14:paraId="5A8D560C"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sz w:val="22"/>
          <w:szCs w:val="22"/>
          <w:lang w:val="en-GB" w:eastAsia="en-US"/>
        </w:rPr>
        <w:t>Figure 7: Economic Parameters for Republic of Somalia</w:t>
      </w:r>
    </w:p>
    <w:p w14:paraId="7B2AF43B" w14:textId="77777777" w:rsidR="00845DC9" w:rsidRDefault="00F25966">
      <w:pPr>
        <w:spacing w:after="160" w:line="276" w:lineRule="auto"/>
        <w:jc w:val="both"/>
        <w:rPr>
          <w:rFonts w:ascii="Calibri" w:hAnsi="Calibri" w:cs="Calibri"/>
          <w:sz w:val="22"/>
          <w:szCs w:val="22"/>
          <w:lang w:val="en-GB" w:eastAsia="en-US"/>
        </w:rPr>
      </w:pPr>
      <w:r>
        <w:rPr>
          <w:rFonts w:ascii="Calibri" w:hAnsi="Calibri" w:cs="Calibri"/>
          <w:noProof/>
          <w:sz w:val="22"/>
          <w:szCs w:val="22"/>
          <w:lang w:val="en-US" w:eastAsia="en-US"/>
        </w:rPr>
        <w:drawing>
          <wp:inline distT="0" distB="0" distL="0" distR="0" wp14:anchorId="72D6A164" wp14:editId="2EFA751D">
            <wp:extent cx="2828290" cy="1606550"/>
            <wp:effectExtent l="0" t="0" r="381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828290" cy="1606550"/>
                    </a:xfrm>
                    <a:prstGeom prst="rect">
                      <a:avLst/>
                    </a:prstGeom>
                    <a:noFill/>
                    <a:ln>
                      <a:noFill/>
                    </a:ln>
                  </pic:spPr>
                </pic:pic>
              </a:graphicData>
            </a:graphic>
          </wp:inline>
        </w:drawing>
      </w:r>
    </w:p>
    <w:p w14:paraId="39E86E86" w14:textId="77777777" w:rsidR="00845DC9" w:rsidRDefault="00F25966">
      <w:pPr>
        <w:spacing w:line="276" w:lineRule="auto"/>
        <w:jc w:val="both"/>
        <w:rPr>
          <w:rFonts w:ascii="Calibri" w:hAnsi="Calibri" w:cs="Calibri"/>
          <w:b/>
          <w:bCs/>
          <w:sz w:val="18"/>
          <w:szCs w:val="16"/>
        </w:rPr>
      </w:pPr>
      <w:r>
        <w:rPr>
          <w:rFonts w:ascii="Calibri" w:hAnsi="Calibri" w:cs="Calibri"/>
          <w:b/>
          <w:bCs/>
          <w:sz w:val="18"/>
          <w:szCs w:val="16"/>
        </w:rPr>
        <w:t>Source: CAPE Economic Research and Consulting, 202</w:t>
      </w:r>
      <w:bookmarkEnd w:id="0"/>
      <w:r>
        <w:rPr>
          <w:rFonts w:ascii="Calibri" w:hAnsi="Calibri" w:cs="Calibri"/>
          <w:b/>
          <w:bCs/>
          <w:sz w:val="18"/>
          <w:szCs w:val="16"/>
        </w:rPr>
        <w:t>5</w:t>
      </w:r>
    </w:p>
    <w:sectPr w:rsidR="00845DC9">
      <w:type w:val="continuous"/>
      <w:pgSz w:w="11906" w:h="16838"/>
      <w:pgMar w:top="1440" w:right="849"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E22260" w14:textId="77777777" w:rsidR="00E20490" w:rsidRDefault="00E20490">
      <w:r>
        <w:separator/>
      </w:r>
    </w:p>
  </w:endnote>
  <w:endnote w:type="continuationSeparator" w:id="0">
    <w:p w14:paraId="41243227" w14:textId="77777777" w:rsidR="00E20490" w:rsidRDefault="00E20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SimSun"/>
    <w:panose1 w:val="02010600030101010101"/>
    <w:charset w:val="86"/>
    <w:family w:val="auto"/>
    <w:pitch w:val="variable"/>
    <w:sig w:usb0="A00002BF" w:usb1="38CF7CFA" w:usb2="00000016" w:usb3="00000000" w:csb0="0004000F" w:csb1="00000000"/>
  </w:font>
  <w:font w:name="等线 Light">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4579A" w14:textId="06BFB65E" w:rsidR="00845DC9" w:rsidRDefault="00F25966">
    <w:pPr>
      <w:pStyle w:val="Footer"/>
      <w:jc w:val="right"/>
    </w:pPr>
    <w:r>
      <w:rPr>
        <w:noProof/>
        <w:lang w:val="en-US"/>
      </w:rPr>
      <mc:AlternateContent>
        <mc:Choice Requires="wps">
          <w:drawing>
            <wp:anchor distT="0" distB="0" distL="114300" distR="114300" simplePos="0" relativeHeight="251660288" behindDoc="0" locked="0" layoutInCell="0" allowOverlap="1" wp14:anchorId="2BAAFDCC" wp14:editId="59D75579">
              <wp:simplePos x="0" y="0"/>
              <wp:positionH relativeFrom="page">
                <wp:posOffset>0</wp:posOffset>
              </wp:positionH>
              <wp:positionV relativeFrom="page">
                <wp:posOffset>10234930</wp:posOffset>
              </wp:positionV>
              <wp:extent cx="7560310" cy="266700"/>
              <wp:effectExtent l="0" t="0" r="0" b="0"/>
              <wp:wrapNone/>
              <wp:docPr id="9" name="MSIPCMd16a41ba803e545d2be77ef0" descr="{&quot;HashCode&quot;:-1046210256,&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wps:spPr>
                    <wps:txbx>
                      <w:txbxContent>
                        <w:p w14:paraId="34F6DF0B" w14:textId="77777777" w:rsidR="00845DC9" w:rsidRDefault="00F25966">
                          <w:pPr>
                            <w:rPr>
                              <w:rFonts w:ascii="Calibri" w:hAnsi="Calibri" w:cs="Calibri"/>
                              <w:color w:val="000000"/>
                              <w:sz w:val="16"/>
                            </w:rPr>
                          </w:pPr>
                          <w:r>
                            <w:rPr>
                              <w:rFonts w:ascii="Calibri" w:hAnsi="Calibri" w:cs="Calibri"/>
                              <w:color w:val="000000"/>
                              <w:sz w:val="16"/>
                            </w:rPr>
                            <w:t>Classified as Confidential</w:t>
                          </w:r>
                        </w:p>
                      </w:txbxContent>
                    </wps:txbx>
                    <wps:bodyPr rot="0" spcFirstLastPara="0" vertOverflow="overflow" horzOverflow="overflow" vert="horz" wrap="square" lIns="254000" tIns="0" rIns="91440" bIns="0" numCol="1" spcCol="0" rtlCol="0" fromWordArt="0" anchor="b" anchorCtr="0" forceAA="0" compatLnSpc="1">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BAAFDCC" id="_x0000_t202" coordsize="21600,21600" o:spt="202" path="m,l,21600r21600,l21600,xe">
              <v:stroke joinstyle="miter"/>
              <v:path gradientshapeok="t" o:connecttype="rect"/>
            </v:shapetype>
            <v:shape id="MSIPCMd16a41ba803e545d2be77ef0" o:spid="_x0000_s1026" type="#_x0000_t202" alt="{&quot;HashCode&quot;:-1046210256,&quot;Height&quot;:841.0,&quot;Width&quot;:595.0,&quot;Placement&quot;:&quot;Footer&quot;,&quot;Index&quot;:&quot;Primary&quot;,&quot;Section&quot;:1,&quot;Top&quot;:0.0,&quot;Left&quot;:0.0}" style="position:absolute;left:0;text-align:left;margin-left:0;margin-top:805.9pt;width:595.3pt;height:21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" o:allowincell="f" filled="f" stroked="f" strokeweight=".5pt">
              <v:textbox inset="20pt,0,,0">
                <w:txbxContent>
                  <w:p w14:paraId="34F6DF0B" w14:textId="77777777" w:rsidR="00845DC9" w:rsidRDefault="00F25966">
                    <w:pPr>
                      <w:rPr>
                        <w:rFonts w:ascii="Calibri" w:hAnsi="Calibri" w:cs="Calibri"/>
                        <w:color w:val="000000"/>
                        <w:sz w:val="16"/>
                      </w:rPr>
                    </w:pPr>
                    <w:r>
                      <w:rPr>
                        <w:rFonts w:ascii="Calibri" w:hAnsi="Calibri" w:cs="Calibri"/>
                        <w:color w:val="000000"/>
                        <w:sz w:val="16"/>
                      </w:rPr>
                      <w:t>Classified as Confidential</w:t>
                    </w:r>
                  </w:p>
                </w:txbxContent>
              </v:textbox>
              <w10:wrap anchorx="page" anchory="page"/>
            </v:shape>
          </w:pict>
        </mc:Fallback>
      </mc:AlternateContent>
    </w:r>
    <w:sdt>
      <w:sdtPr>
        <w:id w:val="597304613"/>
        <w:docPartObj>
          <w:docPartGallery w:val="AutoText"/>
        </w:docPartObj>
      </w:sdtPr>
      <w:sdtEndPr/>
      <w:sdtContent>
        <w:r>
          <w:fldChar w:fldCharType="begin"/>
        </w:r>
        <w:r>
          <w:instrText xml:space="preserve"> PAGE   \* MERGEFORMAT </w:instrText>
        </w:r>
        <w:r>
          <w:fldChar w:fldCharType="separate"/>
        </w:r>
        <w:r w:rsidR="00A279C5">
          <w:rPr>
            <w:noProof/>
          </w:rPr>
          <w:t>8</w:t>
        </w:r>
        <w:r>
          <w:fldChar w:fldCharType="end"/>
        </w:r>
      </w:sdtContent>
    </w:sdt>
  </w:p>
  <w:p w14:paraId="5601A46F" w14:textId="77777777" w:rsidR="00845DC9" w:rsidRDefault="00845D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7DE930" w14:textId="77777777" w:rsidR="00E20490" w:rsidRDefault="00E20490">
      <w:r>
        <w:separator/>
      </w:r>
    </w:p>
  </w:footnote>
  <w:footnote w:type="continuationSeparator" w:id="0">
    <w:p w14:paraId="6BBFE704" w14:textId="77777777" w:rsidR="00E20490" w:rsidRDefault="00E20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F2D919" w14:textId="77777777" w:rsidR="00845DC9" w:rsidRDefault="00F25966">
    <w:pPr>
      <w:pStyle w:val="Header"/>
    </w:pPr>
    <w:r>
      <w:rPr>
        <w:noProof/>
        <w:lang w:val="en-US"/>
      </w:rPr>
      <mc:AlternateContent>
        <mc:Choice Requires="wps">
          <w:drawing>
            <wp:inline distT="0" distB="0" distL="0" distR="0" wp14:anchorId="21BC8A59" wp14:editId="59144907">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180D66A"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Pr>
        <w:noProof/>
        <w:lang w:val="en-US"/>
      </w:rPr>
      <w:drawing>
        <wp:inline distT="0" distB="0" distL="0" distR="0" wp14:anchorId="7A42836E" wp14:editId="64B916C2">
          <wp:extent cx="2133600" cy="4889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33600" cy="48895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977B08"/>
    <w:multiLevelType w:val="multilevel"/>
    <w:tmpl w:val="48977B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3C5"/>
    <w:rsid w:val="000021BA"/>
    <w:rsid w:val="00002520"/>
    <w:rsid w:val="000032D9"/>
    <w:rsid w:val="0000639C"/>
    <w:rsid w:val="000071CB"/>
    <w:rsid w:val="00012247"/>
    <w:rsid w:val="000127D5"/>
    <w:rsid w:val="00012F18"/>
    <w:rsid w:val="00015715"/>
    <w:rsid w:val="00017943"/>
    <w:rsid w:val="000179F3"/>
    <w:rsid w:val="00017B9A"/>
    <w:rsid w:val="000206BA"/>
    <w:rsid w:val="00022239"/>
    <w:rsid w:val="00022A70"/>
    <w:rsid w:val="0002335A"/>
    <w:rsid w:val="00024CDB"/>
    <w:rsid w:val="00024D40"/>
    <w:rsid w:val="0003028F"/>
    <w:rsid w:val="00030F93"/>
    <w:rsid w:val="00033AE8"/>
    <w:rsid w:val="000365F0"/>
    <w:rsid w:val="000373A3"/>
    <w:rsid w:val="0003766F"/>
    <w:rsid w:val="00040202"/>
    <w:rsid w:val="000421F7"/>
    <w:rsid w:val="0004388A"/>
    <w:rsid w:val="0004686A"/>
    <w:rsid w:val="00047737"/>
    <w:rsid w:val="00050F3B"/>
    <w:rsid w:val="000519E0"/>
    <w:rsid w:val="000565F6"/>
    <w:rsid w:val="0005701C"/>
    <w:rsid w:val="0006455A"/>
    <w:rsid w:val="0006479F"/>
    <w:rsid w:val="00065B6F"/>
    <w:rsid w:val="00065B93"/>
    <w:rsid w:val="00066913"/>
    <w:rsid w:val="00071DC1"/>
    <w:rsid w:val="000722B0"/>
    <w:rsid w:val="000755EB"/>
    <w:rsid w:val="000763C6"/>
    <w:rsid w:val="0008031E"/>
    <w:rsid w:val="00080B8E"/>
    <w:rsid w:val="00080D82"/>
    <w:rsid w:val="0008110A"/>
    <w:rsid w:val="00082B43"/>
    <w:rsid w:val="00082B52"/>
    <w:rsid w:val="00082DB9"/>
    <w:rsid w:val="0008366C"/>
    <w:rsid w:val="000837F0"/>
    <w:rsid w:val="00085B6A"/>
    <w:rsid w:val="00087AC3"/>
    <w:rsid w:val="00087C08"/>
    <w:rsid w:val="000928D2"/>
    <w:rsid w:val="00094ADB"/>
    <w:rsid w:val="00094EF3"/>
    <w:rsid w:val="00095C6B"/>
    <w:rsid w:val="00095F9F"/>
    <w:rsid w:val="0009732E"/>
    <w:rsid w:val="000A01F0"/>
    <w:rsid w:val="000A1234"/>
    <w:rsid w:val="000A1776"/>
    <w:rsid w:val="000A1FBF"/>
    <w:rsid w:val="000A2D21"/>
    <w:rsid w:val="000A36B5"/>
    <w:rsid w:val="000A4429"/>
    <w:rsid w:val="000B0167"/>
    <w:rsid w:val="000B09C7"/>
    <w:rsid w:val="000B19CC"/>
    <w:rsid w:val="000B1C15"/>
    <w:rsid w:val="000B1C4C"/>
    <w:rsid w:val="000B2248"/>
    <w:rsid w:val="000B3F96"/>
    <w:rsid w:val="000B42BE"/>
    <w:rsid w:val="000B4833"/>
    <w:rsid w:val="000B55FE"/>
    <w:rsid w:val="000B5F93"/>
    <w:rsid w:val="000B6D8E"/>
    <w:rsid w:val="000C005C"/>
    <w:rsid w:val="000C0B5F"/>
    <w:rsid w:val="000C1347"/>
    <w:rsid w:val="000C178E"/>
    <w:rsid w:val="000C2283"/>
    <w:rsid w:val="000C2C76"/>
    <w:rsid w:val="000C3625"/>
    <w:rsid w:val="000C4EDD"/>
    <w:rsid w:val="000C53A4"/>
    <w:rsid w:val="000C5EA0"/>
    <w:rsid w:val="000C6CE3"/>
    <w:rsid w:val="000C6F92"/>
    <w:rsid w:val="000C714A"/>
    <w:rsid w:val="000C7F96"/>
    <w:rsid w:val="000D44F7"/>
    <w:rsid w:val="000D464B"/>
    <w:rsid w:val="000D4967"/>
    <w:rsid w:val="000D5EE3"/>
    <w:rsid w:val="000D5FD6"/>
    <w:rsid w:val="000D72E6"/>
    <w:rsid w:val="000D7517"/>
    <w:rsid w:val="000E005B"/>
    <w:rsid w:val="000E18FF"/>
    <w:rsid w:val="000E3558"/>
    <w:rsid w:val="000E6431"/>
    <w:rsid w:val="000E6540"/>
    <w:rsid w:val="000E65E5"/>
    <w:rsid w:val="000E790A"/>
    <w:rsid w:val="000F03AC"/>
    <w:rsid w:val="000F0418"/>
    <w:rsid w:val="000F05F4"/>
    <w:rsid w:val="000F0B43"/>
    <w:rsid w:val="000F4807"/>
    <w:rsid w:val="000F6128"/>
    <w:rsid w:val="000F6F5C"/>
    <w:rsid w:val="000F7D8D"/>
    <w:rsid w:val="00102700"/>
    <w:rsid w:val="00103ACB"/>
    <w:rsid w:val="00103DF0"/>
    <w:rsid w:val="00104BD0"/>
    <w:rsid w:val="00105D4B"/>
    <w:rsid w:val="00107158"/>
    <w:rsid w:val="00107D8C"/>
    <w:rsid w:val="00112FCA"/>
    <w:rsid w:val="0011333C"/>
    <w:rsid w:val="00114F8F"/>
    <w:rsid w:val="001156A2"/>
    <w:rsid w:val="00117A34"/>
    <w:rsid w:val="00117D2E"/>
    <w:rsid w:val="001206B9"/>
    <w:rsid w:val="00121B50"/>
    <w:rsid w:val="001226A8"/>
    <w:rsid w:val="001228AD"/>
    <w:rsid w:val="001231C5"/>
    <w:rsid w:val="00123CC5"/>
    <w:rsid w:val="001253BF"/>
    <w:rsid w:val="00126B94"/>
    <w:rsid w:val="0012753D"/>
    <w:rsid w:val="001277AA"/>
    <w:rsid w:val="00130CED"/>
    <w:rsid w:val="00140043"/>
    <w:rsid w:val="0014022E"/>
    <w:rsid w:val="001404EA"/>
    <w:rsid w:val="00141443"/>
    <w:rsid w:val="00141D70"/>
    <w:rsid w:val="0014362E"/>
    <w:rsid w:val="00144632"/>
    <w:rsid w:val="0014700C"/>
    <w:rsid w:val="001476A7"/>
    <w:rsid w:val="0015489B"/>
    <w:rsid w:val="00154FE9"/>
    <w:rsid w:val="00155EDC"/>
    <w:rsid w:val="001566BE"/>
    <w:rsid w:val="001600C4"/>
    <w:rsid w:val="0016227C"/>
    <w:rsid w:val="0016272D"/>
    <w:rsid w:val="00162EBA"/>
    <w:rsid w:val="001630F1"/>
    <w:rsid w:val="0016492C"/>
    <w:rsid w:val="00164B53"/>
    <w:rsid w:val="00164ECA"/>
    <w:rsid w:val="00166407"/>
    <w:rsid w:val="00166E3F"/>
    <w:rsid w:val="00170BF9"/>
    <w:rsid w:val="00172BDB"/>
    <w:rsid w:val="00174006"/>
    <w:rsid w:val="001744DC"/>
    <w:rsid w:val="0017522D"/>
    <w:rsid w:val="00175D49"/>
    <w:rsid w:val="00180731"/>
    <w:rsid w:val="0018182B"/>
    <w:rsid w:val="00181926"/>
    <w:rsid w:val="001824B9"/>
    <w:rsid w:val="001837B2"/>
    <w:rsid w:val="00185205"/>
    <w:rsid w:val="00185549"/>
    <w:rsid w:val="001857E2"/>
    <w:rsid w:val="00187147"/>
    <w:rsid w:val="00190DFE"/>
    <w:rsid w:val="001911C3"/>
    <w:rsid w:val="00191EEF"/>
    <w:rsid w:val="0019353E"/>
    <w:rsid w:val="001945BD"/>
    <w:rsid w:val="00197655"/>
    <w:rsid w:val="001978FA"/>
    <w:rsid w:val="00197DC4"/>
    <w:rsid w:val="001A02C0"/>
    <w:rsid w:val="001A1E20"/>
    <w:rsid w:val="001A2433"/>
    <w:rsid w:val="001A355C"/>
    <w:rsid w:val="001A4337"/>
    <w:rsid w:val="001A6659"/>
    <w:rsid w:val="001A7088"/>
    <w:rsid w:val="001A7C13"/>
    <w:rsid w:val="001B1EEE"/>
    <w:rsid w:val="001B227F"/>
    <w:rsid w:val="001B2B0C"/>
    <w:rsid w:val="001B3625"/>
    <w:rsid w:val="001B59ED"/>
    <w:rsid w:val="001B5C0D"/>
    <w:rsid w:val="001B5DBE"/>
    <w:rsid w:val="001B607F"/>
    <w:rsid w:val="001B72CA"/>
    <w:rsid w:val="001C0BAB"/>
    <w:rsid w:val="001C0F7B"/>
    <w:rsid w:val="001C17C6"/>
    <w:rsid w:val="001C3D34"/>
    <w:rsid w:val="001C5151"/>
    <w:rsid w:val="001C5ED0"/>
    <w:rsid w:val="001C7954"/>
    <w:rsid w:val="001D0B2F"/>
    <w:rsid w:val="001D1018"/>
    <w:rsid w:val="001D1DCC"/>
    <w:rsid w:val="001D4073"/>
    <w:rsid w:val="001D4DCD"/>
    <w:rsid w:val="001D5A1C"/>
    <w:rsid w:val="001D7985"/>
    <w:rsid w:val="001E1801"/>
    <w:rsid w:val="001E4E95"/>
    <w:rsid w:val="001E591B"/>
    <w:rsid w:val="001E6A11"/>
    <w:rsid w:val="001E769D"/>
    <w:rsid w:val="001E7F22"/>
    <w:rsid w:val="001F0712"/>
    <w:rsid w:val="001F2947"/>
    <w:rsid w:val="001F38F2"/>
    <w:rsid w:val="001F3C76"/>
    <w:rsid w:val="001F3F8C"/>
    <w:rsid w:val="001F4AD0"/>
    <w:rsid w:val="001F699A"/>
    <w:rsid w:val="001F6D97"/>
    <w:rsid w:val="001F6FF4"/>
    <w:rsid w:val="001F79CB"/>
    <w:rsid w:val="00203B3B"/>
    <w:rsid w:val="0020447B"/>
    <w:rsid w:val="002053C2"/>
    <w:rsid w:val="00206B53"/>
    <w:rsid w:val="002110B5"/>
    <w:rsid w:val="00212E42"/>
    <w:rsid w:val="00212E9B"/>
    <w:rsid w:val="002154C1"/>
    <w:rsid w:val="00217C05"/>
    <w:rsid w:val="002207FE"/>
    <w:rsid w:val="00220F01"/>
    <w:rsid w:val="0022129A"/>
    <w:rsid w:val="002248EA"/>
    <w:rsid w:val="00227A69"/>
    <w:rsid w:val="00227E26"/>
    <w:rsid w:val="002307E4"/>
    <w:rsid w:val="00230AC9"/>
    <w:rsid w:val="00232F8C"/>
    <w:rsid w:val="002346CB"/>
    <w:rsid w:val="002347C8"/>
    <w:rsid w:val="002355CC"/>
    <w:rsid w:val="00235793"/>
    <w:rsid w:val="00235B53"/>
    <w:rsid w:val="002379F4"/>
    <w:rsid w:val="00237DFC"/>
    <w:rsid w:val="0024320A"/>
    <w:rsid w:val="00245A2A"/>
    <w:rsid w:val="00245D3A"/>
    <w:rsid w:val="00245EB3"/>
    <w:rsid w:val="00245FEF"/>
    <w:rsid w:val="00247DA1"/>
    <w:rsid w:val="00250658"/>
    <w:rsid w:val="0025173C"/>
    <w:rsid w:val="0025657A"/>
    <w:rsid w:val="00256D25"/>
    <w:rsid w:val="00256FFA"/>
    <w:rsid w:val="00257E16"/>
    <w:rsid w:val="00260300"/>
    <w:rsid w:val="002618E5"/>
    <w:rsid w:val="0026353B"/>
    <w:rsid w:val="0026438B"/>
    <w:rsid w:val="0026580C"/>
    <w:rsid w:val="002678D6"/>
    <w:rsid w:val="00267EAC"/>
    <w:rsid w:val="00267FB0"/>
    <w:rsid w:val="00270D61"/>
    <w:rsid w:val="00271056"/>
    <w:rsid w:val="002721A8"/>
    <w:rsid w:val="00275F83"/>
    <w:rsid w:val="002764E3"/>
    <w:rsid w:val="00276AE4"/>
    <w:rsid w:val="002776C2"/>
    <w:rsid w:val="002801B9"/>
    <w:rsid w:val="00282EB1"/>
    <w:rsid w:val="00283C0A"/>
    <w:rsid w:val="00284941"/>
    <w:rsid w:val="00285978"/>
    <w:rsid w:val="00286AA0"/>
    <w:rsid w:val="00286F5A"/>
    <w:rsid w:val="00287023"/>
    <w:rsid w:val="00290B76"/>
    <w:rsid w:val="00290B88"/>
    <w:rsid w:val="002920FD"/>
    <w:rsid w:val="0029212C"/>
    <w:rsid w:val="0029261E"/>
    <w:rsid w:val="002932DF"/>
    <w:rsid w:val="00293369"/>
    <w:rsid w:val="00293590"/>
    <w:rsid w:val="00297924"/>
    <w:rsid w:val="002A019B"/>
    <w:rsid w:val="002A213C"/>
    <w:rsid w:val="002A27D4"/>
    <w:rsid w:val="002A4212"/>
    <w:rsid w:val="002A482E"/>
    <w:rsid w:val="002A56DB"/>
    <w:rsid w:val="002A59F7"/>
    <w:rsid w:val="002A66AF"/>
    <w:rsid w:val="002A721C"/>
    <w:rsid w:val="002A77D9"/>
    <w:rsid w:val="002B119C"/>
    <w:rsid w:val="002B16BD"/>
    <w:rsid w:val="002B1D34"/>
    <w:rsid w:val="002B298F"/>
    <w:rsid w:val="002B3CA0"/>
    <w:rsid w:val="002B632F"/>
    <w:rsid w:val="002B7C7E"/>
    <w:rsid w:val="002C0906"/>
    <w:rsid w:val="002C1EBF"/>
    <w:rsid w:val="002C2800"/>
    <w:rsid w:val="002C2E7C"/>
    <w:rsid w:val="002C413F"/>
    <w:rsid w:val="002C4670"/>
    <w:rsid w:val="002C49F7"/>
    <w:rsid w:val="002C50A0"/>
    <w:rsid w:val="002C52D2"/>
    <w:rsid w:val="002C5478"/>
    <w:rsid w:val="002C5543"/>
    <w:rsid w:val="002C55B9"/>
    <w:rsid w:val="002C5877"/>
    <w:rsid w:val="002C7D3A"/>
    <w:rsid w:val="002D0727"/>
    <w:rsid w:val="002D1E7F"/>
    <w:rsid w:val="002D2265"/>
    <w:rsid w:val="002D3B56"/>
    <w:rsid w:val="002D533C"/>
    <w:rsid w:val="002D5E14"/>
    <w:rsid w:val="002E08BB"/>
    <w:rsid w:val="002E0F92"/>
    <w:rsid w:val="002E2189"/>
    <w:rsid w:val="002E46AC"/>
    <w:rsid w:val="002E5F36"/>
    <w:rsid w:val="002E6784"/>
    <w:rsid w:val="002F1B9E"/>
    <w:rsid w:val="002F1DCE"/>
    <w:rsid w:val="002F3132"/>
    <w:rsid w:val="002F338B"/>
    <w:rsid w:val="002F5637"/>
    <w:rsid w:val="002F618B"/>
    <w:rsid w:val="002F6BCC"/>
    <w:rsid w:val="002F71FE"/>
    <w:rsid w:val="002F764D"/>
    <w:rsid w:val="0030010B"/>
    <w:rsid w:val="0030127A"/>
    <w:rsid w:val="0030262D"/>
    <w:rsid w:val="0030359A"/>
    <w:rsid w:val="003037B2"/>
    <w:rsid w:val="003038AE"/>
    <w:rsid w:val="003039DE"/>
    <w:rsid w:val="00303C81"/>
    <w:rsid w:val="003051E0"/>
    <w:rsid w:val="00306C3A"/>
    <w:rsid w:val="003118D1"/>
    <w:rsid w:val="0031324F"/>
    <w:rsid w:val="003139A0"/>
    <w:rsid w:val="00316632"/>
    <w:rsid w:val="0031763F"/>
    <w:rsid w:val="00317F73"/>
    <w:rsid w:val="00320A80"/>
    <w:rsid w:val="00320AEB"/>
    <w:rsid w:val="00320E5A"/>
    <w:rsid w:val="00321C32"/>
    <w:rsid w:val="00322CF4"/>
    <w:rsid w:val="00323F57"/>
    <w:rsid w:val="00325B6C"/>
    <w:rsid w:val="00326541"/>
    <w:rsid w:val="00326BD5"/>
    <w:rsid w:val="00327098"/>
    <w:rsid w:val="00327658"/>
    <w:rsid w:val="003279AB"/>
    <w:rsid w:val="00330FB7"/>
    <w:rsid w:val="0033137E"/>
    <w:rsid w:val="003327BB"/>
    <w:rsid w:val="00332F9B"/>
    <w:rsid w:val="003330CD"/>
    <w:rsid w:val="003352A5"/>
    <w:rsid w:val="00335C0D"/>
    <w:rsid w:val="003369BF"/>
    <w:rsid w:val="00336FFF"/>
    <w:rsid w:val="0033778E"/>
    <w:rsid w:val="00337AF3"/>
    <w:rsid w:val="003400D8"/>
    <w:rsid w:val="00340B1C"/>
    <w:rsid w:val="00342A79"/>
    <w:rsid w:val="00343491"/>
    <w:rsid w:val="0034350E"/>
    <w:rsid w:val="0034353F"/>
    <w:rsid w:val="00344145"/>
    <w:rsid w:val="003449DB"/>
    <w:rsid w:val="00344EF4"/>
    <w:rsid w:val="0034509A"/>
    <w:rsid w:val="00345A73"/>
    <w:rsid w:val="003466C6"/>
    <w:rsid w:val="00347CB7"/>
    <w:rsid w:val="00350B77"/>
    <w:rsid w:val="00351BB4"/>
    <w:rsid w:val="00353DAF"/>
    <w:rsid w:val="00353EA6"/>
    <w:rsid w:val="0035446C"/>
    <w:rsid w:val="00354BD4"/>
    <w:rsid w:val="00361042"/>
    <w:rsid w:val="003618DF"/>
    <w:rsid w:val="003649F2"/>
    <w:rsid w:val="00364A89"/>
    <w:rsid w:val="00364AD1"/>
    <w:rsid w:val="00365C75"/>
    <w:rsid w:val="0036689A"/>
    <w:rsid w:val="003671B4"/>
    <w:rsid w:val="00372123"/>
    <w:rsid w:val="00372E50"/>
    <w:rsid w:val="00375887"/>
    <w:rsid w:val="00375A16"/>
    <w:rsid w:val="00375B46"/>
    <w:rsid w:val="00375B5D"/>
    <w:rsid w:val="00375D51"/>
    <w:rsid w:val="00376602"/>
    <w:rsid w:val="00380917"/>
    <w:rsid w:val="003823B3"/>
    <w:rsid w:val="003869AC"/>
    <w:rsid w:val="00386E1E"/>
    <w:rsid w:val="00386F48"/>
    <w:rsid w:val="003900F2"/>
    <w:rsid w:val="0039107C"/>
    <w:rsid w:val="00392274"/>
    <w:rsid w:val="0039273A"/>
    <w:rsid w:val="00392B13"/>
    <w:rsid w:val="003930D3"/>
    <w:rsid w:val="00394722"/>
    <w:rsid w:val="00395CC8"/>
    <w:rsid w:val="00396791"/>
    <w:rsid w:val="00397660"/>
    <w:rsid w:val="003A00DF"/>
    <w:rsid w:val="003A2F10"/>
    <w:rsid w:val="003A2F3E"/>
    <w:rsid w:val="003A33B3"/>
    <w:rsid w:val="003A4F60"/>
    <w:rsid w:val="003B2554"/>
    <w:rsid w:val="003B271D"/>
    <w:rsid w:val="003B29E0"/>
    <w:rsid w:val="003B516E"/>
    <w:rsid w:val="003B51D6"/>
    <w:rsid w:val="003B52D5"/>
    <w:rsid w:val="003B73C3"/>
    <w:rsid w:val="003B7558"/>
    <w:rsid w:val="003C0CF7"/>
    <w:rsid w:val="003C1622"/>
    <w:rsid w:val="003C1CE9"/>
    <w:rsid w:val="003C2C1D"/>
    <w:rsid w:val="003C2C39"/>
    <w:rsid w:val="003C4A53"/>
    <w:rsid w:val="003C5796"/>
    <w:rsid w:val="003C7842"/>
    <w:rsid w:val="003C7850"/>
    <w:rsid w:val="003D0719"/>
    <w:rsid w:val="003D1357"/>
    <w:rsid w:val="003D28B3"/>
    <w:rsid w:val="003D2AC8"/>
    <w:rsid w:val="003D3208"/>
    <w:rsid w:val="003D366C"/>
    <w:rsid w:val="003D38D3"/>
    <w:rsid w:val="003D3A57"/>
    <w:rsid w:val="003D3DBF"/>
    <w:rsid w:val="003D4B8E"/>
    <w:rsid w:val="003D50F3"/>
    <w:rsid w:val="003D5A2A"/>
    <w:rsid w:val="003E139A"/>
    <w:rsid w:val="003E3931"/>
    <w:rsid w:val="003E4A85"/>
    <w:rsid w:val="003E5B70"/>
    <w:rsid w:val="003F10DA"/>
    <w:rsid w:val="003F11FE"/>
    <w:rsid w:val="003F27F5"/>
    <w:rsid w:val="003F2843"/>
    <w:rsid w:val="003F364E"/>
    <w:rsid w:val="003F3E4B"/>
    <w:rsid w:val="003F4974"/>
    <w:rsid w:val="003F4A72"/>
    <w:rsid w:val="003F4D75"/>
    <w:rsid w:val="003F7226"/>
    <w:rsid w:val="004000C2"/>
    <w:rsid w:val="0040091F"/>
    <w:rsid w:val="0040099A"/>
    <w:rsid w:val="00401D0F"/>
    <w:rsid w:val="0040201F"/>
    <w:rsid w:val="004021A4"/>
    <w:rsid w:val="004033AC"/>
    <w:rsid w:val="00403DA0"/>
    <w:rsid w:val="00404AA8"/>
    <w:rsid w:val="00407CDD"/>
    <w:rsid w:val="004107F4"/>
    <w:rsid w:val="00411067"/>
    <w:rsid w:val="0041198A"/>
    <w:rsid w:val="00411AC0"/>
    <w:rsid w:val="00411E79"/>
    <w:rsid w:val="004144B1"/>
    <w:rsid w:val="00414EAE"/>
    <w:rsid w:val="00415141"/>
    <w:rsid w:val="004172B6"/>
    <w:rsid w:val="004178A2"/>
    <w:rsid w:val="00417927"/>
    <w:rsid w:val="004202F8"/>
    <w:rsid w:val="00421ABF"/>
    <w:rsid w:val="004234A0"/>
    <w:rsid w:val="00424A2A"/>
    <w:rsid w:val="00424DE8"/>
    <w:rsid w:val="0043048D"/>
    <w:rsid w:val="00430D7B"/>
    <w:rsid w:val="0043222E"/>
    <w:rsid w:val="004334C9"/>
    <w:rsid w:val="00433519"/>
    <w:rsid w:val="004338D9"/>
    <w:rsid w:val="00433DEC"/>
    <w:rsid w:val="00434ACC"/>
    <w:rsid w:val="00435CE1"/>
    <w:rsid w:val="004366DD"/>
    <w:rsid w:val="0043676F"/>
    <w:rsid w:val="0044094F"/>
    <w:rsid w:val="00440CA4"/>
    <w:rsid w:val="00441F5D"/>
    <w:rsid w:val="00443047"/>
    <w:rsid w:val="00443440"/>
    <w:rsid w:val="004440B0"/>
    <w:rsid w:val="00444B5F"/>
    <w:rsid w:val="00445147"/>
    <w:rsid w:val="00445D9F"/>
    <w:rsid w:val="00446AC6"/>
    <w:rsid w:val="004475FB"/>
    <w:rsid w:val="00447C24"/>
    <w:rsid w:val="00453D3B"/>
    <w:rsid w:val="00453F0D"/>
    <w:rsid w:val="0045426B"/>
    <w:rsid w:val="00455B90"/>
    <w:rsid w:val="00456526"/>
    <w:rsid w:val="00457DA2"/>
    <w:rsid w:val="00462DEA"/>
    <w:rsid w:val="00463425"/>
    <w:rsid w:val="00465A09"/>
    <w:rsid w:val="00466DDC"/>
    <w:rsid w:val="004719CE"/>
    <w:rsid w:val="00472165"/>
    <w:rsid w:val="0047259F"/>
    <w:rsid w:val="00473003"/>
    <w:rsid w:val="00475B03"/>
    <w:rsid w:val="00477098"/>
    <w:rsid w:val="00477C1E"/>
    <w:rsid w:val="00482F46"/>
    <w:rsid w:val="004830AE"/>
    <w:rsid w:val="00483D1E"/>
    <w:rsid w:val="004841BC"/>
    <w:rsid w:val="00487E1F"/>
    <w:rsid w:val="004912B7"/>
    <w:rsid w:val="004916D2"/>
    <w:rsid w:val="00491B85"/>
    <w:rsid w:val="00491D1B"/>
    <w:rsid w:val="00492E69"/>
    <w:rsid w:val="0049492A"/>
    <w:rsid w:val="004A00FD"/>
    <w:rsid w:val="004A36B7"/>
    <w:rsid w:val="004A573F"/>
    <w:rsid w:val="004B0C10"/>
    <w:rsid w:val="004B0CB0"/>
    <w:rsid w:val="004B0CFE"/>
    <w:rsid w:val="004B21A4"/>
    <w:rsid w:val="004B35B7"/>
    <w:rsid w:val="004B3AA5"/>
    <w:rsid w:val="004B58E1"/>
    <w:rsid w:val="004B7AF1"/>
    <w:rsid w:val="004C0579"/>
    <w:rsid w:val="004C1F57"/>
    <w:rsid w:val="004C406D"/>
    <w:rsid w:val="004C5A86"/>
    <w:rsid w:val="004C5E1C"/>
    <w:rsid w:val="004C5E34"/>
    <w:rsid w:val="004C7634"/>
    <w:rsid w:val="004C767D"/>
    <w:rsid w:val="004D1EFD"/>
    <w:rsid w:val="004D21C9"/>
    <w:rsid w:val="004D32E3"/>
    <w:rsid w:val="004D3D57"/>
    <w:rsid w:val="004D4DD1"/>
    <w:rsid w:val="004E021F"/>
    <w:rsid w:val="004E1593"/>
    <w:rsid w:val="004E17E0"/>
    <w:rsid w:val="004E2053"/>
    <w:rsid w:val="004E2A70"/>
    <w:rsid w:val="004E349D"/>
    <w:rsid w:val="004E35FA"/>
    <w:rsid w:val="004E4369"/>
    <w:rsid w:val="004E55AE"/>
    <w:rsid w:val="004E5E64"/>
    <w:rsid w:val="004E60E8"/>
    <w:rsid w:val="004E6E35"/>
    <w:rsid w:val="004E709A"/>
    <w:rsid w:val="004E79CF"/>
    <w:rsid w:val="004F047D"/>
    <w:rsid w:val="004F1A51"/>
    <w:rsid w:val="004F23D4"/>
    <w:rsid w:val="004F3ABE"/>
    <w:rsid w:val="004F4364"/>
    <w:rsid w:val="00500393"/>
    <w:rsid w:val="005010D6"/>
    <w:rsid w:val="005034EA"/>
    <w:rsid w:val="005059FC"/>
    <w:rsid w:val="005069E0"/>
    <w:rsid w:val="005077E4"/>
    <w:rsid w:val="0050783A"/>
    <w:rsid w:val="00507851"/>
    <w:rsid w:val="00507BB0"/>
    <w:rsid w:val="005111FB"/>
    <w:rsid w:val="005114F7"/>
    <w:rsid w:val="00512F09"/>
    <w:rsid w:val="00515BEB"/>
    <w:rsid w:val="005177CC"/>
    <w:rsid w:val="00520192"/>
    <w:rsid w:val="00521219"/>
    <w:rsid w:val="00521B4D"/>
    <w:rsid w:val="0052271E"/>
    <w:rsid w:val="00523D10"/>
    <w:rsid w:val="00525C2D"/>
    <w:rsid w:val="00525F38"/>
    <w:rsid w:val="00530E75"/>
    <w:rsid w:val="00530EA4"/>
    <w:rsid w:val="00532D32"/>
    <w:rsid w:val="00534145"/>
    <w:rsid w:val="005342CE"/>
    <w:rsid w:val="0053431B"/>
    <w:rsid w:val="005347B4"/>
    <w:rsid w:val="00534B3C"/>
    <w:rsid w:val="00534F79"/>
    <w:rsid w:val="0053653B"/>
    <w:rsid w:val="00537727"/>
    <w:rsid w:val="00537A2F"/>
    <w:rsid w:val="00540A85"/>
    <w:rsid w:val="00541566"/>
    <w:rsid w:val="0054205D"/>
    <w:rsid w:val="00544764"/>
    <w:rsid w:val="005453DC"/>
    <w:rsid w:val="00545D91"/>
    <w:rsid w:val="00545DBB"/>
    <w:rsid w:val="005461C9"/>
    <w:rsid w:val="00546886"/>
    <w:rsid w:val="005472A4"/>
    <w:rsid w:val="00547C57"/>
    <w:rsid w:val="00551DC9"/>
    <w:rsid w:val="00552D8D"/>
    <w:rsid w:val="00553AF0"/>
    <w:rsid w:val="00555B43"/>
    <w:rsid w:val="00556406"/>
    <w:rsid w:val="0055656C"/>
    <w:rsid w:val="00557B17"/>
    <w:rsid w:val="005606C8"/>
    <w:rsid w:val="00561A14"/>
    <w:rsid w:val="00563527"/>
    <w:rsid w:val="005635E3"/>
    <w:rsid w:val="00563E00"/>
    <w:rsid w:val="00564396"/>
    <w:rsid w:val="005646E4"/>
    <w:rsid w:val="005704C0"/>
    <w:rsid w:val="005735CB"/>
    <w:rsid w:val="00574983"/>
    <w:rsid w:val="00575AB9"/>
    <w:rsid w:val="00575B6F"/>
    <w:rsid w:val="00576367"/>
    <w:rsid w:val="005769E9"/>
    <w:rsid w:val="00576A70"/>
    <w:rsid w:val="00576AAC"/>
    <w:rsid w:val="00577477"/>
    <w:rsid w:val="0057766A"/>
    <w:rsid w:val="0058004C"/>
    <w:rsid w:val="00580A52"/>
    <w:rsid w:val="00583EEB"/>
    <w:rsid w:val="005843BA"/>
    <w:rsid w:val="005850BE"/>
    <w:rsid w:val="00590D9B"/>
    <w:rsid w:val="005917F3"/>
    <w:rsid w:val="00593DAD"/>
    <w:rsid w:val="00594753"/>
    <w:rsid w:val="005959A5"/>
    <w:rsid w:val="00596B51"/>
    <w:rsid w:val="005A02DD"/>
    <w:rsid w:val="005A123E"/>
    <w:rsid w:val="005A3A2B"/>
    <w:rsid w:val="005A4287"/>
    <w:rsid w:val="005A5221"/>
    <w:rsid w:val="005A5F29"/>
    <w:rsid w:val="005A6790"/>
    <w:rsid w:val="005A7206"/>
    <w:rsid w:val="005A7673"/>
    <w:rsid w:val="005A7FF8"/>
    <w:rsid w:val="005B07EB"/>
    <w:rsid w:val="005B23E8"/>
    <w:rsid w:val="005B2976"/>
    <w:rsid w:val="005B3411"/>
    <w:rsid w:val="005B3E29"/>
    <w:rsid w:val="005B49D1"/>
    <w:rsid w:val="005B5398"/>
    <w:rsid w:val="005B595A"/>
    <w:rsid w:val="005B7526"/>
    <w:rsid w:val="005B7A5B"/>
    <w:rsid w:val="005C175F"/>
    <w:rsid w:val="005C1AB4"/>
    <w:rsid w:val="005C3929"/>
    <w:rsid w:val="005C4168"/>
    <w:rsid w:val="005C4225"/>
    <w:rsid w:val="005C4588"/>
    <w:rsid w:val="005C6A58"/>
    <w:rsid w:val="005D1AFC"/>
    <w:rsid w:val="005D3546"/>
    <w:rsid w:val="005D6166"/>
    <w:rsid w:val="005D78D0"/>
    <w:rsid w:val="005E0C34"/>
    <w:rsid w:val="005E0E03"/>
    <w:rsid w:val="005E1C9F"/>
    <w:rsid w:val="005E2A84"/>
    <w:rsid w:val="005E63CB"/>
    <w:rsid w:val="005E64A8"/>
    <w:rsid w:val="005E6CCD"/>
    <w:rsid w:val="005F0F98"/>
    <w:rsid w:val="005F3654"/>
    <w:rsid w:val="005F4726"/>
    <w:rsid w:val="005F51E7"/>
    <w:rsid w:val="00600A4C"/>
    <w:rsid w:val="00600D96"/>
    <w:rsid w:val="00601371"/>
    <w:rsid w:val="00601557"/>
    <w:rsid w:val="00603354"/>
    <w:rsid w:val="00606C55"/>
    <w:rsid w:val="0061099B"/>
    <w:rsid w:val="00610E71"/>
    <w:rsid w:val="00611633"/>
    <w:rsid w:val="006129FD"/>
    <w:rsid w:val="00612A47"/>
    <w:rsid w:val="0061337D"/>
    <w:rsid w:val="006134BB"/>
    <w:rsid w:val="006140FF"/>
    <w:rsid w:val="0061493F"/>
    <w:rsid w:val="006167DF"/>
    <w:rsid w:val="00616FD1"/>
    <w:rsid w:val="0062129B"/>
    <w:rsid w:val="00622704"/>
    <w:rsid w:val="00622F50"/>
    <w:rsid w:val="00624257"/>
    <w:rsid w:val="00624736"/>
    <w:rsid w:val="006254DD"/>
    <w:rsid w:val="006259FF"/>
    <w:rsid w:val="00626D59"/>
    <w:rsid w:val="00627461"/>
    <w:rsid w:val="006277CB"/>
    <w:rsid w:val="00627E1F"/>
    <w:rsid w:val="00631C34"/>
    <w:rsid w:val="00631F20"/>
    <w:rsid w:val="00632A34"/>
    <w:rsid w:val="00633052"/>
    <w:rsid w:val="0063459F"/>
    <w:rsid w:val="00634635"/>
    <w:rsid w:val="00634D01"/>
    <w:rsid w:val="0063681D"/>
    <w:rsid w:val="00636F00"/>
    <w:rsid w:val="00637A7A"/>
    <w:rsid w:val="006410EB"/>
    <w:rsid w:val="00645A84"/>
    <w:rsid w:val="00645CD3"/>
    <w:rsid w:val="0064744E"/>
    <w:rsid w:val="00647FAE"/>
    <w:rsid w:val="006503B6"/>
    <w:rsid w:val="00652D65"/>
    <w:rsid w:val="00652FE1"/>
    <w:rsid w:val="00655182"/>
    <w:rsid w:val="00655E40"/>
    <w:rsid w:val="00656229"/>
    <w:rsid w:val="006563B9"/>
    <w:rsid w:val="0065641A"/>
    <w:rsid w:val="00657D96"/>
    <w:rsid w:val="006609F4"/>
    <w:rsid w:val="00664395"/>
    <w:rsid w:val="006648C9"/>
    <w:rsid w:val="006679D0"/>
    <w:rsid w:val="006722E1"/>
    <w:rsid w:val="006726CA"/>
    <w:rsid w:val="00673208"/>
    <w:rsid w:val="0067492D"/>
    <w:rsid w:val="00674D2D"/>
    <w:rsid w:val="00676812"/>
    <w:rsid w:val="006819DC"/>
    <w:rsid w:val="00681EE4"/>
    <w:rsid w:val="006841A5"/>
    <w:rsid w:val="0068496A"/>
    <w:rsid w:val="00684FE5"/>
    <w:rsid w:val="00686FDD"/>
    <w:rsid w:val="00691AC7"/>
    <w:rsid w:val="0069355B"/>
    <w:rsid w:val="00695CFF"/>
    <w:rsid w:val="00697FC9"/>
    <w:rsid w:val="006A007F"/>
    <w:rsid w:val="006A0E79"/>
    <w:rsid w:val="006A10EC"/>
    <w:rsid w:val="006A22B2"/>
    <w:rsid w:val="006A3071"/>
    <w:rsid w:val="006A38D9"/>
    <w:rsid w:val="006A4ED9"/>
    <w:rsid w:val="006A53F3"/>
    <w:rsid w:val="006A647A"/>
    <w:rsid w:val="006A68B5"/>
    <w:rsid w:val="006A7139"/>
    <w:rsid w:val="006B0118"/>
    <w:rsid w:val="006B02F2"/>
    <w:rsid w:val="006B0589"/>
    <w:rsid w:val="006B0ACD"/>
    <w:rsid w:val="006B1AF4"/>
    <w:rsid w:val="006B2E0B"/>
    <w:rsid w:val="006B38D8"/>
    <w:rsid w:val="006B5396"/>
    <w:rsid w:val="006B5BBC"/>
    <w:rsid w:val="006B5CE9"/>
    <w:rsid w:val="006B5F9A"/>
    <w:rsid w:val="006B6113"/>
    <w:rsid w:val="006B7179"/>
    <w:rsid w:val="006B7197"/>
    <w:rsid w:val="006B7D5F"/>
    <w:rsid w:val="006B7F06"/>
    <w:rsid w:val="006C02E4"/>
    <w:rsid w:val="006C5055"/>
    <w:rsid w:val="006C71E0"/>
    <w:rsid w:val="006D23DD"/>
    <w:rsid w:val="006D385C"/>
    <w:rsid w:val="006D3BC3"/>
    <w:rsid w:val="006D5040"/>
    <w:rsid w:val="006D6F10"/>
    <w:rsid w:val="006E0BBD"/>
    <w:rsid w:val="006E4DAC"/>
    <w:rsid w:val="006E5192"/>
    <w:rsid w:val="006E7674"/>
    <w:rsid w:val="006F41C5"/>
    <w:rsid w:val="006F47DA"/>
    <w:rsid w:val="006F4956"/>
    <w:rsid w:val="006F4F56"/>
    <w:rsid w:val="006F551E"/>
    <w:rsid w:val="006F784F"/>
    <w:rsid w:val="006F7BDA"/>
    <w:rsid w:val="0070085E"/>
    <w:rsid w:val="00700970"/>
    <w:rsid w:val="00701B10"/>
    <w:rsid w:val="00702FE4"/>
    <w:rsid w:val="007037AA"/>
    <w:rsid w:val="00703AAE"/>
    <w:rsid w:val="00704CB2"/>
    <w:rsid w:val="00705593"/>
    <w:rsid w:val="00705665"/>
    <w:rsid w:val="00705684"/>
    <w:rsid w:val="00706012"/>
    <w:rsid w:val="00706F49"/>
    <w:rsid w:val="00710E79"/>
    <w:rsid w:val="00711912"/>
    <w:rsid w:val="00712304"/>
    <w:rsid w:val="00712BAC"/>
    <w:rsid w:val="00713F64"/>
    <w:rsid w:val="007142FB"/>
    <w:rsid w:val="00714594"/>
    <w:rsid w:val="0072001F"/>
    <w:rsid w:val="00722494"/>
    <w:rsid w:val="0072303E"/>
    <w:rsid w:val="007237BB"/>
    <w:rsid w:val="00723EF9"/>
    <w:rsid w:val="00725F2A"/>
    <w:rsid w:val="00727CBC"/>
    <w:rsid w:val="00731126"/>
    <w:rsid w:val="00732B2D"/>
    <w:rsid w:val="0073344C"/>
    <w:rsid w:val="00733725"/>
    <w:rsid w:val="00736B7A"/>
    <w:rsid w:val="007403EE"/>
    <w:rsid w:val="00740EFD"/>
    <w:rsid w:val="0074164F"/>
    <w:rsid w:val="00742C11"/>
    <w:rsid w:val="00744FB7"/>
    <w:rsid w:val="007505FF"/>
    <w:rsid w:val="00750991"/>
    <w:rsid w:val="00750F1D"/>
    <w:rsid w:val="007528FF"/>
    <w:rsid w:val="00754405"/>
    <w:rsid w:val="007551CB"/>
    <w:rsid w:val="00755D61"/>
    <w:rsid w:val="0075691D"/>
    <w:rsid w:val="00757272"/>
    <w:rsid w:val="007577AC"/>
    <w:rsid w:val="00760B11"/>
    <w:rsid w:val="00761B38"/>
    <w:rsid w:val="00762782"/>
    <w:rsid w:val="0076346B"/>
    <w:rsid w:val="00763971"/>
    <w:rsid w:val="00763B71"/>
    <w:rsid w:val="00764F58"/>
    <w:rsid w:val="00765F0D"/>
    <w:rsid w:val="00767783"/>
    <w:rsid w:val="00770771"/>
    <w:rsid w:val="007708EE"/>
    <w:rsid w:val="00770974"/>
    <w:rsid w:val="007729CB"/>
    <w:rsid w:val="00772A7F"/>
    <w:rsid w:val="00774738"/>
    <w:rsid w:val="00774CC9"/>
    <w:rsid w:val="0077649E"/>
    <w:rsid w:val="00776834"/>
    <w:rsid w:val="00776BBF"/>
    <w:rsid w:val="007806C9"/>
    <w:rsid w:val="0078093B"/>
    <w:rsid w:val="00781656"/>
    <w:rsid w:val="007825A3"/>
    <w:rsid w:val="007827F6"/>
    <w:rsid w:val="00792B91"/>
    <w:rsid w:val="00794AE2"/>
    <w:rsid w:val="00795466"/>
    <w:rsid w:val="00796163"/>
    <w:rsid w:val="0079671B"/>
    <w:rsid w:val="007A1DA0"/>
    <w:rsid w:val="007A4102"/>
    <w:rsid w:val="007A4FE6"/>
    <w:rsid w:val="007A52BB"/>
    <w:rsid w:val="007A64B0"/>
    <w:rsid w:val="007B152B"/>
    <w:rsid w:val="007B1A4A"/>
    <w:rsid w:val="007B318A"/>
    <w:rsid w:val="007B3E30"/>
    <w:rsid w:val="007B3F4C"/>
    <w:rsid w:val="007B5435"/>
    <w:rsid w:val="007B55A5"/>
    <w:rsid w:val="007B60CD"/>
    <w:rsid w:val="007B6DBA"/>
    <w:rsid w:val="007B731B"/>
    <w:rsid w:val="007B7E01"/>
    <w:rsid w:val="007C1533"/>
    <w:rsid w:val="007C18D2"/>
    <w:rsid w:val="007C1EC3"/>
    <w:rsid w:val="007C25E1"/>
    <w:rsid w:val="007C3583"/>
    <w:rsid w:val="007C360A"/>
    <w:rsid w:val="007C42F1"/>
    <w:rsid w:val="007C7220"/>
    <w:rsid w:val="007D11DE"/>
    <w:rsid w:val="007D21BF"/>
    <w:rsid w:val="007D40BF"/>
    <w:rsid w:val="007D4C49"/>
    <w:rsid w:val="007D5227"/>
    <w:rsid w:val="007D5DF3"/>
    <w:rsid w:val="007D7559"/>
    <w:rsid w:val="007D7E59"/>
    <w:rsid w:val="007E1389"/>
    <w:rsid w:val="007E2B28"/>
    <w:rsid w:val="007E422A"/>
    <w:rsid w:val="007E4953"/>
    <w:rsid w:val="007E4E64"/>
    <w:rsid w:val="007E55E7"/>
    <w:rsid w:val="007E630B"/>
    <w:rsid w:val="007E6E33"/>
    <w:rsid w:val="007E74F0"/>
    <w:rsid w:val="007F2A43"/>
    <w:rsid w:val="007F386F"/>
    <w:rsid w:val="007F5169"/>
    <w:rsid w:val="007F63B1"/>
    <w:rsid w:val="007F6B7D"/>
    <w:rsid w:val="00800982"/>
    <w:rsid w:val="0080245A"/>
    <w:rsid w:val="00802643"/>
    <w:rsid w:val="00803207"/>
    <w:rsid w:val="00803E00"/>
    <w:rsid w:val="0080464C"/>
    <w:rsid w:val="00804B78"/>
    <w:rsid w:val="00805FF6"/>
    <w:rsid w:val="008101DE"/>
    <w:rsid w:val="00810734"/>
    <w:rsid w:val="008113F1"/>
    <w:rsid w:val="008114FA"/>
    <w:rsid w:val="008124A1"/>
    <w:rsid w:val="00812822"/>
    <w:rsid w:val="00812FC1"/>
    <w:rsid w:val="0081319A"/>
    <w:rsid w:val="0081343D"/>
    <w:rsid w:val="00814389"/>
    <w:rsid w:val="008151AF"/>
    <w:rsid w:val="008170CA"/>
    <w:rsid w:val="008217E4"/>
    <w:rsid w:val="00821D85"/>
    <w:rsid w:val="00822FAA"/>
    <w:rsid w:val="00823BA9"/>
    <w:rsid w:val="00823D2B"/>
    <w:rsid w:val="008254BA"/>
    <w:rsid w:val="0082556E"/>
    <w:rsid w:val="0082594E"/>
    <w:rsid w:val="00825D20"/>
    <w:rsid w:val="00827F1D"/>
    <w:rsid w:val="00827F60"/>
    <w:rsid w:val="0083009C"/>
    <w:rsid w:val="00830155"/>
    <w:rsid w:val="00831A63"/>
    <w:rsid w:val="008322CC"/>
    <w:rsid w:val="00835916"/>
    <w:rsid w:val="00835B8D"/>
    <w:rsid w:val="00837899"/>
    <w:rsid w:val="00837B6E"/>
    <w:rsid w:val="00840EB1"/>
    <w:rsid w:val="00841933"/>
    <w:rsid w:val="00842382"/>
    <w:rsid w:val="00842C43"/>
    <w:rsid w:val="00844A61"/>
    <w:rsid w:val="00845DC9"/>
    <w:rsid w:val="00846D9E"/>
    <w:rsid w:val="00846E83"/>
    <w:rsid w:val="0085080B"/>
    <w:rsid w:val="0085236E"/>
    <w:rsid w:val="0085338D"/>
    <w:rsid w:val="0085479F"/>
    <w:rsid w:val="008547B5"/>
    <w:rsid w:val="008550E5"/>
    <w:rsid w:val="00855AB7"/>
    <w:rsid w:val="008600BB"/>
    <w:rsid w:val="008602A9"/>
    <w:rsid w:val="008606A4"/>
    <w:rsid w:val="00861192"/>
    <w:rsid w:val="00863603"/>
    <w:rsid w:val="00864F7A"/>
    <w:rsid w:val="008661AF"/>
    <w:rsid w:val="00866F49"/>
    <w:rsid w:val="0087033F"/>
    <w:rsid w:val="00872BF6"/>
    <w:rsid w:val="00872E81"/>
    <w:rsid w:val="00873C12"/>
    <w:rsid w:val="008749DA"/>
    <w:rsid w:val="00874B06"/>
    <w:rsid w:val="00880071"/>
    <w:rsid w:val="0088028D"/>
    <w:rsid w:val="00880715"/>
    <w:rsid w:val="00880A5C"/>
    <w:rsid w:val="00880A90"/>
    <w:rsid w:val="00881B0A"/>
    <w:rsid w:val="00882CEA"/>
    <w:rsid w:val="00883CAC"/>
    <w:rsid w:val="00884155"/>
    <w:rsid w:val="0088730F"/>
    <w:rsid w:val="00890478"/>
    <w:rsid w:val="008905EC"/>
    <w:rsid w:val="00892802"/>
    <w:rsid w:val="00893EC5"/>
    <w:rsid w:val="00894FAB"/>
    <w:rsid w:val="0089515D"/>
    <w:rsid w:val="00897919"/>
    <w:rsid w:val="008A0B6C"/>
    <w:rsid w:val="008A13A3"/>
    <w:rsid w:val="008A23FD"/>
    <w:rsid w:val="008A2B53"/>
    <w:rsid w:val="008A2FA2"/>
    <w:rsid w:val="008A66EE"/>
    <w:rsid w:val="008A67F9"/>
    <w:rsid w:val="008B3588"/>
    <w:rsid w:val="008B50EC"/>
    <w:rsid w:val="008B5F0E"/>
    <w:rsid w:val="008B6528"/>
    <w:rsid w:val="008B7C8A"/>
    <w:rsid w:val="008C01C1"/>
    <w:rsid w:val="008C0868"/>
    <w:rsid w:val="008C1070"/>
    <w:rsid w:val="008C1595"/>
    <w:rsid w:val="008C2862"/>
    <w:rsid w:val="008C2F2B"/>
    <w:rsid w:val="008C4D35"/>
    <w:rsid w:val="008C6A58"/>
    <w:rsid w:val="008C6C94"/>
    <w:rsid w:val="008D054E"/>
    <w:rsid w:val="008D40A4"/>
    <w:rsid w:val="008D4797"/>
    <w:rsid w:val="008D5643"/>
    <w:rsid w:val="008D5787"/>
    <w:rsid w:val="008D6678"/>
    <w:rsid w:val="008D6E75"/>
    <w:rsid w:val="008E00CA"/>
    <w:rsid w:val="008E02FE"/>
    <w:rsid w:val="008E0B07"/>
    <w:rsid w:val="008E0C6C"/>
    <w:rsid w:val="008E113B"/>
    <w:rsid w:val="008E11D1"/>
    <w:rsid w:val="008E2323"/>
    <w:rsid w:val="008E2DC5"/>
    <w:rsid w:val="008E3036"/>
    <w:rsid w:val="008E4BD4"/>
    <w:rsid w:val="008E4D7B"/>
    <w:rsid w:val="008E6C50"/>
    <w:rsid w:val="008E776E"/>
    <w:rsid w:val="008F090B"/>
    <w:rsid w:val="008F0C8F"/>
    <w:rsid w:val="008F20AD"/>
    <w:rsid w:val="008F4465"/>
    <w:rsid w:val="008F4D98"/>
    <w:rsid w:val="008F587E"/>
    <w:rsid w:val="008F6C42"/>
    <w:rsid w:val="008F6E4B"/>
    <w:rsid w:val="008F7B0E"/>
    <w:rsid w:val="00900EA0"/>
    <w:rsid w:val="00904506"/>
    <w:rsid w:val="00905901"/>
    <w:rsid w:val="009059C0"/>
    <w:rsid w:val="0091126E"/>
    <w:rsid w:val="009125CB"/>
    <w:rsid w:val="00913C7A"/>
    <w:rsid w:val="00914A7E"/>
    <w:rsid w:val="009166C7"/>
    <w:rsid w:val="00917416"/>
    <w:rsid w:val="00920384"/>
    <w:rsid w:val="00922A11"/>
    <w:rsid w:val="009233B4"/>
    <w:rsid w:val="009234DF"/>
    <w:rsid w:val="00924ED2"/>
    <w:rsid w:val="00925B5A"/>
    <w:rsid w:val="0093389C"/>
    <w:rsid w:val="0093585C"/>
    <w:rsid w:val="00937090"/>
    <w:rsid w:val="009375B8"/>
    <w:rsid w:val="00937939"/>
    <w:rsid w:val="009403BC"/>
    <w:rsid w:val="00940BFF"/>
    <w:rsid w:val="00943EC6"/>
    <w:rsid w:val="00944317"/>
    <w:rsid w:val="00946121"/>
    <w:rsid w:val="009463E7"/>
    <w:rsid w:val="0094657E"/>
    <w:rsid w:val="009471E8"/>
    <w:rsid w:val="0095036E"/>
    <w:rsid w:val="00950729"/>
    <w:rsid w:val="00951B4F"/>
    <w:rsid w:val="009557FC"/>
    <w:rsid w:val="009565EC"/>
    <w:rsid w:val="00960C68"/>
    <w:rsid w:val="00961C36"/>
    <w:rsid w:val="009621E9"/>
    <w:rsid w:val="00962322"/>
    <w:rsid w:val="00965E4D"/>
    <w:rsid w:val="00967746"/>
    <w:rsid w:val="00967987"/>
    <w:rsid w:val="00970F4E"/>
    <w:rsid w:val="00971BC2"/>
    <w:rsid w:val="00971BC8"/>
    <w:rsid w:val="00971F54"/>
    <w:rsid w:val="0097387D"/>
    <w:rsid w:val="00975B56"/>
    <w:rsid w:val="00975D27"/>
    <w:rsid w:val="00975EC3"/>
    <w:rsid w:val="00977FB7"/>
    <w:rsid w:val="009803FE"/>
    <w:rsid w:val="0098134E"/>
    <w:rsid w:val="009816EC"/>
    <w:rsid w:val="00983497"/>
    <w:rsid w:val="009906CB"/>
    <w:rsid w:val="00991F89"/>
    <w:rsid w:val="009926BD"/>
    <w:rsid w:val="009929B8"/>
    <w:rsid w:val="00994204"/>
    <w:rsid w:val="00996BE4"/>
    <w:rsid w:val="00996E9D"/>
    <w:rsid w:val="009A1263"/>
    <w:rsid w:val="009A3DB5"/>
    <w:rsid w:val="009A4AC9"/>
    <w:rsid w:val="009A50AD"/>
    <w:rsid w:val="009A76C2"/>
    <w:rsid w:val="009B1CB2"/>
    <w:rsid w:val="009B3A9C"/>
    <w:rsid w:val="009B443F"/>
    <w:rsid w:val="009B4BAF"/>
    <w:rsid w:val="009B5DCD"/>
    <w:rsid w:val="009C1536"/>
    <w:rsid w:val="009C3386"/>
    <w:rsid w:val="009C419F"/>
    <w:rsid w:val="009C42A8"/>
    <w:rsid w:val="009C4583"/>
    <w:rsid w:val="009C5E29"/>
    <w:rsid w:val="009C6E8B"/>
    <w:rsid w:val="009C7830"/>
    <w:rsid w:val="009D0968"/>
    <w:rsid w:val="009D23CD"/>
    <w:rsid w:val="009D3D31"/>
    <w:rsid w:val="009D41CF"/>
    <w:rsid w:val="009D436C"/>
    <w:rsid w:val="009D4EFD"/>
    <w:rsid w:val="009D69CD"/>
    <w:rsid w:val="009E0708"/>
    <w:rsid w:val="009E30EA"/>
    <w:rsid w:val="009E3275"/>
    <w:rsid w:val="009E597A"/>
    <w:rsid w:val="009E6A15"/>
    <w:rsid w:val="009E7C8A"/>
    <w:rsid w:val="009F0FCC"/>
    <w:rsid w:val="009F1F43"/>
    <w:rsid w:val="009F2408"/>
    <w:rsid w:val="009F41CA"/>
    <w:rsid w:val="009F4D65"/>
    <w:rsid w:val="009F5194"/>
    <w:rsid w:val="009F5F6F"/>
    <w:rsid w:val="00A00B29"/>
    <w:rsid w:val="00A00B9D"/>
    <w:rsid w:val="00A01494"/>
    <w:rsid w:val="00A01B56"/>
    <w:rsid w:val="00A02677"/>
    <w:rsid w:val="00A02B7B"/>
    <w:rsid w:val="00A07B2F"/>
    <w:rsid w:val="00A07C6A"/>
    <w:rsid w:val="00A07DC7"/>
    <w:rsid w:val="00A10427"/>
    <w:rsid w:val="00A11405"/>
    <w:rsid w:val="00A11704"/>
    <w:rsid w:val="00A12C0B"/>
    <w:rsid w:val="00A13529"/>
    <w:rsid w:val="00A1354C"/>
    <w:rsid w:val="00A13FE7"/>
    <w:rsid w:val="00A1532D"/>
    <w:rsid w:val="00A15842"/>
    <w:rsid w:val="00A2450D"/>
    <w:rsid w:val="00A26FD8"/>
    <w:rsid w:val="00A279C5"/>
    <w:rsid w:val="00A27F8B"/>
    <w:rsid w:val="00A30A46"/>
    <w:rsid w:val="00A3205D"/>
    <w:rsid w:val="00A325EE"/>
    <w:rsid w:val="00A32774"/>
    <w:rsid w:val="00A3283C"/>
    <w:rsid w:val="00A33A01"/>
    <w:rsid w:val="00A33CA5"/>
    <w:rsid w:val="00A342B7"/>
    <w:rsid w:val="00A3706B"/>
    <w:rsid w:val="00A40EA4"/>
    <w:rsid w:val="00A43389"/>
    <w:rsid w:val="00A44660"/>
    <w:rsid w:val="00A4565C"/>
    <w:rsid w:val="00A47790"/>
    <w:rsid w:val="00A55E0B"/>
    <w:rsid w:val="00A57239"/>
    <w:rsid w:val="00A62203"/>
    <w:rsid w:val="00A63255"/>
    <w:rsid w:val="00A64FC0"/>
    <w:rsid w:val="00A65645"/>
    <w:rsid w:val="00A66EC2"/>
    <w:rsid w:val="00A67131"/>
    <w:rsid w:val="00A7112F"/>
    <w:rsid w:val="00A71758"/>
    <w:rsid w:val="00A72E2D"/>
    <w:rsid w:val="00A73157"/>
    <w:rsid w:val="00A743C4"/>
    <w:rsid w:val="00A75C3F"/>
    <w:rsid w:val="00A76493"/>
    <w:rsid w:val="00A76900"/>
    <w:rsid w:val="00A76FEE"/>
    <w:rsid w:val="00A807A2"/>
    <w:rsid w:val="00A808CC"/>
    <w:rsid w:val="00A82A3E"/>
    <w:rsid w:val="00A82CB3"/>
    <w:rsid w:val="00A82CB4"/>
    <w:rsid w:val="00A843D2"/>
    <w:rsid w:val="00A8481F"/>
    <w:rsid w:val="00A84B63"/>
    <w:rsid w:val="00A8591F"/>
    <w:rsid w:val="00A86A9C"/>
    <w:rsid w:val="00A900D8"/>
    <w:rsid w:val="00A905C8"/>
    <w:rsid w:val="00A90A75"/>
    <w:rsid w:val="00A91269"/>
    <w:rsid w:val="00A91570"/>
    <w:rsid w:val="00A91F4C"/>
    <w:rsid w:val="00A96FFB"/>
    <w:rsid w:val="00A97075"/>
    <w:rsid w:val="00A9724B"/>
    <w:rsid w:val="00AA2988"/>
    <w:rsid w:val="00AA2A9E"/>
    <w:rsid w:val="00AA3197"/>
    <w:rsid w:val="00AA3B23"/>
    <w:rsid w:val="00AA581B"/>
    <w:rsid w:val="00AA60B5"/>
    <w:rsid w:val="00AA7E4B"/>
    <w:rsid w:val="00AB0168"/>
    <w:rsid w:val="00AB1160"/>
    <w:rsid w:val="00AB13D0"/>
    <w:rsid w:val="00AB1F70"/>
    <w:rsid w:val="00AB3839"/>
    <w:rsid w:val="00AB5367"/>
    <w:rsid w:val="00AB77CD"/>
    <w:rsid w:val="00AC03B9"/>
    <w:rsid w:val="00AC0657"/>
    <w:rsid w:val="00AC2E39"/>
    <w:rsid w:val="00AC357D"/>
    <w:rsid w:val="00AC3CE6"/>
    <w:rsid w:val="00AC5760"/>
    <w:rsid w:val="00AC5D70"/>
    <w:rsid w:val="00AC5FF3"/>
    <w:rsid w:val="00AC716A"/>
    <w:rsid w:val="00AC7491"/>
    <w:rsid w:val="00AD4BA0"/>
    <w:rsid w:val="00AD5C11"/>
    <w:rsid w:val="00AE0637"/>
    <w:rsid w:val="00AE0AEB"/>
    <w:rsid w:val="00AE0CF1"/>
    <w:rsid w:val="00AE219E"/>
    <w:rsid w:val="00AE22FA"/>
    <w:rsid w:val="00AE3A56"/>
    <w:rsid w:val="00AE3D24"/>
    <w:rsid w:val="00AE43C5"/>
    <w:rsid w:val="00AE48E9"/>
    <w:rsid w:val="00AE5278"/>
    <w:rsid w:val="00AE530A"/>
    <w:rsid w:val="00AE57D4"/>
    <w:rsid w:val="00AE59C7"/>
    <w:rsid w:val="00AF0960"/>
    <w:rsid w:val="00AF0B12"/>
    <w:rsid w:val="00AF20BD"/>
    <w:rsid w:val="00AF2906"/>
    <w:rsid w:val="00AF436C"/>
    <w:rsid w:val="00AF4733"/>
    <w:rsid w:val="00AF71F9"/>
    <w:rsid w:val="00AF7A77"/>
    <w:rsid w:val="00B01497"/>
    <w:rsid w:val="00B02AB9"/>
    <w:rsid w:val="00B02E21"/>
    <w:rsid w:val="00B054D6"/>
    <w:rsid w:val="00B05B82"/>
    <w:rsid w:val="00B10F65"/>
    <w:rsid w:val="00B11AB5"/>
    <w:rsid w:val="00B12470"/>
    <w:rsid w:val="00B12532"/>
    <w:rsid w:val="00B129C1"/>
    <w:rsid w:val="00B12C98"/>
    <w:rsid w:val="00B133ED"/>
    <w:rsid w:val="00B150C3"/>
    <w:rsid w:val="00B16ED8"/>
    <w:rsid w:val="00B229A0"/>
    <w:rsid w:val="00B22F3B"/>
    <w:rsid w:val="00B261BB"/>
    <w:rsid w:val="00B263FA"/>
    <w:rsid w:val="00B27B0A"/>
    <w:rsid w:val="00B27DCA"/>
    <w:rsid w:val="00B30205"/>
    <w:rsid w:val="00B306AB"/>
    <w:rsid w:val="00B30810"/>
    <w:rsid w:val="00B30C06"/>
    <w:rsid w:val="00B31477"/>
    <w:rsid w:val="00B3170D"/>
    <w:rsid w:val="00B324DB"/>
    <w:rsid w:val="00B32833"/>
    <w:rsid w:val="00B335E4"/>
    <w:rsid w:val="00B34B53"/>
    <w:rsid w:val="00B34C0B"/>
    <w:rsid w:val="00B34E52"/>
    <w:rsid w:val="00B35019"/>
    <w:rsid w:val="00B35F5B"/>
    <w:rsid w:val="00B37E42"/>
    <w:rsid w:val="00B424BC"/>
    <w:rsid w:val="00B42C81"/>
    <w:rsid w:val="00B444C4"/>
    <w:rsid w:val="00B44657"/>
    <w:rsid w:val="00B46B76"/>
    <w:rsid w:val="00B473CF"/>
    <w:rsid w:val="00B531EE"/>
    <w:rsid w:val="00B5482F"/>
    <w:rsid w:val="00B548ED"/>
    <w:rsid w:val="00B5625D"/>
    <w:rsid w:val="00B5663E"/>
    <w:rsid w:val="00B5679C"/>
    <w:rsid w:val="00B5796C"/>
    <w:rsid w:val="00B60274"/>
    <w:rsid w:val="00B609F3"/>
    <w:rsid w:val="00B62155"/>
    <w:rsid w:val="00B62764"/>
    <w:rsid w:val="00B64FEC"/>
    <w:rsid w:val="00B65877"/>
    <w:rsid w:val="00B65B9D"/>
    <w:rsid w:val="00B65FB2"/>
    <w:rsid w:val="00B661A8"/>
    <w:rsid w:val="00B67BF2"/>
    <w:rsid w:val="00B67DE6"/>
    <w:rsid w:val="00B715EF"/>
    <w:rsid w:val="00B7237A"/>
    <w:rsid w:val="00B73202"/>
    <w:rsid w:val="00B73932"/>
    <w:rsid w:val="00B74E58"/>
    <w:rsid w:val="00B760ED"/>
    <w:rsid w:val="00B76D04"/>
    <w:rsid w:val="00B7740A"/>
    <w:rsid w:val="00B80386"/>
    <w:rsid w:val="00B8076C"/>
    <w:rsid w:val="00B813FB"/>
    <w:rsid w:val="00B83D6F"/>
    <w:rsid w:val="00B86064"/>
    <w:rsid w:val="00B9248E"/>
    <w:rsid w:val="00B93E71"/>
    <w:rsid w:val="00B9544D"/>
    <w:rsid w:val="00B95CCE"/>
    <w:rsid w:val="00B971AC"/>
    <w:rsid w:val="00BA01A2"/>
    <w:rsid w:val="00BA0FB5"/>
    <w:rsid w:val="00BA10B5"/>
    <w:rsid w:val="00BA147F"/>
    <w:rsid w:val="00BA267B"/>
    <w:rsid w:val="00BA3A58"/>
    <w:rsid w:val="00BA614F"/>
    <w:rsid w:val="00BA6FB1"/>
    <w:rsid w:val="00BB0439"/>
    <w:rsid w:val="00BB15FA"/>
    <w:rsid w:val="00BB1723"/>
    <w:rsid w:val="00BB1956"/>
    <w:rsid w:val="00BB2C6B"/>
    <w:rsid w:val="00BB2CEF"/>
    <w:rsid w:val="00BB38A5"/>
    <w:rsid w:val="00BB3F1F"/>
    <w:rsid w:val="00BB56F7"/>
    <w:rsid w:val="00BB611E"/>
    <w:rsid w:val="00BC010E"/>
    <w:rsid w:val="00BC1D2D"/>
    <w:rsid w:val="00BC2624"/>
    <w:rsid w:val="00BC264F"/>
    <w:rsid w:val="00BC37F2"/>
    <w:rsid w:val="00BC4793"/>
    <w:rsid w:val="00BC49AF"/>
    <w:rsid w:val="00BC597A"/>
    <w:rsid w:val="00BC6100"/>
    <w:rsid w:val="00BD09EC"/>
    <w:rsid w:val="00BD1AE5"/>
    <w:rsid w:val="00BD1EB1"/>
    <w:rsid w:val="00BD2ADD"/>
    <w:rsid w:val="00BD2B5D"/>
    <w:rsid w:val="00BD485E"/>
    <w:rsid w:val="00BD594E"/>
    <w:rsid w:val="00BD7A97"/>
    <w:rsid w:val="00BD7BD2"/>
    <w:rsid w:val="00BD7E41"/>
    <w:rsid w:val="00BE024F"/>
    <w:rsid w:val="00BE0A74"/>
    <w:rsid w:val="00BE24A2"/>
    <w:rsid w:val="00BE2AEA"/>
    <w:rsid w:val="00BE3378"/>
    <w:rsid w:val="00BE4AF4"/>
    <w:rsid w:val="00BE5EBA"/>
    <w:rsid w:val="00BE6982"/>
    <w:rsid w:val="00BE7037"/>
    <w:rsid w:val="00BF0786"/>
    <w:rsid w:val="00BF0F6D"/>
    <w:rsid w:val="00BF0FF9"/>
    <w:rsid w:val="00BF2747"/>
    <w:rsid w:val="00BF3138"/>
    <w:rsid w:val="00BF4F50"/>
    <w:rsid w:val="00BF5D4B"/>
    <w:rsid w:val="00BF6BBD"/>
    <w:rsid w:val="00BF7DA3"/>
    <w:rsid w:val="00C016F8"/>
    <w:rsid w:val="00C0170B"/>
    <w:rsid w:val="00C01DFA"/>
    <w:rsid w:val="00C022F9"/>
    <w:rsid w:val="00C02DBD"/>
    <w:rsid w:val="00C04A1B"/>
    <w:rsid w:val="00C072F4"/>
    <w:rsid w:val="00C07921"/>
    <w:rsid w:val="00C07EDD"/>
    <w:rsid w:val="00C12246"/>
    <w:rsid w:val="00C13C85"/>
    <w:rsid w:val="00C152F1"/>
    <w:rsid w:val="00C167FC"/>
    <w:rsid w:val="00C2005E"/>
    <w:rsid w:val="00C2130C"/>
    <w:rsid w:val="00C218DB"/>
    <w:rsid w:val="00C22340"/>
    <w:rsid w:val="00C23055"/>
    <w:rsid w:val="00C2328C"/>
    <w:rsid w:val="00C2771C"/>
    <w:rsid w:val="00C27765"/>
    <w:rsid w:val="00C3193D"/>
    <w:rsid w:val="00C321E4"/>
    <w:rsid w:val="00C331C2"/>
    <w:rsid w:val="00C33FC5"/>
    <w:rsid w:val="00C34CDC"/>
    <w:rsid w:val="00C3508D"/>
    <w:rsid w:val="00C350AB"/>
    <w:rsid w:val="00C354CF"/>
    <w:rsid w:val="00C35630"/>
    <w:rsid w:val="00C42118"/>
    <w:rsid w:val="00C437EB"/>
    <w:rsid w:val="00C4430A"/>
    <w:rsid w:val="00C46898"/>
    <w:rsid w:val="00C46D8F"/>
    <w:rsid w:val="00C505B4"/>
    <w:rsid w:val="00C51E16"/>
    <w:rsid w:val="00C52497"/>
    <w:rsid w:val="00C53C31"/>
    <w:rsid w:val="00C5635D"/>
    <w:rsid w:val="00C57BAB"/>
    <w:rsid w:val="00C60115"/>
    <w:rsid w:val="00C60D9C"/>
    <w:rsid w:val="00C62EE9"/>
    <w:rsid w:val="00C63E87"/>
    <w:rsid w:val="00C64961"/>
    <w:rsid w:val="00C657B6"/>
    <w:rsid w:val="00C67200"/>
    <w:rsid w:val="00C675C2"/>
    <w:rsid w:val="00C713E2"/>
    <w:rsid w:val="00C72E33"/>
    <w:rsid w:val="00C737B2"/>
    <w:rsid w:val="00C762B5"/>
    <w:rsid w:val="00C813EA"/>
    <w:rsid w:val="00C817B8"/>
    <w:rsid w:val="00C85BE4"/>
    <w:rsid w:val="00C86632"/>
    <w:rsid w:val="00C87948"/>
    <w:rsid w:val="00C90D56"/>
    <w:rsid w:val="00C94249"/>
    <w:rsid w:val="00C9513B"/>
    <w:rsid w:val="00C96D89"/>
    <w:rsid w:val="00CA3FE5"/>
    <w:rsid w:val="00CA4685"/>
    <w:rsid w:val="00CA5254"/>
    <w:rsid w:val="00CA7C8F"/>
    <w:rsid w:val="00CB1711"/>
    <w:rsid w:val="00CB1D4B"/>
    <w:rsid w:val="00CB3D6A"/>
    <w:rsid w:val="00CB40F0"/>
    <w:rsid w:val="00CB7719"/>
    <w:rsid w:val="00CC119E"/>
    <w:rsid w:val="00CC3C21"/>
    <w:rsid w:val="00CC3E0D"/>
    <w:rsid w:val="00CC4EA5"/>
    <w:rsid w:val="00CC5700"/>
    <w:rsid w:val="00CC656F"/>
    <w:rsid w:val="00CC74E3"/>
    <w:rsid w:val="00CD1C72"/>
    <w:rsid w:val="00CD2BFD"/>
    <w:rsid w:val="00CE245F"/>
    <w:rsid w:val="00CE70E7"/>
    <w:rsid w:val="00CE78CE"/>
    <w:rsid w:val="00CE7A77"/>
    <w:rsid w:val="00CF25F6"/>
    <w:rsid w:val="00CF529D"/>
    <w:rsid w:val="00CF65E1"/>
    <w:rsid w:val="00CF7D97"/>
    <w:rsid w:val="00D016E2"/>
    <w:rsid w:val="00D0227B"/>
    <w:rsid w:val="00D04F0B"/>
    <w:rsid w:val="00D05D2E"/>
    <w:rsid w:val="00D05E39"/>
    <w:rsid w:val="00D063CA"/>
    <w:rsid w:val="00D11C86"/>
    <w:rsid w:val="00D13CFB"/>
    <w:rsid w:val="00D149D5"/>
    <w:rsid w:val="00D159DD"/>
    <w:rsid w:val="00D16349"/>
    <w:rsid w:val="00D21DCD"/>
    <w:rsid w:val="00D220E7"/>
    <w:rsid w:val="00D22F0A"/>
    <w:rsid w:val="00D2343F"/>
    <w:rsid w:val="00D25A76"/>
    <w:rsid w:val="00D27BCF"/>
    <w:rsid w:val="00D315DB"/>
    <w:rsid w:val="00D31C1A"/>
    <w:rsid w:val="00D32E14"/>
    <w:rsid w:val="00D336AF"/>
    <w:rsid w:val="00D33FF0"/>
    <w:rsid w:val="00D3493D"/>
    <w:rsid w:val="00D366AD"/>
    <w:rsid w:val="00D37A3C"/>
    <w:rsid w:val="00D40E7F"/>
    <w:rsid w:val="00D42668"/>
    <w:rsid w:val="00D428E4"/>
    <w:rsid w:val="00D4350B"/>
    <w:rsid w:val="00D440B7"/>
    <w:rsid w:val="00D441AC"/>
    <w:rsid w:val="00D45BEE"/>
    <w:rsid w:val="00D46E83"/>
    <w:rsid w:val="00D479C8"/>
    <w:rsid w:val="00D47A06"/>
    <w:rsid w:val="00D52CAF"/>
    <w:rsid w:val="00D52EC6"/>
    <w:rsid w:val="00D535EB"/>
    <w:rsid w:val="00D55BB1"/>
    <w:rsid w:val="00D55E8A"/>
    <w:rsid w:val="00D575F8"/>
    <w:rsid w:val="00D616CC"/>
    <w:rsid w:val="00D64EF6"/>
    <w:rsid w:val="00D66A3D"/>
    <w:rsid w:val="00D67600"/>
    <w:rsid w:val="00D703F3"/>
    <w:rsid w:val="00D70AED"/>
    <w:rsid w:val="00D70FAB"/>
    <w:rsid w:val="00D71DD7"/>
    <w:rsid w:val="00D72F24"/>
    <w:rsid w:val="00D743F3"/>
    <w:rsid w:val="00D755E1"/>
    <w:rsid w:val="00D764D5"/>
    <w:rsid w:val="00D76674"/>
    <w:rsid w:val="00D76C3D"/>
    <w:rsid w:val="00D76FEC"/>
    <w:rsid w:val="00D77A14"/>
    <w:rsid w:val="00D83189"/>
    <w:rsid w:val="00D8499B"/>
    <w:rsid w:val="00D84A61"/>
    <w:rsid w:val="00D84D16"/>
    <w:rsid w:val="00D858B3"/>
    <w:rsid w:val="00D90CB4"/>
    <w:rsid w:val="00D90F90"/>
    <w:rsid w:val="00D915E1"/>
    <w:rsid w:val="00D9252A"/>
    <w:rsid w:val="00D933E9"/>
    <w:rsid w:val="00D95255"/>
    <w:rsid w:val="00D95E00"/>
    <w:rsid w:val="00D95F7B"/>
    <w:rsid w:val="00DA2553"/>
    <w:rsid w:val="00DA3EFC"/>
    <w:rsid w:val="00DA4DE3"/>
    <w:rsid w:val="00DA5204"/>
    <w:rsid w:val="00DA588B"/>
    <w:rsid w:val="00DA619C"/>
    <w:rsid w:val="00DA6D73"/>
    <w:rsid w:val="00DB0330"/>
    <w:rsid w:val="00DB0A60"/>
    <w:rsid w:val="00DB0F9A"/>
    <w:rsid w:val="00DB3770"/>
    <w:rsid w:val="00DB455B"/>
    <w:rsid w:val="00DB4C6D"/>
    <w:rsid w:val="00DB4DE0"/>
    <w:rsid w:val="00DB4F92"/>
    <w:rsid w:val="00DB754F"/>
    <w:rsid w:val="00DB7D27"/>
    <w:rsid w:val="00DC08A6"/>
    <w:rsid w:val="00DC4AC0"/>
    <w:rsid w:val="00DC4D05"/>
    <w:rsid w:val="00DC57E0"/>
    <w:rsid w:val="00DC65D0"/>
    <w:rsid w:val="00DC6957"/>
    <w:rsid w:val="00DD05D7"/>
    <w:rsid w:val="00DD0C77"/>
    <w:rsid w:val="00DD1025"/>
    <w:rsid w:val="00DD18F4"/>
    <w:rsid w:val="00DD3FE0"/>
    <w:rsid w:val="00DD429E"/>
    <w:rsid w:val="00DD47E8"/>
    <w:rsid w:val="00DD5BD0"/>
    <w:rsid w:val="00DD7640"/>
    <w:rsid w:val="00DD76E8"/>
    <w:rsid w:val="00DE1CA2"/>
    <w:rsid w:val="00DE36D3"/>
    <w:rsid w:val="00DE54B1"/>
    <w:rsid w:val="00DE61CD"/>
    <w:rsid w:val="00DE6B29"/>
    <w:rsid w:val="00DF036E"/>
    <w:rsid w:val="00DF03BA"/>
    <w:rsid w:val="00DF1975"/>
    <w:rsid w:val="00DF244E"/>
    <w:rsid w:val="00DF6A7A"/>
    <w:rsid w:val="00E008F8"/>
    <w:rsid w:val="00E00949"/>
    <w:rsid w:val="00E01AA4"/>
    <w:rsid w:val="00E0209C"/>
    <w:rsid w:val="00E0296B"/>
    <w:rsid w:val="00E04893"/>
    <w:rsid w:val="00E07D83"/>
    <w:rsid w:val="00E106AC"/>
    <w:rsid w:val="00E12FC1"/>
    <w:rsid w:val="00E130DB"/>
    <w:rsid w:val="00E130F1"/>
    <w:rsid w:val="00E13A5A"/>
    <w:rsid w:val="00E13BA0"/>
    <w:rsid w:val="00E16CAF"/>
    <w:rsid w:val="00E16DBD"/>
    <w:rsid w:val="00E1724E"/>
    <w:rsid w:val="00E20490"/>
    <w:rsid w:val="00E2089B"/>
    <w:rsid w:val="00E22F4E"/>
    <w:rsid w:val="00E245DE"/>
    <w:rsid w:val="00E24903"/>
    <w:rsid w:val="00E24F78"/>
    <w:rsid w:val="00E300A6"/>
    <w:rsid w:val="00E31DC6"/>
    <w:rsid w:val="00E31ECD"/>
    <w:rsid w:val="00E33CCC"/>
    <w:rsid w:val="00E34A4C"/>
    <w:rsid w:val="00E3556A"/>
    <w:rsid w:val="00E37715"/>
    <w:rsid w:val="00E37890"/>
    <w:rsid w:val="00E37A6F"/>
    <w:rsid w:val="00E37DE9"/>
    <w:rsid w:val="00E40334"/>
    <w:rsid w:val="00E4069D"/>
    <w:rsid w:val="00E40824"/>
    <w:rsid w:val="00E41022"/>
    <w:rsid w:val="00E42BAF"/>
    <w:rsid w:val="00E46CC8"/>
    <w:rsid w:val="00E47293"/>
    <w:rsid w:val="00E47FAD"/>
    <w:rsid w:val="00E50335"/>
    <w:rsid w:val="00E52349"/>
    <w:rsid w:val="00E5278C"/>
    <w:rsid w:val="00E558E1"/>
    <w:rsid w:val="00E56238"/>
    <w:rsid w:val="00E5682B"/>
    <w:rsid w:val="00E5699C"/>
    <w:rsid w:val="00E578F5"/>
    <w:rsid w:val="00E607A9"/>
    <w:rsid w:val="00E6338B"/>
    <w:rsid w:val="00E64623"/>
    <w:rsid w:val="00E65946"/>
    <w:rsid w:val="00E70C2A"/>
    <w:rsid w:val="00E71655"/>
    <w:rsid w:val="00E72881"/>
    <w:rsid w:val="00E741C2"/>
    <w:rsid w:val="00E74D3A"/>
    <w:rsid w:val="00E758A2"/>
    <w:rsid w:val="00E765E7"/>
    <w:rsid w:val="00E76A7B"/>
    <w:rsid w:val="00E76FBE"/>
    <w:rsid w:val="00E806CF"/>
    <w:rsid w:val="00E80D72"/>
    <w:rsid w:val="00E85585"/>
    <w:rsid w:val="00E85FB7"/>
    <w:rsid w:val="00E8763C"/>
    <w:rsid w:val="00E8797A"/>
    <w:rsid w:val="00E90E58"/>
    <w:rsid w:val="00E91EF1"/>
    <w:rsid w:val="00E9300B"/>
    <w:rsid w:val="00E93809"/>
    <w:rsid w:val="00E93D7F"/>
    <w:rsid w:val="00E96FDC"/>
    <w:rsid w:val="00E97C15"/>
    <w:rsid w:val="00EA254F"/>
    <w:rsid w:val="00EA3619"/>
    <w:rsid w:val="00EA3CD8"/>
    <w:rsid w:val="00EA7B52"/>
    <w:rsid w:val="00EB0465"/>
    <w:rsid w:val="00EB0CF6"/>
    <w:rsid w:val="00EB224C"/>
    <w:rsid w:val="00EB27DB"/>
    <w:rsid w:val="00EB2EF1"/>
    <w:rsid w:val="00EB3759"/>
    <w:rsid w:val="00EB3AFA"/>
    <w:rsid w:val="00EB55E6"/>
    <w:rsid w:val="00EB7420"/>
    <w:rsid w:val="00EB7AD5"/>
    <w:rsid w:val="00EC0C1F"/>
    <w:rsid w:val="00EC1BA1"/>
    <w:rsid w:val="00EC38B6"/>
    <w:rsid w:val="00EC3B48"/>
    <w:rsid w:val="00EC57C3"/>
    <w:rsid w:val="00EC5824"/>
    <w:rsid w:val="00EC61E2"/>
    <w:rsid w:val="00EC6411"/>
    <w:rsid w:val="00EC730B"/>
    <w:rsid w:val="00ED008F"/>
    <w:rsid w:val="00ED57E3"/>
    <w:rsid w:val="00ED5D43"/>
    <w:rsid w:val="00EE2280"/>
    <w:rsid w:val="00EE23D5"/>
    <w:rsid w:val="00EE3E61"/>
    <w:rsid w:val="00EE3F43"/>
    <w:rsid w:val="00EE5129"/>
    <w:rsid w:val="00EE5690"/>
    <w:rsid w:val="00EE6836"/>
    <w:rsid w:val="00EE7421"/>
    <w:rsid w:val="00EF0117"/>
    <w:rsid w:val="00EF2961"/>
    <w:rsid w:val="00EF29BC"/>
    <w:rsid w:val="00EF317B"/>
    <w:rsid w:val="00EF3195"/>
    <w:rsid w:val="00EF7A60"/>
    <w:rsid w:val="00F003A5"/>
    <w:rsid w:val="00F01E03"/>
    <w:rsid w:val="00F02442"/>
    <w:rsid w:val="00F02778"/>
    <w:rsid w:val="00F02A20"/>
    <w:rsid w:val="00F038ED"/>
    <w:rsid w:val="00F04AB5"/>
    <w:rsid w:val="00F05F41"/>
    <w:rsid w:val="00F06E4F"/>
    <w:rsid w:val="00F07AF4"/>
    <w:rsid w:val="00F12662"/>
    <w:rsid w:val="00F1376B"/>
    <w:rsid w:val="00F15B06"/>
    <w:rsid w:val="00F16CF1"/>
    <w:rsid w:val="00F16E05"/>
    <w:rsid w:val="00F17175"/>
    <w:rsid w:val="00F2454C"/>
    <w:rsid w:val="00F25966"/>
    <w:rsid w:val="00F25D94"/>
    <w:rsid w:val="00F26348"/>
    <w:rsid w:val="00F3009D"/>
    <w:rsid w:val="00F30107"/>
    <w:rsid w:val="00F32B06"/>
    <w:rsid w:val="00F36482"/>
    <w:rsid w:val="00F37CDF"/>
    <w:rsid w:val="00F42844"/>
    <w:rsid w:val="00F4357F"/>
    <w:rsid w:val="00F444A4"/>
    <w:rsid w:val="00F447C6"/>
    <w:rsid w:val="00F461FF"/>
    <w:rsid w:val="00F53DA7"/>
    <w:rsid w:val="00F541EC"/>
    <w:rsid w:val="00F54701"/>
    <w:rsid w:val="00F5498C"/>
    <w:rsid w:val="00F56015"/>
    <w:rsid w:val="00F5619B"/>
    <w:rsid w:val="00F56277"/>
    <w:rsid w:val="00F56BC4"/>
    <w:rsid w:val="00F56F4A"/>
    <w:rsid w:val="00F57D78"/>
    <w:rsid w:val="00F57DD3"/>
    <w:rsid w:val="00F57F8A"/>
    <w:rsid w:val="00F60555"/>
    <w:rsid w:val="00F60D95"/>
    <w:rsid w:val="00F62869"/>
    <w:rsid w:val="00F64DF7"/>
    <w:rsid w:val="00F65F26"/>
    <w:rsid w:val="00F73490"/>
    <w:rsid w:val="00F744BE"/>
    <w:rsid w:val="00F7534B"/>
    <w:rsid w:val="00F753A3"/>
    <w:rsid w:val="00F76C38"/>
    <w:rsid w:val="00F779CD"/>
    <w:rsid w:val="00F80305"/>
    <w:rsid w:val="00F8042F"/>
    <w:rsid w:val="00F8076C"/>
    <w:rsid w:val="00F81418"/>
    <w:rsid w:val="00F85430"/>
    <w:rsid w:val="00F87B99"/>
    <w:rsid w:val="00F87DA6"/>
    <w:rsid w:val="00F91A9C"/>
    <w:rsid w:val="00F91B4E"/>
    <w:rsid w:val="00F92772"/>
    <w:rsid w:val="00F92E6F"/>
    <w:rsid w:val="00F93663"/>
    <w:rsid w:val="00F94765"/>
    <w:rsid w:val="00F956E5"/>
    <w:rsid w:val="00F96610"/>
    <w:rsid w:val="00FA2DA7"/>
    <w:rsid w:val="00FA3D2A"/>
    <w:rsid w:val="00FA65F1"/>
    <w:rsid w:val="00FA6BD0"/>
    <w:rsid w:val="00FA7493"/>
    <w:rsid w:val="00FB0633"/>
    <w:rsid w:val="00FB0D12"/>
    <w:rsid w:val="00FB20D6"/>
    <w:rsid w:val="00FB2AAC"/>
    <w:rsid w:val="00FB3E89"/>
    <w:rsid w:val="00FB3ED1"/>
    <w:rsid w:val="00FB4206"/>
    <w:rsid w:val="00FB4459"/>
    <w:rsid w:val="00FB575F"/>
    <w:rsid w:val="00FB7944"/>
    <w:rsid w:val="00FC146C"/>
    <w:rsid w:val="00FC18AB"/>
    <w:rsid w:val="00FC1BDC"/>
    <w:rsid w:val="00FC2480"/>
    <w:rsid w:val="00FC316B"/>
    <w:rsid w:val="00FC5EE1"/>
    <w:rsid w:val="00FC5F89"/>
    <w:rsid w:val="00FD02EB"/>
    <w:rsid w:val="00FD02F8"/>
    <w:rsid w:val="00FD26A5"/>
    <w:rsid w:val="00FD2BF3"/>
    <w:rsid w:val="00FD4D24"/>
    <w:rsid w:val="00FD5C3C"/>
    <w:rsid w:val="00FD625A"/>
    <w:rsid w:val="00FD6818"/>
    <w:rsid w:val="00FD7346"/>
    <w:rsid w:val="00FE1818"/>
    <w:rsid w:val="00FE1B9F"/>
    <w:rsid w:val="00FE36F2"/>
    <w:rsid w:val="00FE3C87"/>
    <w:rsid w:val="00FE4383"/>
    <w:rsid w:val="00FF098A"/>
    <w:rsid w:val="00FF1171"/>
    <w:rsid w:val="00FF1588"/>
    <w:rsid w:val="00FF26B3"/>
    <w:rsid w:val="6DCF3C09"/>
    <w:rsid w:val="7B497B8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10B2D02"/>
  <w15:docId w15:val="{D99279F0-E830-418F-A463-46F30E36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val="zh-CN" w:eastAsia="zh-CN"/>
    </w:rPr>
  </w:style>
  <w:style w:type="paragraph" w:styleId="Heading1">
    <w:name w:val="heading 1"/>
    <w:basedOn w:val="Normal"/>
    <w:next w:val="Normal"/>
    <w:link w:val="Heading1Char"/>
    <w:uiPriority w:val="9"/>
    <w:qFormat/>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link w:val="Heading2Char"/>
    <w:uiPriority w:val="9"/>
    <w:qFormat/>
    <w:pPr>
      <w:spacing w:before="100" w:beforeAutospacing="1" w:after="100" w:afterAutospacing="1"/>
      <w:outlineLvl w:val="1"/>
    </w:pPr>
    <w:rPr>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lang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rPr>
      <w:rFonts w:asciiTheme="minorHAnsi" w:hAnsiTheme="minorHAnsi"/>
      <w:sz w:val="22"/>
      <w:szCs w:val="22"/>
      <w:lang w:eastAsia="en-US"/>
    </w:rPr>
  </w:style>
  <w:style w:type="paragraph" w:styleId="Header">
    <w:name w:val="header"/>
    <w:basedOn w:val="Normal"/>
    <w:link w:val="HeaderChar"/>
    <w:uiPriority w:val="99"/>
    <w:unhideWhenUsed/>
    <w:qFormat/>
    <w:pPr>
      <w:tabs>
        <w:tab w:val="center" w:pos="4513"/>
        <w:tab w:val="right" w:pos="9026"/>
      </w:tabs>
    </w:pPr>
    <w:rPr>
      <w:rFonts w:asciiTheme="minorHAnsi" w:hAnsiTheme="minorHAnsi"/>
      <w:sz w:val="22"/>
      <w:szCs w:val="22"/>
      <w:lang w:eastAsia="en-US"/>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lang w:eastAsia="en-US"/>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lang w:eastAsia="en-US"/>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Pr>
      <w:rFonts w:ascii="Calibri" w:eastAsia="Calibri" w:hAnsi="Calibri" w:cs="Calibri"/>
      <w:sz w:val="22"/>
      <w:szCs w:val="22"/>
      <w:lang w:val="en-US" w:eastAsia="zh-CN"/>
    </w:rPr>
  </w:style>
  <w:style w:type="table" w:customStyle="1" w:styleId="GridTable4-Accent51">
    <w:name w:val="Grid Table 4 - Accent 51"/>
    <w:basedOn w:val="TableNormal"/>
    <w:uiPriority w:val="49"/>
    <w:qFormat/>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2-Accent21">
    <w:name w:val="Grid Table 2 - Accent 21"/>
    <w:basedOn w:val="TableNormal"/>
    <w:uiPriority w:val="47"/>
    <w:qFormat/>
    <w:tblPr>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spacing w:after="160" w:line="259" w:lineRule="auto"/>
      <w:ind w:left="720"/>
      <w:contextualSpacing/>
    </w:pPr>
    <w:rPr>
      <w:rFonts w:asciiTheme="minorHAnsi" w:hAnsiTheme="minorHAnsi"/>
      <w:sz w:val="22"/>
      <w:szCs w:val="22"/>
      <w:lang w:eastAsia="en-US"/>
    </w:rPr>
  </w:style>
  <w:style w:type="table" w:customStyle="1" w:styleId="GridTable2-Accent11">
    <w:name w:val="Grid Table 2 - Accent 11"/>
    <w:basedOn w:val="TableNormal"/>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line-clamp-1">
    <w:name w:val="line-clamp-1"/>
    <w:basedOn w:val="DefaultParagraphFont"/>
    <w:qFormat/>
  </w:style>
  <w:style w:type="character" w:customStyle="1" w:styleId="overflow-hidden">
    <w:name w:val="overflow-hidden"/>
    <w:basedOn w:val="DefaultParagraphFont"/>
    <w:qFormat/>
  </w:style>
  <w:style w:type="character" w:customStyle="1" w:styleId="morecontent">
    <w:name w:val="morecontent"/>
    <w:basedOn w:val="DefaultParagraphFont"/>
    <w:qFormat/>
  </w:style>
  <w:style w:type="paragraph" w:customStyle="1" w:styleId="z-TopofForm1">
    <w:name w:val="z-Top of Form1"/>
    <w:basedOn w:val="Normal"/>
    <w:next w:val="Normal"/>
    <w:link w:val="z-TopofFormChar"/>
    <w:uiPriority w:val="99"/>
    <w:semiHidden/>
    <w:unhideWhenUsed/>
    <w:qFormat/>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lang w:val="zh-CN" w:eastAsia="zh-CN"/>
    </w:rPr>
  </w:style>
  <w:style w:type="paragraph" w:customStyle="1" w:styleId="placeholder">
    <w:name w:val="placeholder"/>
    <w:basedOn w:val="Normal"/>
    <w:qFormat/>
    <w:pPr>
      <w:spacing w:before="100" w:beforeAutospacing="1" w:after="100" w:afterAutospacing="1"/>
    </w:pPr>
  </w:style>
  <w:style w:type="paragraph" w:customStyle="1" w:styleId="z-BottomofForm1">
    <w:name w:val="z-Bottom of Form1"/>
    <w:basedOn w:val="Normal"/>
    <w:next w:val="Normal"/>
    <w:link w:val="z-BottomofFormChar"/>
    <w:uiPriority w:val="99"/>
    <w:semiHidden/>
    <w:unhideWhenUsed/>
    <w:qFormat/>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sz w:val="16"/>
      <w:szCs w:val="16"/>
      <w:lang w:val="zh-CN" w:eastAsia="zh-CN"/>
    </w:rPr>
  </w:style>
  <w:style w:type="character" w:customStyle="1" w:styleId="sr-only">
    <w:name w:val="sr-only"/>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pglobal.com/spdji/en/indices/equity/sp-600"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cenbank-my.sharepoint.com/personal/laniran26079_cbn_gov_ng/Documents/Desktop/New%20folder/cape/2025/bulletin%20dat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8013287180593198E-2"/>
          <c:y val="2.54283318751823E-2"/>
          <c:w val="0.87554918342885601"/>
          <c:h val="0.93917028148427595"/>
        </c:manualLayout>
      </c:layout>
      <c:barChart>
        <c:barDir val="col"/>
        <c:grouping val="clustered"/>
        <c:varyColors val="0"/>
        <c:ser>
          <c:idx val="0"/>
          <c:order val="0"/>
          <c:tx>
            <c:strRef>
              <c:f>Sheet2!$C$13</c:f>
              <c:strCache>
                <c:ptCount val="1"/>
                <c:pt idx="0">
                  <c:v>Jun-25</c:v>
                </c:pt>
              </c:strCache>
            </c:strRef>
          </c:tx>
          <c:spPr>
            <a:solidFill>
              <a:schemeClr val="accent1"/>
            </a:solidFill>
            <a:ln>
              <a:noFill/>
            </a:ln>
            <a:effectLst/>
            <a:scene3d>
              <a:camera prst="orthographicFront"/>
              <a:lightRig rig="threePt" dir="t"/>
            </a:scene3d>
            <a:sp3d>
              <a:bevelT w="139700" h="139700" prst="divot"/>
            </a:sp3d>
          </c:spPr>
          <c:invertIfNegative val="0"/>
          <c:cat>
            <c:strRef>
              <c:f>Sheet2!$B$14:$B$21</c:f>
              <c:strCache>
                <c:ptCount val="8"/>
                <c:pt idx="0">
                  <c:v>China</c:v>
                </c:pt>
                <c:pt idx="1">
                  <c:v>S.A</c:v>
                </c:pt>
                <c:pt idx="2">
                  <c:v>U.S</c:v>
                </c:pt>
                <c:pt idx="3">
                  <c:v>E.U</c:v>
                </c:pt>
                <c:pt idx="4">
                  <c:v>U.K</c:v>
                </c:pt>
                <c:pt idx="5">
                  <c:v>Egypt</c:v>
                </c:pt>
                <c:pt idx="6">
                  <c:v>Nigeria</c:v>
                </c:pt>
                <c:pt idx="7">
                  <c:v>Ghana</c:v>
                </c:pt>
              </c:strCache>
            </c:strRef>
          </c:cat>
          <c:val>
            <c:numRef>
              <c:f>Sheet2!$C$14:$C$21</c:f>
              <c:numCache>
                <c:formatCode>General</c:formatCode>
                <c:ptCount val="8"/>
                <c:pt idx="0">
                  <c:v>0.1</c:v>
                </c:pt>
                <c:pt idx="1">
                  <c:v>3</c:v>
                </c:pt>
                <c:pt idx="2">
                  <c:v>2.7</c:v>
                </c:pt>
                <c:pt idx="3">
                  <c:v>2</c:v>
                </c:pt>
                <c:pt idx="4">
                  <c:v>3.6</c:v>
                </c:pt>
                <c:pt idx="5">
                  <c:v>14.9</c:v>
                </c:pt>
                <c:pt idx="6">
                  <c:v>22.22</c:v>
                </c:pt>
                <c:pt idx="7">
                  <c:v>13.7</c:v>
                </c:pt>
              </c:numCache>
            </c:numRef>
          </c:val>
          <c:extLst>
            <c:ext xmlns:c16="http://schemas.microsoft.com/office/drawing/2014/chart" uri="{C3380CC4-5D6E-409C-BE32-E72D297353CC}">
              <c16:uniqueId val="{00000000-3BAE-4B08-A826-4B4C6FB3F3B6}"/>
            </c:ext>
          </c:extLst>
        </c:ser>
        <c:ser>
          <c:idx val="1"/>
          <c:order val="1"/>
          <c:tx>
            <c:strRef>
              <c:f>Sheet2!$D$13</c:f>
              <c:strCache>
                <c:ptCount val="1"/>
                <c:pt idx="0">
                  <c:v>May-25</c:v>
                </c:pt>
              </c:strCache>
            </c:strRef>
          </c:tx>
          <c:spPr>
            <a:solidFill>
              <a:srgbClr val="C00000"/>
            </a:solidFill>
            <a:ln>
              <a:noFill/>
            </a:ln>
            <a:effectLst/>
            <a:scene3d>
              <a:camera prst="orthographicFront"/>
              <a:lightRig rig="threePt" dir="t"/>
            </a:scene3d>
            <a:sp3d>
              <a:bevelT/>
            </a:sp3d>
          </c:spPr>
          <c:invertIfNegative val="0"/>
          <c:cat>
            <c:strRef>
              <c:f>Sheet2!$B$14:$B$21</c:f>
              <c:strCache>
                <c:ptCount val="8"/>
                <c:pt idx="0">
                  <c:v>China</c:v>
                </c:pt>
                <c:pt idx="1">
                  <c:v>S.A</c:v>
                </c:pt>
                <c:pt idx="2">
                  <c:v>U.S</c:v>
                </c:pt>
                <c:pt idx="3">
                  <c:v>E.U</c:v>
                </c:pt>
                <c:pt idx="4">
                  <c:v>U.K</c:v>
                </c:pt>
                <c:pt idx="5">
                  <c:v>Egypt</c:v>
                </c:pt>
                <c:pt idx="6">
                  <c:v>Nigeria</c:v>
                </c:pt>
                <c:pt idx="7">
                  <c:v>Ghana</c:v>
                </c:pt>
              </c:strCache>
            </c:strRef>
          </c:cat>
          <c:val>
            <c:numRef>
              <c:f>Sheet2!$D$14:$D$21</c:f>
              <c:numCache>
                <c:formatCode>General</c:formatCode>
                <c:ptCount val="8"/>
                <c:pt idx="0">
                  <c:v>-0.1</c:v>
                </c:pt>
                <c:pt idx="1">
                  <c:v>2.8</c:v>
                </c:pt>
                <c:pt idx="2">
                  <c:v>2.4</c:v>
                </c:pt>
                <c:pt idx="3">
                  <c:v>1.9</c:v>
                </c:pt>
                <c:pt idx="4">
                  <c:v>3.4</c:v>
                </c:pt>
                <c:pt idx="5">
                  <c:v>16.8</c:v>
                </c:pt>
                <c:pt idx="6">
                  <c:v>22.97</c:v>
                </c:pt>
                <c:pt idx="7">
                  <c:v>18.399999999999999</c:v>
                </c:pt>
              </c:numCache>
            </c:numRef>
          </c:val>
          <c:extLst>
            <c:ext xmlns:c16="http://schemas.microsoft.com/office/drawing/2014/chart" uri="{C3380CC4-5D6E-409C-BE32-E72D297353CC}">
              <c16:uniqueId val="{00000001-3BAE-4B08-A826-4B4C6FB3F3B6}"/>
            </c:ext>
          </c:extLst>
        </c:ser>
        <c:dLbls>
          <c:showLegendKey val="0"/>
          <c:showVal val="0"/>
          <c:showCatName val="0"/>
          <c:showSerName val="0"/>
          <c:showPercent val="0"/>
          <c:showBubbleSize val="0"/>
        </c:dLbls>
        <c:gapWidth val="199"/>
        <c:axId val="1794116800"/>
        <c:axId val="1824792512"/>
      </c:barChart>
      <c:catAx>
        <c:axId val="1794116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600" b="1" i="0" u="none" strike="noStrike" kern="1200" cap="none" spc="0" normalizeH="0" baseline="0">
                <a:solidFill>
                  <a:sysClr val="windowText" lastClr="000000"/>
                </a:solidFill>
                <a:latin typeface="+mn-lt"/>
                <a:ea typeface="+mn-ea"/>
                <a:cs typeface="+mn-cs"/>
              </a:defRPr>
            </a:pPr>
            <a:endParaRPr lang="en-US"/>
          </a:p>
        </c:txPr>
        <c:crossAx val="1824792512"/>
        <c:crosses val="autoZero"/>
        <c:auto val="1"/>
        <c:lblAlgn val="ctr"/>
        <c:lblOffset val="100"/>
        <c:noMultiLvlLbl val="0"/>
      </c:catAx>
      <c:valAx>
        <c:axId val="1824792512"/>
        <c:scaling>
          <c:orientation val="minMax"/>
        </c:scaling>
        <c:delete val="0"/>
        <c:axPos val="l"/>
        <c:title>
          <c:tx>
            <c:rich>
              <a:bodyPr rot="-5400000" spcFirstLastPara="1" vertOverflow="ellipsis" vert="horz" wrap="square" anchor="ctr" anchorCtr="1"/>
              <a:lstStyle/>
              <a:p>
                <a:pPr>
                  <a:defRPr lang="en-US" sz="600" b="1" i="0" u="none" strike="noStrike" kern="1200" cap="all" baseline="0">
                    <a:solidFill>
                      <a:sysClr val="windowText" lastClr="000000"/>
                    </a:solidFill>
                    <a:latin typeface="+mn-lt"/>
                    <a:ea typeface="+mn-ea"/>
                    <a:cs typeface="+mn-cs"/>
                  </a:defRPr>
                </a:pPr>
                <a:r>
                  <a:rPr lang="en-GB"/>
                  <a:t>INFLATION (%)</a:t>
                </a:r>
              </a:p>
            </c:rich>
          </c:tx>
          <c:overlay val="0"/>
          <c:spPr>
            <a:noFill/>
            <a:ln>
              <a:noFill/>
            </a:ln>
            <a:effectLst/>
          </c:spPr>
          <c:txPr>
            <a:bodyPr rot="-5400000" spcFirstLastPara="1" vertOverflow="ellipsis" vert="horz" wrap="square" anchor="ctr" anchorCtr="1"/>
            <a:lstStyle/>
            <a:p>
              <a:pPr>
                <a:defRPr lang="en-US" sz="600" b="1" i="0" u="none" strike="noStrike" kern="1200" cap="all"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600" b="1" i="0" u="none" strike="noStrike" kern="1200" baseline="0">
                <a:solidFill>
                  <a:sysClr val="windowText" lastClr="000000"/>
                </a:solidFill>
                <a:latin typeface="+mn-lt"/>
                <a:ea typeface="+mn-ea"/>
                <a:cs typeface="+mn-cs"/>
              </a:defRPr>
            </a:pPr>
            <a:endParaRPr lang="en-US"/>
          </a:p>
        </c:txPr>
        <c:crossAx val="1794116800"/>
        <c:crosses val="autoZero"/>
        <c:crossBetween val="between"/>
      </c:valAx>
      <c:spPr>
        <a:noFill/>
        <a:ln>
          <a:noFill/>
        </a:ln>
        <a:effectLst/>
      </c:spPr>
    </c:plotArea>
    <c:legend>
      <c:legendPos val="t"/>
      <c:layout>
        <c:manualLayout>
          <c:xMode val="edge"/>
          <c:yMode val="edge"/>
          <c:x val="0.37386123770900398"/>
          <c:y val="0"/>
          <c:w val="0.26125821609523803"/>
          <c:h val="9.9189612900183896E-2"/>
        </c:manualLayout>
      </c:layout>
      <c:overlay val="0"/>
      <c:spPr>
        <a:noFill/>
        <a:ln>
          <a:noFill/>
        </a:ln>
        <a:effectLst/>
      </c:spPr>
      <c:txPr>
        <a:bodyPr rot="0" spcFirstLastPara="1" vertOverflow="ellipsis" vert="horz" wrap="square" anchor="ctr" anchorCtr="1"/>
        <a:lstStyle/>
        <a:p>
          <a:pPr>
            <a:defRPr lang="en-US" sz="600" b="1"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uri="{0b15fc19-7d7d-44ad-8c2d-2c3a37ce22c3}">
        <chartProps xmlns="https://web.wps.cn/et/2018/main" chartId="{45cbc46e-9b96-4a4f-b5c9-8773e01e7dcf}"/>
      </c:ext>
    </c:extLst>
  </c:chart>
  <c:spPr>
    <a:solidFill>
      <a:schemeClr val="bg1"/>
    </a:solidFill>
    <a:ln w="9525" cap="flat" cmpd="sng" algn="ctr">
      <a:solidFill>
        <a:schemeClr val="tx1">
          <a:lumMod val="15000"/>
          <a:lumOff val="85000"/>
        </a:schemeClr>
      </a:solidFill>
      <a:round/>
    </a:ln>
    <a:effectLst/>
  </c:spPr>
  <c:txPr>
    <a:bodyPr/>
    <a:lstStyle/>
    <a:p>
      <a:pPr>
        <a:defRPr lang="en-US" sz="600" b="1">
          <a:solidFill>
            <a:sysClr val="windowText" lastClr="000000"/>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GTBClassification>
  <attrValue xml:space="preserve">Public</attrValue>
  <customPropName>Classification</customPropName>
  <timestamp>05/09/2022 17:14:15</timestamp>
  <userName>CENBANK\LANIRAN26079</userName>
  <computerName>MPDLTPA26079.cenbank.net</computerName>
  <guid>{528e43bb-cdf0-4d1e-833a-fd14e6776c05}</guid>
</GTBClassifica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BF37B7-993C-4C5D-88C9-780EC30EEAB7}">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3901</Words>
  <Characters>22237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LANIRAN, TEMITOPE JOSEPH</dc:creator>
  <cp:lastModifiedBy>USER</cp:lastModifiedBy>
  <cp:revision>8</cp:revision>
  <cp:lastPrinted>2022-11-09T11:59:00Z</cp:lastPrinted>
  <dcterms:created xsi:type="dcterms:W3CDTF">2025-08-06T18:49:00Z</dcterms:created>
  <dcterms:modified xsi:type="dcterms:W3CDTF">2026-08-10T11:27:00Z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c88eb2-eb2d-44c8-912e-96a8f22df436_Enabled">
    <vt:lpwstr>True</vt:lpwstr>
  </property>
  <property fmtid="{D5CDD505-2E9C-101B-9397-08002B2CF9AE}" pid="3" name="MSIP_Label_a6c88eb2-eb2d-44c8-912e-96a8f22df436_SiteId">
    <vt:lpwstr>9cdc7dd5-9dd6-4fbb-9a68-bcb9021721d0</vt:lpwstr>
  </property>
  <property fmtid="{D5CDD505-2E9C-101B-9397-08002B2CF9AE}" pid="4" name="MSIP_Label_a6c88eb2-eb2d-44c8-912e-96a8f22df436_Owner">
    <vt:lpwstr>LANIRAN26079@cbn.gov.ng</vt:lpwstr>
  </property>
  <property fmtid="{D5CDD505-2E9C-101B-9397-08002B2CF9AE}" pid="5" name="MSIP_Label_a6c88eb2-eb2d-44c8-912e-96a8f22df436_SetDate">
    <vt:lpwstr>2022-08-18T14:34:27.9583406Z</vt:lpwstr>
  </property>
  <property fmtid="{D5CDD505-2E9C-101B-9397-08002B2CF9AE}" pid="6" name="MSIP_Label_a6c88eb2-eb2d-44c8-912e-96a8f22df436_Name">
    <vt:lpwstr>Confidential</vt:lpwstr>
  </property>
  <property fmtid="{D5CDD505-2E9C-101B-9397-08002B2CF9AE}" pid="7" name="MSIP_Label_a6c88eb2-eb2d-44c8-912e-96a8f22df436_Application">
    <vt:lpwstr>Microsoft Azure Information Protection</vt:lpwstr>
  </property>
  <property fmtid="{D5CDD505-2E9C-101B-9397-08002B2CF9AE}" pid="8" name="MSIP_Label_a6c88eb2-eb2d-44c8-912e-96a8f22df436_Extended_MSFT_Method">
    <vt:lpwstr>Automatic</vt:lpwstr>
  </property>
  <property fmtid="{D5CDD505-2E9C-101B-9397-08002B2CF9AE}" pid="9" name="MSIP_Label_56a3f9de-d7f5-4481-ad90-6d032fa2cd3a_Enabled">
    <vt:lpwstr>True</vt:lpwstr>
  </property>
  <property fmtid="{D5CDD505-2E9C-101B-9397-08002B2CF9AE}" pid="10" name="MSIP_Label_56a3f9de-d7f5-4481-ad90-6d032fa2cd3a_SiteId">
    <vt:lpwstr>9cdc7dd5-9dd6-4fbb-9a68-bcb9021721d0</vt:lpwstr>
  </property>
  <property fmtid="{D5CDD505-2E9C-101B-9397-08002B2CF9AE}" pid="11" name="MSIP_Label_56a3f9de-d7f5-4481-ad90-6d032fa2cd3a_Owner">
    <vt:lpwstr>LANIRAN26079@cbn.gov.ng</vt:lpwstr>
  </property>
  <property fmtid="{D5CDD505-2E9C-101B-9397-08002B2CF9AE}" pid="12" name="MSIP_Label_56a3f9de-d7f5-4481-ad90-6d032fa2cd3a_SetDate">
    <vt:lpwstr>2022-08-18T14:34:27.9583406Z</vt:lpwstr>
  </property>
  <property fmtid="{D5CDD505-2E9C-101B-9397-08002B2CF9AE}" pid="13" name="MSIP_Label_56a3f9de-d7f5-4481-ad90-6d032fa2cd3a_Name">
    <vt:lpwstr>Anyone (not protected)</vt:lpwstr>
  </property>
  <property fmtid="{D5CDD505-2E9C-101B-9397-08002B2CF9AE}" pid="14" name="MSIP_Label_56a3f9de-d7f5-4481-ad90-6d032fa2cd3a_Application">
    <vt:lpwstr>Microsoft Azure Information Protection</vt:lpwstr>
  </property>
  <property fmtid="{D5CDD505-2E9C-101B-9397-08002B2CF9AE}" pid="15" name="MSIP_Label_56a3f9de-d7f5-4481-ad90-6d032fa2cd3a_Parent">
    <vt:lpwstr>a6c88eb2-eb2d-44c8-912e-96a8f22df436</vt:lpwstr>
  </property>
  <property fmtid="{D5CDD505-2E9C-101B-9397-08002B2CF9AE}" pid="16" name="MSIP_Label_56a3f9de-d7f5-4481-ad90-6d032fa2cd3a_Extended_MSFT_Method">
    <vt:lpwstr>Automatic</vt:lpwstr>
  </property>
  <property fmtid="{D5CDD505-2E9C-101B-9397-08002B2CF9AE}" pid="17" name="Sensitivity">
    <vt:lpwstr>Confidential Anyone (not protected)</vt:lpwstr>
  </property>
  <property fmtid="{D5CDD505-2E9C-101B-9397-08002B2CF9AE}" pid="18" name="Classification">
    <vt:lpwstr>Public</vt:lpwstr>
  </property>
  <property fmtid="{D5CDD505-2E9C-101B-9397-08002B2CF9AE}" pid="19" name="ClassifiedBy">
    <vt:lpwstr>CENBANK\LANIRAN26079</vt:lpwstr>
  </property>
  <property fmtid="{D5CDD505-2E9C-101B-9397-08002B2CF9AE}" pid="20" name="ClassificationHost">
    <vt:lpwstr>MPDLTPA26079.cenbank.net</vt:lpwstr>
  </property>
  <property fmtid="{D5CDD505-2E9C-101B-9397-08002B2CF9AE}" pid="21" name="ClassificationDate">
    <vt:lpwstr>05/09/2022 17:14:15</vt:lpwstr>
  </property>
  <property fmtid="{D5CDD505-2E9C-101B-9397-08002B2CF9AE}" pid="22" name="ClassificationGUID">
    <vt:lpwstr>{528e43bb-cdf0-4d1e-833a-fd14e6776c05}</vt:lpwstr>
  </property>
  <property fmtid="{D5CDD505-2E9C-101B-9397-08002B2CF9AE}" pid="23" name="GrammarlyDocumentId">
    <vt:lpwstr>dfac30b43ab051f1c0fe405626e5c39e9b605bb48f2cd706e1783e03fa17b067</vt:lpwstr>
  </property>
  <property fmtid="{D5CDD505-2E9C-101B-9397-08002B2CF9AE}" pid="24" name="KSOTemplateDocerSaveRecord">
    <vt:lpwstr>eyJoZGlkIjoiZjVhNGJiMWVmZTg4ZjFhYWZhYWFiMzBkODkwYWRkZmUiLCJ1c2VySWQiOiIyNzY2NDM0MjM4ODcyIn0=</vt:lpwstr>
  </property>
  <property fmtid="{D5CDD505-2E9C-101B-9397-08002B2CF9AE}" pid="25" name="KSOProductBuildVer">
    <vt:lpwstr>1033-12.1.0.28032</vt:lpwstr>
  </property>
  <property fmtid="{D5CDD505-2E9C-101B-9397-08002B2CF9AE}" pid="26" name="ICV">
    <vt:lpwstr>CE114AA77CB44B9E980D43D04079D602_13</vt:lpwstr>
  </property>
</Properties>
</file>