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AA832E" w14:textId="30680BD0" w:rsidR="00845DC9" w:rsidRDefault="00F25966">
      <w:pPr>
        <w:pStyle w:val="Title"/>
        <w:spacing w:line="276" w:lineRule="auto"/>
        <w:rPr>
          <w:rFonts w:ascii="Calibri" w:hAnsi="Calibri" w:cs="Calibri"/>
          <w:sz w:val="32"/>
          <w:szCs w:val="32"/>
          <w:lang w:val="en-GB"/>
        </w:rPr>
      </w:pPr>
      <w:r>
        <w:rPr>
          <w:rFonts w:ascii="Calibri" w:hAnsi="Calibri" w:cs="Calibri"/>
          <w:sz w:val="32"/>
          <w:szCs w:val="32"/>
          <w:lang w:val="en-GB"/>
        </w:rPr>
        <w:t>Cape Economic Performance and Prospect Bulletin – September 2026</w:t>
      </w:r>
    </w:p>
    <w:p w14:paraId="6E777997" w14:textId="77777777" w:rsidR="00845DC9" w:rsidRDefault="00F25966">
      <w:pPr>
        <w:spacing w:before="240" w:line="276" w:lineRule="auto"/>
        <w:jc w:val="both"/>
        <w:rPr>
          <w:rFonts w:ascii="Calibri" w:hAnsi="Calibri" w:cs="Calibri"/>
          <w:b/>
          <w:bCs/>
          <w:lang w:val="en-GB"/>
        </w:rPr>
      </w:pPr>
      <w:r>
        <w:rPr>
          <w:rFonts w:ascii="Calibri" w:hAnsi="Calibri" w:cs="Calibri"/>
          <w:b/>
          <w:bCs/>
          <w:lang w:val="en-GB"/>
        </w:rPr>
        <w:t>Highlights</w:t>
      </w:r>
    </w:p>
    <w:p w14:paraId="788075B0" w14:textId="77777777" w:rsidR="00845DC9" w:rsidRDefault="00F25966">
      <w:pPr>
        <w:numPr>
          <w:ilvl w:val="0"/>
          <w:numId w:val="1"/>
        </w:numPr>
        <w:spacing w:line="276" w:lineRule="auto"/>
        <w:ind w:left="142"/>
        <w:contextualSpacing/>
        <w:jc w:val="both"/>
        <w:rPr>
          <w:rFonts w:ascii="Calibri" w:hAnsi="Calibri" w:cs="Calibri"/>
          <w:i/>
          <w:iCs/>
          <w:sz w:val="18"/>
          <w:szCs w:val="18"/>
          <w:lang w:val="en-GB"/>
        </w:rPr>
      </w:pPr>
      <w:r>
        <w:rPr>
          <w:rFonts w:ascii="Calibri" w:hAnsi="Calibri" w:cs="Calibri"/>
          <w:i/>
          <w:iCs/>
          <w:sz w:val="18"/>
          <w:szCs w:val="18"/>
          <w:lang w:val="en-GB"/>
        </w:rPr>
        <w:t>CAPE expects headline inflation to ease to 15.40 per cent in August 2026, within a forecast range of 14.98–15.51 per cent, as early harvest supplies offer some relief from food-price pressures.</w:t>
      </w:r>
    </w:p>
    <w:p w14:paraId="732FC710" w14:textId="77777777" w:rsidR="00845DC9" w:rsidRDefault="00F25966">
      <w:pPr>
        <w:numPr>
          <w:ilvl w:val="0"/>
          <w:numId w:val="1"/>
        </w:numPr>
        <w:spacing w:line="276" w:lineRule="auto"/>
        <w:ind w:left="142"/>
        <w:contextualSpacing/>
        <w:jc w:val="both"/>
        <w:rPr>
          <w:rFonts w:ascii="Calibri" w:hAnsi="Calibri" w:cs="Calibri"/>
          <w:i/>
          <w:iCs/>
          <w:sz w:val="18"/>
          <w:szCs w:val="18"/>
          <w:lang w:val="en-GB"/>
        </w:rPr>
      </w:pPr>
      <w:r>
        <w:rPr>
          <w:rFonts w:ascii="Calibri" w:hAnsi="Calibri" w:cs="Calibri"/>
          <w:i/>
          <w:iCs/>
          <w:sz w:val="18"/>
          <w:szCs w:val="18"/>
          <w:lang w:val="en-GB"/>
        </w:rPr>
        <w:t>Nigeria’s real GDP growth strengthened to 4.43 per cent in Q2 2026. CAPE places Q3 2026 growth within an indicative range of 4.34–4.50 per cent. CAPE continues to assess the strength and breadth of the recovery.</w:t>
      </w:r>
    </w:p>
    <w:p w14:paraId="0AF4A0D5" w14:textId="77777777" w:rsidR="00845DC9" w:rsidRDefault="00845DC9">
      <w:pPr>
        <w:spacing w:line="276" w:lineRule="auto"/>
        <w:jc w:val="both"/>
        <w:rPr>
          <w:rFonts w:ascii="Calibri" w:hAnsi="Calibri" w:cs="Calibri"/>
          <w:lang w:val="en-GB"/>
        </w:rPr>
        <w:sectPr w:rsidR="00845DC9">
          <w:headerReference w:type="default" r:id="rId9"/>
          <w:footerReference w:type="default" r:id="rId10"/>
          <w:type w:val="continuous"/>
          <w:pgSz w:w="11906" w:h="16838"/>
          <w:pgMar w:top="1440" w:right="849" w:bottom="1440" w:left="1440" w:header="708" w:footer="708" w:gutter="0"/>
          <w:cols w:space="708"/>
          <w:docGrid w:linePitch="360"/>
        </w:sectPr>
      </w:pPr>
    </w:p>
    <w:p w14:paraId="65CAD422" w14:textId="77777777" w:rsidR="00845DC9" w:rsidRDefault="00F25966">
      <w:pPr>
        <w:pStyle w:val="Heading1"/>
        <w:spacing w:line="276" w:lineRule="auto"/>
        <w:rPr>
          <w:rFonts w:ascii="Calibri" w:hAnsi="Calibri" w:cs="Calibri"/>
          <w:color w:val="auto"/>
          <w:lang w:val="en-GB"/>
        </w:rPr>
        <w:sectPr w:rsidR="00845DC9">
          <w:type w:val="continuous"/>
          <w:pgSz w:w="11906" w:h="16838"/>
          <w:pgMar w:top="1440" w:right="849" w:bottom="1440" w:left="1440" w:header="708" w:footer="708" w:gutter="0"/>
          <w:cols w:space="708"/>
          <w:docGrid w:linePitch="360"/>
        </w:sectPr>
      </w:pPr>
      <w:r>
        <w:rPr>
          <w:rFonts w:ascii="Calibri" w:hAnsi="Calibri" w:cs="Calibri"/>
          <w:color w:val="auto"/>
          <w:lang w:val="en-GB"/>
        </w:rPr>
        <w:t xml:space="preserve">Global Economic Update   </w:t>
      </w:r>
    </w:p>
    <w:p w14:paraId="31390481" w14:textId="4E5BFAB4"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Global growth remains moderate amid heightened uncertainty. The IMF’s July 2026 World Economic Outlook Update projects expansion of 3.0 per cent in 2026 and 3.4 per cent in 2027. Resilient services and technology investment support activity, while energy shocks, trade tensions and high borrowing costs weigh on the outlook.</w:t>
      </w:r>
    </w:p>
    <w:p w14:paraId="736E8EC5" w14:textId="39AD999E"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Growth prospects remain uneven. Economies with stronger domestic demand and greater access to finance are better placed to absorb external shocks. Highly indebted and import-dependent economies have less room to protect households and businesses from higher costs.</w:t>
      </w:r>
    </w:p>
    <w:p w14:paraId="73680776" w14:textId="77777777"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Trade-policy uncertainty continues to complicate business planning. Changes in tariffs and supply routes raise procurement costs and working-capital needs, particularly for smaller firms. Prolonged fragmentation would also weaken investment and productivity by reducing access to markets and efficient production networks.</w:t>
      </w:r>
    </w:p>
    <w:p w14:paraId="78F32948" w14:textId="7B8ABA24"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Major advanced-economy central banks maintained a cautious stance in July. The Federal Reserve held its target range at 3.50–3.75 per cent, the European Central Bank retained its 2.25 per cent deposit rate, and the Bank of England left Bank Rate at 3.75 per cent. Persistent inflation pressures continue to limit the scope for monetary easing.</w:t>
      </w:r>
    </w:p>
    <w:p w14:paraId="2383B342" w14:textId="77777777"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Emerging-market performance remains mixed. Domestic demand and investment support activity in parts of Asia, while debt-service burdens and currency pressures constrain several frontier markets. For African economies, export opportunities must be weighed against exposure to imported fuel, food and financing costs.</w:t>
      </w:r>
    </w:p>
    <w:p w14:paraId="0E80A772" w14:textId="37DACD52"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The IMF projects global headline inflation at 4.7 per cent in 2026, up from 4.1 per cent in 2025, before easing to 3.9 per cent in 2027. Renewed energy pressures have interrupted disinflation, with fuel, freight and fertiliser costs transmitting into broader consumer prices.</w:t>
      </w:r>
    </w:p>
    <w:p w14:paraId="78A48A4A" w14:textId="77777777" w:rsidR="00845DC9" w:rsidRDefault="00F25966">
      <w:pPr>
        <w:spacing w:line="276" w:lineRule="auto"/>
        <w:ind w:left="851" w:hanging="851"/>
        <w:jc w:val="both"/>
        <w:rPr>
          <w:rFonts w:ascii="Calibri" w:hAnsi="Calibri" w:cs="Calibri"/>
          <w:i/>
          <w:iCs/>
          <w:sz w:val="18"/>
          <w:szCs w:val="16"/>
          <w:lang w:val="en-GB"/>
        </w:rPr>
      </w:pPr>
      <w:r>
        <w:rPr>
          <w:rFonts w:ascii="Calibri" w:hAnsi="Calibri" w:cs="Calibri"/>
          <w:i/>
          <w:iCs/>
          <w:sz w:val="18"/>
          <w:szCs w:val="16"/>
        </w:rPr>
        <w:t xml:space="preserve">Figure </w:t>
      </w:r>
      <w:r>
        <w:rPr>
          <w:rFonts w:ascii="Calibri" w:hAnsi="Calibri" w:cs="Calibri"/>
          <w:i/>
          <w:iCs/>
          <w:sz w:val="18"/>
          <w:szCs w:val="16"/>
          <w:lang w:val="en-GB"/>
        </w:rPr>
        <w:t>1</w:t>
      </w:r>
      <w:r>
        <w:rPr>
          <w:rFonts w:ascii="Calibri" w:hAnsi="Calibri" w:cs="Calibri"/>
          <w:i/>
          <w:iCs/>
          <w:sz w:val="18"/>
          <w:szCs w:val="16"/>
        </w:rPr>
        <w:t xml:space="preserve">: Year-on-Year </w:t>
      </w:r>
      <w:r>
        <w:rPr>
          <w:rFonts w:ascii="Calibri" w:hAnsi="Calibri" w:cs="Calibri"/>
          <w:i/>
          <w:iCs/>
          <w:sz w:val="18"/>
          <w:szCs w:val="16"/>
          <w:lang w:val="en-GB"/>
        </w:rPr>
        <w:t xml:space="preserve">Inflation in Selected Economies (May 2025 – June </w:t>
      </w:r>
      <w:r>
        <w:rPr>
          <w:rFonts w:ascii="Calibri" w:hAnsi="Calibri" w:cs="Calibri"/>
          <w:i/>
          <w:iCs/>
          <w:sz w:val="18"/>
          <w:szCs w:val="16"/>
        </w:rPr>
        <w:t>202</w:t>
      </w:r>
      <w:r>
        <w:rPr>
          <w:rFonts w:ascii="Calibri" w:hAnsi="Calibri" w:cs="Calibri"/>
          <w:i/>
          <w:iCs/>
          <w:sz w:val="18"/>
          <w:szCs w:val="16"/>
          <w:lang w:val="en-GB"/>
        </w:rPr>
        <w:t>5</w:t>
      </w:r>
      <w:r>
        <w:rPr>
          <w:rFonts w:ascii="Calibri" w:hAnsi="Calibri" w:cs="Calibri"/>
          <w:i/>
          <w:iCs/>
          <w:sz w:val="18"/>
          <w:szCs w:val="16"/>
        </w:rPr>
        <w:t xml:space="preserve">) in </w:t>
      </w:r>
      <w:r>
        <w:rPr>
          <w:rFonts w:ascii="Calibri" w:hAnsi="Calibri" w:cs="Calibri"/>
          <w:i/>
          <w:iCs/>
          <w:sz w:val="18"/>
          <w:szCs w:val="16"/>
          <w:lang w:val="en-GB"/>
        </w:rPr>
        <w:t>percent</w:t>
      </w:r>
    </w:p>
    <w:p w14:paraId="5B5A3CD5" w14:textId="77777777" w:rsidR="00845DC9" w:rsidRDefault="00F25966">
      <w:pPr>
        <w:spacing w:line="276" w:lineRule="auto"/>
        <w:ind w:left="851" w:hanging="851"/>
        <w:jc w:val="both"/>
        <w:rPr>
          <w:rFonts w:ascii="Calibri" w:hAnsi="Calibri" w:cs="Calibri"/>
          <w:sz w:val="18"/>
          <w:szCs w:val="16"/>
          <w:lang w:val="en-GB"/>
        </w:rPr>
      </w:pPr>
      <w:r>
        <w:rPr>
          <w:rFonts w:ascii="Calibri" w:hAnsi="Calibri" w:cs="Calibri"/>
          <w:noProof/>
          <w:lang w:val="en-US" w:eastAsia="en-US"/>
        </w:rPr>
        <w:drawing>
          <wp:inline distT="0" distB="0" distL="0" distR="0" wp14:anchorId="24E4E485" wp14:editId="7C1F93FC">
            <wp:extent cx="2828290" cy="1696720"/>
            <wp:effectExtent l="4445" t="4445" r="12065" b="1333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FDC8C46" w14:textId="77777777" w:rsidR="00845DC9" w:rsidRDefault="00F25966">
      <w:pPr>
        <w:spacing w:line="276" w:lineRule="auto"/>
        <w:jc w:val="both"/>
        <w:rPr>
          <w:rFonts w:ascii="Calibri" w:hAnsi="Calibri" w:cs="Calibri"/>
          <w:lang w:val="en-GB"/>
        </w:rPr>
      </w:pPr>
      <w:r>
        <w:rPr>
          <w:rFonts w:ascii="Calibri" w:hAnsi="Calibri" w:cs="Calibri"/>
          <w:b/>
          <w:bCs/>
          <w:sz w:val="18"/>
          <w:szCs w:val="16"/>
        </w:rPr>
        <w:t>Source: Various National Statistics Offices</w:t>
      </w:r>
    </w:p>
    <w:p w14:paraId="3AFE2B8D" w14:textId="63BB5EF2"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pace of future interest-rate reductions will depend on whether inflation pressures recede sustainably. Premature easing could prolong inflation, while excessive restraint would weaken investment and employment. Differences in labour markets and exposure to imported energy are likely to produce divergent policy paths.</w:t>
      </w:r>
    </w:p>
    <w:p w14:paraId="43D99D0F"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In Nigeria, the Monetary Policy Committee retained the Monetary Policy Rate at 26.5 per cent and the cash reserve ratio for deposit money banks at 45.0 per cent in July 2026. The restrictive stance supports price stability but keeps borrowing costs elevated. Improvements in food supply, transport and energy remain essential to reducing inflation without placing undue pressure on output.</w:t>
      </w:r>
    </w:p>
    <w:p w14:paraId="0E6B2451" w14:textId="6DEB8DC7" w:rsidR="00845DC9" w:rsidRDefault="00F25966">
      <w:pPr>
        <w:spacing w:after="160" w:line="276" w:lineRule="auto"/>
        <w:jc w:val="both"/>
        <w:rPr>
          <w:rFonts w:ascii="Calibri" w:hAnsi="Calibri" w:cs="Calibri"/>
          <w:sz w:val="22"/>
          <w:szCs w:val="22"/>
        </w:rPr>
      </w:pPr>
      <w:r>
        <w:rPr>
          <w:rFonts w:ascii="Calibri" w:hAnsi="Calibri" w:cs="Calibri"/>
          <w:sz w:val="22"/>
          <w:szCs w:val="22"/>
        </w:rPr>
        <w:t>Financial markets remain sensitive to inflation, interest-rate expectations and geopolitical developments. For frontier economies, sustained capital inflows will depend on credible policy and confidence in currency stability. A renewed shift towards safer assets could tighten external financing conditions even where domestic activity remains resilient.</w:t>
      </w:r>
    </w:p>
    <w:p w14:paraId="3F5CDF10" w14:textId="77777777" w:rsidR="00845DC9" w:rsidRDefault="00F25966">
      <w:pPr>
        <w:spacing w:after="160" w:line="276" w:lineRule="auto"/>
        <w:jc w:val="both"/>
        <w:rPr>
          <w:rFonts w:ascii="Calibri" w:hAnsi="Calibri" w:cs="Calibri"/>
          <w:sz w:val="22"/>
          <w:szCs w:val="22"/>
        </w:rPr>
      </w:pPr>
      <w:r>
        <w:rPr>
          <w:rFonts w:ascii="Calibri" w:hAnsi="Calibri" w:cs="Calibri"/>
          <w:sz w:val="22"/>
          <w:szCs w:val="22"/>
        </w:rPr>
        <w:t>Conflict and uncertainty around major shipping routes continue to threaten supply chains. Higher freight and insurance costs can feed into consumer prices and strain firms’ cash flow. Import-dependent economies are particularly exposed, especially where domestic security and infrastructure constraints already raise distribution costs.</w:t>
      </w:r>
    </w:p>
    <w:p w14:paraId="68E64605"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Oil markets reflect competing pressures. The International Energy Agency reported global supply of 101.5 million barrels per day in July 2026 while lowering its forecast for annual demand growth. North Sea Dated crude ended July near US$96.80 per barrel and traded around US$92 at the time of the August report. Softer demand could weigh on prices, but further supply disruptions remain an upside risk.</w:t>
      </w:r>
    </w:p>
    <w:p w14:paraId="65192C85" w14:textId="00AAFD6A"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For Nigeria, higher crude prices can strengthen export and fiscal receipts only if production is sustained. The IEA estimated July output at about 1.44 million barrels per day, below the 1.5 million-barrel-per-day target. Higher oil prices also raise domestic fuel and transport costs, limiting the benefit to households and non-oil businesses.</w:t>
      </w:r>
    </w:p>
    <w:p w14:paraId="1ECE19FD" w14:textId="2BB4EC21"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external environment therefore presents both opportunities and risks for Nigeria. Stronger export receipts could support fiscal and foreign-exchange conditions, while renewed energy shocks or tighter global financing would increase domestic pressures. Reliable oil production and stronger non-oil competitiveness remain central to resilience.</w:t>
      </w:r>
    </w:p>
    <w:p w14:paraId="63C7C5A4" w14:textId="77777777" w:rsidR="00845DC9" w:rsidRDefault="00F25966">
      <w:pPr>
        <w:pStyle w:val="Heading1"/>
        <w:spacing w:line="276" w:lineRule="auto"/>
        <w:rPr>
          <w:rFonts w:ascii="Calibri" w:hAnsi="Calibri" w:cs="Calibri"/>
          <w:color w:val="002060"/>
          <w:lang w:val="en-GB"/>
        </w:rPr>
      </w:pPr>
      <w:r>
        <w:rPr>
          <w:rFonts w:ascii="Calibri" w:hAnsi="Calibri" w:cs="Calibri"/>
          <w:color w:val="002060"/>
          <w:lang w:val="en-GB"/>
        </w:rPr>
        <w:t>Global Economic Outlook</w:t>
      </w:r>
    </w:p>
    <w:p w14:paraId="01F61067" w14:textId="2AE50753"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Global expansion is expected to continue through the remainder of 2026, though the recovery remains vulnerable to energy and trade disruptions. Stronger investment would improve the durability of growth; a renewed squeeze on household purchasing power would weaken demand.</w:t>
      </w:r>
    </w:p>
    <w:p w14:paraId="57E00181" w14:textId="362A1274"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Monetary easing is likely to remain gradual and uneven. In Nigeria, sustained disinflation and currency stability would improve the scope for a less restrictive policy stance. Until then, high financing costs are likely to constrain investment and consumption.</w:t>
      </w:r>
    </w:p>
    <w:p w14:paraId="47A693A6" w14:textId="77A4C4A0"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Commodity-price volatility remains a key risk. Favourable harvests could ease food prices, but adverse weather, insecurity and distribution bottlenecks may limit the relief reaching consumers. Oil-price gains should be treated cautiously in fiscal planning because both prices and production can reverse quickly.</w:t>
      </w:r>
    </w:p>
    <w:p w14:paraId="5C7B135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Policy priorities remain clear: protect productive investment, improve energy and transport reliability, and rebuild fiscal buffers. Predictable implementation would strengthen business confidence and help economies absorb external shocks.</w:t>
      </w:r>
    </w:p>
    <w:p w14:paraId="78A271E8"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 xml:space="preserve">Nigeria’s Output Growth </w:t>
      </w:r>
    </w:p>
    <w:p w14:paraId="0AF8C80C"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Nigeria’s real GDP grew by 4.43 per cent year-on-year in Q2 2026, up from 3.89 per cent in Q1. Expansion across services, agriculture and industry points to a broadening recovery. The stronger outturn is encouraging, although sustained gains in employment and household purchasing power remain the more demanding test of economic progress.</w:t>
      </w:r>
    </w:p>
    <w:p w14:paraId="16B854E2" w14:textId="13EF0CD5"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Stanbic IBTC Nigeria Purchasing Managers’ Index (PMI) rose to 52.7 points in August 2026 from 51.1 points in July. This marks 3 consecutive months above the 50.0 threshold and signals continued private-sector expansion. The improvement points to firmer business activity, although high financing, energy, transport and other operating costs remain important constraints.</w:t>
      </w:r>
    </w:p>
    <w:p w14:paraId="389D235D" w14:textId="77777777" w:rsidR="00845DC9" w:rsidRDefault="00F25966">
      <w:pPr>
        <w:spacing w:line="276" w:lineRule="auto"/>
        <w:jc w:val="both"/>
        <w:rPr>
          <w:rFonts w:ascii="Calibri" w:hAnsi="Calibri" w:cs="Calibri"/>
          <w:i/>
          <w:iCs/>
          <w:color w:val="2F5496"/>
          <w:sz w:val="20"/>
          <w:szCs w:val="18"/>
          <w:lang w:val="en-GB"/>
        </w:rPr>
      </w:pPr>
      <w:r>
        <w:rPr>
          <w:rFonts w:ascii="Calibri" w:hAnsi="Calibri" w:cs="Calibri"/>
          <w:i/>
          <w:iCs/>
          <w:color w:val="2F5496"/>
          <w:sz w:val="20"/>
          <w:szCs w:val="18"/>
          <w:lang w:val="en-GB"/>
        </w:rPr>
        <w:t>Figure 2: Trend of Nigeria’s PMI (Jul 2025–Aug 2026)</w:t>
      </w:r>
    </w:p>
    <w:p w14:paraId="7F6288A3" w14:textId="77777777" w:rsidR="00845DC9" w:rsidRDefault="00F25966">
      <w:pPr>
        <w:spacing w:line="276" w:lineRule="auto"/>
        <w:jc w:val="both"/>
        <w:rPr>
          <w:rFonts w:ascii="Calibri" w:hAnsi="Calibri" w:cs="Calibri"/>
          <w:i/>
          <w:iCs/>
          <w:color w:val="2F5496"/>
          <w:sz w:val="20"/>
          <w:szCs w:val="18"/>
          <w:lang w:val="en-GB"/>
        </w:rPr>
      </w:pPr>
      <w:r>
        <w:rPr>
          <w:rFonts w:ascii="Calibri" w:hAnsi="Calibri" w:cs="Calibri"/>
          <w:i/>
          <w:iCs/>
          <w:noProof/>
          <w:color w:val="2F5496"/>
          <w:sz w:val="20"/>
          <w:szCs w:val="18"/>
          <w:lang w:val="en-US" w:eastAsia="en-US"/>
        </w:rPr>
        <w:drawing>
          <wp:anchor distT="0" distB="0" distL="114300" distR="114300" simplePos="0" relativeHeight="251661312" behindDoc="0" locked="0" layoutInCell="1" allowOverlap="1" wp14:anchorId="627D2A4C" wp14:editId="76CC9A45">
            <wp:simplePos x="0" y="0"/>
            <wp:positionH relativeFrom="column">
              <wp:posOffset>-169545</wp:posOffset>
            </wp:positionH>
            <wp:positionV relativeFrom="paragraph">
              <wp:posOffset>43815</wp:posOffset>
            </wp:positionV>
            <wp:extent cx="3128645" cy="1809115"/>
            <wp:effectExtent l="0" t="0" r="8255" b="6985"/>
            <wp:wrapNone/>
            <wp:docPr id="12" name="Picture 12" descr="ChatGPT Image Aug 8, 2026, 02_18_3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Aug 8, 2026, 02_18_30 AM"/>
                    <pic:cNvPicPr>
                      <a:picLocks noChangeAspect="1"/>
                    </pic:cNvPicPr>
                  </pic:nvPicPr>
                  <pic:blipFill>
                    <a:blip r:embed="rId13"/>
                    <a:stretch>
                      <a:fillRect/>
                    </a:stretch>
                  </pic:blipFill>
                  <pic:spPr>
                    <a:xfrm>
                      <a:off x="0" y="0"/>
                      <a:ext cx="3128645" cy="1809115"/>
                    </a:xfrm>
                    <a:prstGeom prst="rect">
                      <a:avLst/>
                    </a:prstGeom>
                  </pic:spPr>
                </pic:pic>
              </a:graphicData>
            </a:graphic>
          </wp:anchor>
        </w:drawing>
      </w:r>
    </w:p>
    <w:p w14:paraId="0220DDF7" w14:textId="77777777" w:rsidR="00845DC9" w:rsidRDefault="00845DC9">
      <w:pPr>
        <w:spacing w:line="276" w:lineRule="auto"/>
        <w:jc w:val="both"/>
        <w:rPr>
          <w:rFonts w:ascii="Calibri" w:hAnsi="Calibri" w:cs="Calibri"/>
          <w:i/>
          <w:iCs/>
          <w:color w:val="2F5496"/>
          <w:sz w:val="20"/>
          <w:szCs w:val="18"/>
          <w:lang w:val="en-GB"/>
        </w:rPr>
      </w:pPr>
    </w:p>
    <w:p w14:paraId="41EFECE0" w14:textId="77777777" w:rsidR="00845DC9" w:rsidRDefault="00845DC9">
      <w:pPr>
        <w:spacing w:line="276" w:lineRule="auto"/>
        <w:jc w:val="both"/>
        <w:rPr>
          <w:rFonts w:ascii="Calibri" w:hAnsi="Calibri" w:cs="Calibri"/>
          <w:i/>
          <w:iCs/>
          <w:color w:val="2F5496"/>
          <w:sz w:val="20"/>
          <w:szCs w:val="18"/>
          <w:lang w:val="en-GB"/>
        </w:rPr>
      </w:pPr>
    </w:p>
    <w:p w14:paraId="2C5F244C" w14:textId="77777777" w:rsidR="00845DC9" w:rsidRDefault="00845DC9">
      <w:pPr>
        <w:spacing w:line="276" w:lineRule="auto"/>
        <w:jc w:val="both"/>
        <w:rPr>
          <w:rFonts w:ascii="Calibri" w:hAnsi="Calibri" w:cs="Calibri"/>
          <w:i/>
          <w:iCs/>
          <w:color w:val="2F5496"/>
          <w:sz w:val="20"/>
          <w:szCs w:val="18"/>
          <w:lang w:val="en-GB"/>
        </w:rPr>
      </w:pPr>
    </w:p>
    <w:p w14:paraId="590036B3" w14:textId="77777777" w:rsidR="00845DC9" w:rsidRDefault="00845DC9">
      <w:pPr>
        <w:spacing w:line="276" w:lineRule="auto"/>
        <w:jc w:val="both"/>
        <w:rPr>
          <w:rFonts w:ascii="Calibri" w:hAnsi="Calibri" w:cs="Calibri"/>
          <w:i/>
          <w:iCs/>
          <w:color w:val="2F5496"/>
          <w:sz w:val="20"/>
          <w:szCs w:val="18"/>
          <w:lang w:val="en-GB"/>
        </w:rPr>
      </w:pPr>
    </w:p>
    <w:p w14:paraId="783F489E" w14:textId="77777777" w:rsidR="00845DC9" w:rsidRDefault="00845DC9">
      <w:pPr>
        <w:spacing w:line="276" w:lineRule="auto"/>
        <w:jc w:val="both"/>
        <w:rPr>
          <w:rFonts w:ascii="Calibri" w:hAnsi="Calibri" w:cs="Calibri"/>
          <w:i/>
          <w:iCs/>
          <w:color w:val="2F5496"/>
          <w:sz w:val="20"/>
          <w:szCs w:val="18"/>
          <w:lang w:val="en-GB"/>
        </w:rPr>
      </w:pPr>
    </w:p>
    <w:p w14:paraId="2ED1BC34" w14:textId="77777777" w:rsidR="00845DC9" w:rsidRDefault="00845DC9">
      <w:pPr>
        <w:spacing w:line="276" w:lineRule="auto"/>
        <w:jc w:val="both"/>
        <w:rPr>
          <w:rFonts w:ascii="Calibri" w:hAnsi="Calibri" w:cs="Calibri"/>
          <w:i/>
          <w:iCs/>
          <w:color w:val="2F5496"/>
          <w:sz w:val="20"/>
          <w:szCs w:val="18"/>
          <w:lang w:val="en-GB"/>
        </w:rPr>
      </w:pPr>
    </w:p>
    <w:p w14:paraId="3F2DD276" w14:textId="77777777" w:rsidR="00845DC9" w:rsidRDefault="00845DC9">
      <w:pPr>
        <w:spacing w:line="276" w:lineRule="auto"/>
        <w:jc w:val="both"/>
        <w:rPr>
          <w:rFonts w:ascii="Calibri" w:hAnsi="Calibri" w:cs="Calibri"/>
          <w:i/>
          <w:iCs/>
          <w:color w:val="2F5496"/>
          <w:sz w:val="20"/>
          <w:szCs w:val="18"/>
          <w:lang w:val="en-GB"/>
        </w:rPr>
      </w:pPr>
    </w:p>
    <w:p w14:paraId="5BEFBBDA" w14:textId="77777777" w:rsidR="00845DC9" w:rsidRDefault="00845DC9">
      <w:pPr>
        <w:spacing w:line="276" w:lineRule="auto"/>
        <w:jc w:val="both"/>
        <w:rPr>
          <w:rFonts w:ascii="Calibri" w:hAnsi="Calibri" w:cs="Calibri"/>
          <w:i/>
          <w:iCs/>
          <w:color w:val="2F5496"/>
          <w:sz w:val="20"/>
          <w:szCs w:val="18"/>
          <w:lang w:val="en-GB"/>
        </w:rPr>
      </w:pPr>
    </w:p>
    <w:p w14:paraId="170682DF" w14:textId="77777777" w:rsidR="00845DC9" w:rsidRDefault="00845DC9">
      <w:pPr>
        <w:spacing w:line="276" w:lineRule="auto"/>
        <w:jc w:val="both"/>
        <w:rPr>
          <w:rFonts w:ascii="Calibri" w:hAnsi="Calibri" w:cs="Calibri"/>
          <w:i/>
          <w:iCs/>
          <w:color w:val="2F5496"/>
          <w:sz w:val="20"/>
          <w:szCs w:val="18"/>
          <w:lang w:val="en-GB"/>
        </w:rPr>
      </w:pPr>
    </w:p>
    <w:p w14:paraId="6FD77555" w14:textId="77777777" w:rsidR="00845DC9" w:rsidRDefault="00845DC9">
      <w:pPr>
        <w:spacing w:line="276" w:lineRule="auto"/>
        <w:jc w:val="both"/>
        <w:rPr>
          <w:rFonts w:ascii="Calibri" w:hAnsi="Calibri" w:cs="Calibri"/>
          <w:i/>
          <w:iCs/>
          <w:color w:val="2F5496"/>
          <w:sz w:val="20"/>
          <w:szCs w:val="18"/>
          <w:lang w:val="en-GB"/>
        </w:rPr>
      </w:pPr>
    </w:p>
    <w:p w14:paraId="37BD334B" w14:textId="6F4FDFCA" w:rsidR="00845DC9" w:rsidRDefault="00F25966">
      <w:pPr>
        <w:spacing w:line="276" w:lineRule="auto"/>
        <w:jc w:val="both"/>
        <w:rPr>
          <w:rFonts w:ascii="Calibri" w:hAnsi="Calibri" w:cs="Calibri"/>
          <w:sz w:val="22"/>
          <w:szCs w:val="22"/>
          <w:lang w:val="en-GB"/>
        </w:rPr>
      </w:pPr>
      <w:r>
        <w:rPr>
          <w:rFonts w:ascii="Calibri" w:hAnsi="Calibri" w:cs="Calibri"/>
          <w:color w:val="2F5496"/>
          <w:sz w:val="18"/>
          <w:szCs w:val="16"/>
        </w:rPr>
        <w:t>Source: Stanbic-IB</w:t>
      </w:r>
      <w:r w:rsidR="0088730F">
        <w:rPr>
          <w:rFonts w:ascii="Calibri" w:hAnsi="Calibri" w:cs="Calibri"/>
          <w:color w:val="2F5496"/>
          <w:sz w:val="18"/>
          <w:szCs w:val="16"/>
          <w:lang w:val="en-US"/>
        </w:rPr>
        <w:t>T</w:t>
      </w:r>
      <w:r>
        <w:rPr>
          <w:rFonts w:ascii="Calibri" w:hAnsi="Calibri" w:cs="Calibri"/>
          <w:color w:val="2F5496"/>
          <w:sz w:val="18"/>
          <w:szCs w:val="16"/>
        </w:rPr>
        <w:t>C</w:t>
      </w:r>
    </w:p>
    <w:p w14:paraId="70658FFF" w14:textId="77777777" w:rsidR="00845DC9" w:rsidRDefault="00845DC9">
      <w:pPr>
        <w:spacing w:line="276" w:lineRule="auto"/>
        <w:jc w:val="both"/>
        <w:rPr>
          <w:rFonts w:ascii="Calibri" w:hAnsi="Calibri" w:cs="Calibri"/>
          <w:sz w:val="22"/>
          <w:szCs w:val="22"/>
          <w:lang w:val="en-GB"/>
        </w:rPr>
      </w:pPr>
    </w:p>
    <w:p w14:paraId="000826DB" w14:textId="6149DBAF"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latest PMI readings point to a cautious improvement in near-term private-sector activity. The index moved from 51.1 in July to 52.7 in August, remaining above the expansion threshold. Sustaining this momentum will require reliable power and transport, access to working capital and continued stability in the foreign-exchange market.</w:t>
      </w:r>
    </w:p>
    <w:p w14:paraId="2213FA12" w14:textId="7E9F7928"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Services remained the largest component of output, growing by 4.60 per cent and accounting for 56.62 per cent of GDP. Agriculture and industry expanded by 4.39 per cent and 3.96 per cent respectively. Growth of 7.31 per cent in the oil sector complemented a 4.31 per cent expansion in non-oil activity.</w:t>
      </w:r>
    </w:p>
    <w:p w14:paraId="41DBF0E4" w14:textId="07183274"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recovery nevertheless remains uneven. Insecurity, infrastructure gaps and high business costs limit investment and job creation. Addressing these constraints would help translate aggregate growth into broader improvements in living standards.</w:t>
      </w:r>
    </w:p>
    <w:p w14:paraId="2DB52FB9" w14:textId="77777777" w:rsidR="00845DC9" w:rsidRDefault="00845DC9">
      <w:pPr>
        <w:spacing w:line="276" w:lineRule="auto"/>
        <w:jc w:val="both"/>
        <w:rPr>
          <w:rFonts w:ascii="Calibri" w:hAnsi="Calibri" w:cs="Calibri"/>
          <w:sz w:val="10"/>
          <w:szCs w:val="10"/>
          <w:lang w:val="en-GB"/>
        </w:rPr>
      </w:pPr>
    </w:p>
    <w:p w14:paraId="1AF49E55" w14:textId="77777777" w:rsidR="00845DC9" w:rsidRDefault="00F25966">
      <w:pPr>
        <w:spacing w:after="160" w:line="276" w:lineRule="auto"/>
        <w:jc w:val="both"/>
        <w:rPr>
          <w:rFonts w:ascii="Calibri" w:hAnsi="Calibri" w:cs="Calibri"/>
          <w:i/>
          <w:iCs/>
          <w:color w:val="2F5496"/>
          <w:sz w:val="20"/>
          <w:szCs w:val="18"/>
          <w:lang w:val="en-GB"/>
        </w:rPr>
      </w:pPr>
      <w:r>
        <w:rPr>
          <w:rFonts w:ascii="Calibri" w:hAnsi="Calibri" w:cs="Calibri"/>
          <w:noProof/>
          <w:lang w:val="en-US" w:eastAsia="en-US"/>
        </w:rPr>
        <w:drawing>
          <wp:anchor distT="0" distB="0" distL="114300" distR="114300" simplePos="0" relativeHeight="251660288" behindDoc="0" locked="0" layoutInCell="1" allowOverlap="1" wp14:anchorId="22474227" wp14:editId="22C19A07">
            <wp:simplePos x="0" y="0"/>
            <wp:positionH relativeFrom="column">
              <wp:posOffset>-35560</wp:posOffset>
            </wp:positionH>
            <wp:positionV relativeFrom="paragraph">
              <wp:posOffset>346075</wp:posOffset>
            </wp:positionV>
            <wp:extent cx="3133725" cy="1911350"/>
            <wp:effectExtent l="0" t="0" r="3175" b="635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4"/>
                    <a:stretch>
                      <a:fillRect/>
                    </a:stretch>
                  </pic:blipFill>
                  <pic:spPr>
                    <a:xfrm>
                      <a:off x="0" y="0"/>
                      <a:ext cx="3133725" cy="1911350"/>
                    </a:xfrm>
                    <a:prstGeom prst="rect">
                      <a:avLst/>
                    </a:prstGeom>
                    <a:noFill/>
                    <a:ln>
                      <a:noFill/>
                    </a:ln>
                  </pic:spPr>
                </pic:pic>
              </a:graphicData>
            </a:graphic>
          </wp:anchor>
        </w:drawing>
      </w:r>
      <w:r>
        <w:rPr>
          <w:rFonts w:ascii="Calibri" w:hAnsi="Calibri" w:cs="Calibri"/>
          <w:i/>
          <w:iCs/>
          <w:color w:val="2F5496"/>
          <w:sz w:val="20"/>
          <w:szCs w:val="18"/>
        </w:rPr>
        <w:t>Figure 3: Nigeria Real GDP Growth and CAPE Q3 2026 Indicative Range (Q1 2024–Q3 2026) in percent</w:t>
      </w:r>
    </w:p>
    <w:p w14:paraId="356AD95A" w14:textId="77777777" w:rsidR="00845DC9" w:rsidRDefault="00845DC9">
      <w:pPr>
        <w:spacing w:line="276" w:lineRule="auto"/>
        <w:jc w:val="both"/>
        <w:rPr>
          <w:rFonts w:ascii="Calibri" w:hAnsi="Calibri" w:cs="Calibri"/>
          <w:lang w:val="en-GB"/>
        </w:rPr>
      </w:pPr>
    </w:p>
    <w:p w14:paraId="5F212D8E" w14:textId="77777777" w:rsidR="00845DC9" w:rsidRDefault="00845DC9">
      <w:pPr>
        <w:spacing w:line="276" w:lineRule="auto"/>
        <w:jc w:val="both"/>
        <w:rPr>
          <w:rFonts w:ascii="Calibri" w:hAnsi="Calibri" w:cs="Calibri"/>
          <w:lang w:val="en-GB"/>
        </w:rPr>
      </w:pPr>
    </w:p>
    <w:p w14:paraId="16DD94F4" w14:textId="77777777" w:rsidR="00845DC9" w:rsidRDefault="00845DC9">
      <w:pPr>
        <w:spacing w:line="276" w:lineRule="auto"/>
        <w:jc w:val="both"/>
        <w:rPr>
          <w:rFonts w:ascii="Calibri" w:hAnsi="Calibri" w:cs="Calibri"/>
          <w:lang w:val="en-GB"/>
        </w:rPr>
      </w:pPr>
    </w:p>
    <w:p w14:paraId="4DA80B7D" w14:textId="77777777" w:rsidR="00845DC9" w:rsidRDefault="00845DC9">
      <w:pPr>
        <w:spacing w:line="276" w:lineRule="auto"/>
        <w:jc w:val="both"/>
        <w:rPr>
          <w:rFonts w:ascii="Calibri" w:hAnsi="Calibri" w:cs="Calibri"/>
          <w:lang w:val="en-GB"/>
        </w:rPr>
      </w:pPr>
    </w:p>
    <w:p w14:paraId="42CD92C0" w14:textId="77777777" w:rsidR="00845DC9" w:rsidRDefault="00845DC9">
      <w:pPr>
        <w:spacing w:line="276" w:lineRule="auto"/>
        <w:jc w:val="both"/>
        <w:rPr>
          <w:rFonts w:ascii="Calibri" w:hAnsi="Calibri" w:cs="Calibri"/>
          <w:lang w:val="en-GB"/>
        </w:rPr>
      </w:pPr>
    </w:p>
    <w:p w14:paraId="6383AF82" w14:textId="77777777" w:rsidR="00845DC9" w:rsidRDefault="00845DC9">
      <w:pPr>
        <w:spacing w:line="276" w:lineRule="auto"/>
        <w:jc w:val="both"/>
        <w:rPr>
          <w:rFonts w:ascii="Calibri" w:hAnsi="Calibri" w:cs="Calibri"/>
          <w:lang w:val="en-GB"/>
        </w:rPr>
      </w:pPr>
    </w:p>
    <w:p w14:paraId="4DF0ED4F" w14:textId="77777777" w:rsidR="00845DC9" w:rsidRDefault="00845DC9">
      <w:pPr>
        <w:spacing w:line="276" w:lineRule="auto"/>
        <w:jc w:val="both"/>
        <w:rPr>
          <w:rFonts w:ascii="Calibri" w:hAnsi="Calibri" w:cs="Calibri"/>
          <w:lang w:val="en-GB"/>
        </w:rPr>
      </w:pPr>
    </w:p>
    <w:p w14:paraId="2ECCDCCC" w14:textId="77777777" w:rsidR="00845DC9" w:rsidRDefault="00845DC9">
      <w:pPr>
        <w:spacing w:line="276" w:lineRule="auto"/>
        <w:jc w:val="both"/>
        <w:rPr>
          <w:rFonts w:ascii="Calibri" w:hAnsi="Calibri" w:cs="Calibri"/>
          <w:lang w:val="en-GB"/>
        </w:rPr>
      </w:pPr>
    </w:p>
    <w:p w14:paraId="043F4392" w14:textId="77777777" w:rsidR="00845DC9" w:rsidRDefault="00845DC9">
      <w:pPr>
        <w:spacing w:line="276" w:lineRule="auto"/>
        <w:jc w:val="both"/>
        <w:rPr>
          <w:rFonts w:ascii="Calibri" w:hAnsi="Calibri" w:cs="Calibri"/>
          <w:lang w:val="en-GB"/>
        </w:rPr>
      </w:pPr>
    </w:p>
    <w:p w14:paraId="0A0FFA21" w14:textId="77777777" w:rsidR="00845DC9" w:rsidRDefault="00F25966">
      <w:pPr>
        <w:spacing w:line="276" w:lineRule="auto"/>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 and CAPE Economic Research and Consulting</w:t>
      </w:r>
    </w:p>
    <w:p w14:paraId="21FB7F69"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Output Growth Outlook</w:t>
      </w:r>
    </w:p>
    <w:p w14:paraId="48539432"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CAPE places Q3 2026 real GDP growth in an indicative 4.34–4.50 per cent range. High borrowing costs, energy expenses and insecurity remain risks to the outlook. We continue to monitor economic developments and will refine the outlook as the quarter progresses.</w:t>
      </w:r>
    </w:p>
    <w:p w14:paraId="49690CB8" w14:textId="2095A0BB"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4: Nigeria Economic Policy Uncertainty Index</w:t>
      </w:r>
    </w:p>
    <w:p w14:paraId="5E19BE6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sz w:val="22"/>
          <w:szCs w:val="22"/>
          <w:lang w:val="en-US" w:eastAsia="en-US"/>
        </w:rPr>
        <w:drawing>
          <wp:inline distT="0" distB="0" distL="0" distR="0" wp14:anchorId="783EB96F" wp14:editId="195CCEB0">
            <wp:extent cx="2806700" cy="135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8575" cy="1364649"/>
                    </a:xfrm>
                    <a:prstGeom prst="rect">
                      <a:avLst/>
                    </a:prstGeom>
                    <a:noFill/>
                    <a:ln>
                      <a:noFill/>
                    </a:ln>
                  </pic:spPr>
                </pic:pic>
              </a:graphicData>
            </a:graphic>
          </wp:inline>
        </w:drawing>
      </w:r>
      <w:r>
        <w:pict>
          <v:shape id="EPUAugustAnnotation" style="position:absolute;margin-left:135pt;margin-top:12pt;width:83pt;height:43pt;z-index:251659264;mso-position-horizontal-relative:text;mso-position-vertical-relative:text" stroked="f" filled="f">
            <v:textbox inset="0,0,0,0">
              <w:txbxContent>
                <w:p>
                  <w:pPr>
                    <w:spacing w:before="0" w:after="0"/>
                  </w:pPr>
                  <w:r>
                    <w:rPr>
                      <w:rFonts w:ascii="Arial" w:hAnsi="Arial"/>
                      <w:color w:val="00666B"/>
                      <w:sz w:val="14"/>
                      <w:b/>
                    </w:rPr>
                    <w:t>August 2026 update</w:t>
                    <w:br/>
                    <w:t>EPU index: 87.10881</w:t>
                    <w:br/>
                    <w:t>Policy uncertainty eased</w:t>
                  </w:r>
                </w:p>
              </w:txbxContent>
            </v:textbox>
          </v:shape>
        </w:pict>
      </w:r>
    </w:p>
    <w:p w14:paraId="1CAAE4F7" w14:textId="71AD7AAB" w:rsidR="00845DC9" w:rsidRPr="0088730F" w:rsidRDefault="00F25966">
      <w:pPr>
        <w:spacing w:line="276" w:lineRule="auto"/>
        <w:jc w:val="both"/>
        <w:rPr>
          <w:rFonts w:ascii="Calibri" w:eastAsiaTheme="minorEastAsia" w:hAnsi="Calibri" w:cs="Calibri"/>
          <w:b/>
          <w:bCs/>
          <w:sz w:val="18"/>
          <w:szCs w:val="16"/>
          <w:lang w:val="en-US"/>
        </w:rPr>
      </w:pPr>
      <w:r>
        <w:rPr>
          <w:rFonts w:ascii="Calibri" w:hAnsi="Calibri" w:cs="Calibri"/>
          <w:b/>
          <w:bCs/>
          <w:sz w:val="18"/>
          <w:szCs w:val="16"/>
        </w:rPr>
        <w:t>Source: CAPE ERC. Latest index: 87.10881 (August 2026).</w:t>
      </w:r>
      <w:r w:rsidR="0088730F">
        <w:rPr>
          <w:rFonts w:ascii="Calibri" w:hAnsi="Calibri" w:cs="Calibri"/>
          <w:b/>
          <w:bCs/>
          <w:sz w:val="18"/>
          <w:szCs w:val="16"/>
          <w:lang w:val="en-US"/>
        </w:rPr>
      </w:r>
    </w:p>
    <w:p w14:paraId="631EA641" w14:textId="09AD3F6E"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CAPE’s Economic Policy Uncertainty index eased to 87.11 in August 2026. Lower uncertainty may support business planning and investment, although lasting confidence will depend on consistent policy implementation and a stable operating environment.</w:t>
      </w:r>
    </w:p>
    <w:p w14:paraId="29DCF33E" w14:textId="46A994A9" w:rsidR="00845DC9" w:rsidRDefault="00845DC9">
      <w:pPr>
        <w:spacing w:after="160" w:line="276" w:lineRule="auto"/>
        <w:jc w:val="both"/>
        <w:rPr>
          <w:rFonts w:ascii="Calibri" w:hAnsi="Calibri" w:cs="Calibri"/>
          <w:sz w:val="22"/>
          <w:szCs w:val="22"/>
          <w:lang w:val="en-GB" w:eastAsia="en-US"/>
        </w:rPr>
      </w:pPr>
    </w:p>
    <w:p w14:paraId="72B8F667" w14:textId="77777777" w:rsidR="004A00FD" w:rsidRDefault="004A00FD">
      <w:pPr>
        <w:spacing w:after="160" w:line="276" w:lineRule="auto"/>
        <w:jc w:val="both"/>
        <w:rPr>
          <w:rFonts w:ascii="Calibri" w:hAnsi="Calibri" w:cs="Calibri"/>
          <w:sz w:val="22"/>
          <w:szCs w:val="22"/>
          <w:lang w:val="en-GB" w:eastAsia="en-US"/>
        </w:rPr>
      </w:pPr>
    </w:p>
    <w:p w14:paraId="51837C68" w14:textId="3F1E48F5" w:rsidR="004A00FD" w:rsidRDefault="004A00FD">
      <w:pPr>
        <w:spacing w:after="160" w:line="276" w:lineRule="auto"/>
        <w:jc w:val="both"/>
        <w:rPr>
          <w:rFonts w:ascii="Calibri" w:hAnsi="Calibri" w:cs="Calibri"/>
          <w:sz w:val="22"/>
          <w:szCs w:val="22"/>
          <w:lang w:val="en-GB" w:eastAsia="en-US"/>
        </w:rPr>
      </w:pPr>
    </w:p>
    <w:p w14:paraId="07E1BED7" w14:textId="44B22FFC" w:rsidR="004A00FD" w:rsidRDefault="004A00FD">
      <w:pPr>
        <w:spacing w:after="160" w:line="276" w:lineRule="auto"/>
        <w:jc w:val="both"/>
        <w:rPr>
          <w:rFonts w:ascii="Calibri" w:hAnsi="Calibri" w:cs="Calibri"/>
          <w:sz w:val="22"/>
          <w:szCs w:val="22"/>
          <w:lang w:val="en-GB" w:eastAsia="en-US"/>
        </w:rPr>
      </w:pPr>
    </w:p>
    <w:p w14:paraId="02E7AB25" w14:textId="590783FF" w:rsidR="004A00FD" w:rsidRDefault="004A00FD">
      <w:pPr>
        <w:spacing w:after="160" w:line="276" w:lineRule="auto"/>
        <w:jc w:val="both"/>
        <w:rPr>
          <w:rFonts w:ascii="Calibri" w:hAnsi="Calibri" w:cs="Calibri"/>
          <w:sz w:val="22"/>
          <w:szCs w:val="22"/>
          <w:lang w:val="en-GB" w:eastAsia="en-US"/>
        </w:rPr>
      </w:pPr>
    </w:p>
    <w:p w14:paraId="36EDA46E" w14:textId="1637248D" w:rsidR="004A00FD" w:rsidRDefault="004A00FD">
      <w:pPr>
        <w:spacing w:after="160" w:line="276" w:lineRule="auto"/>
        <w:jc w:val="both"/>
        <w:rPr>
          <w:rFonts w:ascii="Calibri" w:hAnsi="Calibri" w:cs="Calibri"/>
          <w:sz w:val="22"/>
          <w:szCs w:val="22"/>
          <w:lang w:val="en-GB" w:eastAsia="en-US"/>
        </w:rPr>
      </w:pPr>
    </w:p>
    <w:p w14:paraId="1C6C4D05"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Price Update</w:t>
      </w:r>
    </w:p>
    <w:p w14:paraId="01D374D7"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Headline inflation eased to 15.45 per cent year-on-year in July 2026 from 15.91 per cent in June. Consumer prices nevertheless rose by 1.61 per cent over the month. Disinflation therefore represents a slower pace of price increases, not a decline in the overall cost of living.</w:t>
      </w:r>
    </w:p>
    <w:p w14:paraId="2835FC2D" w14:textId="77777777" w:rsidR="00845DC9" w:rsidRDefault="00845DC9">
      <w:pPr>
        <w:spacing w:line="276" w:lineRule="auto"/>
        <w:jc w:val="both"/>
        <w:rPr>
          <w:rFonts w:ascii="Calibri" w:hAnsi="Calibri" w:cs="Calibri"/>
          <w:sz w:val="22"/>
          <w:szCs w:val="22"/>
          <w:lang w:val="en-GB"/>
        </w:rPr>
      </w:pPr>
    </w:p>
    <w:p w14:paraId="3A181A4D" w14:textId="77777777" w:rsidR="00845DC9" w:rsidRDefault="00F25966">
      <w:pPr>
        <w:spacing w:after="160" w:line="276" w:lineRule="auto"/>
        <w:jc w:val="both"/>
        <w:rPr>
          <w:rFonts w:ascii="Calibri" w:hAnsi="Calibri" w:cs="Calibri"/>
          <w:i/>
          <w:iCs/>
          <w:color w:val="2F5496"/>
          <w:sz w:val="20"/>
          <w:szCs w:val="18"/>
          <w:lang w:val="en-GB"/>
        </w:rPr>
      </w:pPr>
      <w:r>
        <w:rPr>
          <w:rFonts w:ascii="Calibri" w:hAnsi="Calibri" w:cs="Calibri"/>
          <w:i/>
          <w:iCs/>
          <w:color w:val="2F5496"/>
          <w:sz w:val="20"/>
          <w:szCs w:val="18"/>
          <w:lang w:val="en-GB"/>
        </w:rPr>
        <w:t>Figure 5: Nigeria Headline Inflation and CAPE August 2026 Forecast (Jun. 2025–Aug. 2026)</w:t>
      </w:r>
    </w:p>
    <w:p w14:paraId="49B5BF2F" w14:textId="77777777" w:rsidR="00845DC9" w:rsidRDefault="00F25966">
      <w:pPr>
        <w:spacing w:line="276" w:lineRule="auto"/>
        <w:jc w:val="both"/>
        <w:rPr>
          <w:rFonts w:ascii="Calibri" w:hAnsi="Calibri" w:cs="Calibri"/>
          <w:lang w:val="en-GB"/>
        </w:rPr>
      </w:pPr>
      <w:r>
        <w:rPr>
          <w:rFonts w:ascii="Calibri" w:hAnsi="Calibri" w:cs="Calibri"/>
          <w:noProof/>
          <w:lang w:val="en-US" w:eastAsia="en-US"/>
        </w:rPr>
        <w:drawing>
          <wp:inline distT="0" distB="0" distL="114300" distR="114300" wp14:anchorId="1871F70E" wp14:editId="671F81A4">
            <wp:extent cx="3136900" cy="1971040"/>
            <wp:effectExtent l="0" t="0" r="0" b="10160"/>
            <wp:docPr id="15" name="Picture 15" descr="ChatGPT Image Aug 8, 2026, 03_42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ug 8, 2026, 03_42_33 AM"/>
                    <pic:cNvPicPr>
                      <a:picLocks noChangeAspect="1"/>
                    </pic:cNvPicPr>
                  </pic:nvPicPr>
                  <pic:blipFill>
                    <a:blip r:embed="rId16"/>
                    <a:stretch>
                      <a:fillRect/>
                    </a:stretch>
                  </pic:blipFill>
                  <pic:spPr>
                    <a:xfrm>
                      <a:off x="0" y="0"/>
                      <a:ext cx="3136900" cy="1971040"/>
                    </a:xfrm>
                    <a:prstGeom prst="rect">
                      <a:avLst/>
                    </a:prstGeom>
                  </pic:spPr>
                </pic:pic>
              </a:graphicData>
            </a:graphic>
          </wp:inline>
        </w:drawing>
      </w:r>
    </w:p>
    <w:p w14:paraId="5C74454A" w14:textId="77777777" w:rsidR="00845DC9" w:rsidRDefault="00F25966">
      <w:pPr>
        <w:spacing w:line="276" w:lineRule="auto"/>
        <w:jc w:val="both"/>
        <w:rPr>
          <w:rFonts w:ascii="Calibri" w:hAnsi="Calibri" w:cs="Calibri"/>
          <w:color w:val="2F5496"/>
          <w:sz w:val="18"/>
          <w:szCs w:val="16"/>
        </w:rPr>
      </w:pPr>
      <w:r>
        <w:rPr>
          <w:rFonts w:ascii="Calibri" w:hAnsi="Calibri" w:cs="Calibri"/>
          <w:color w:val="2F5496"/>
          <w:sz w:val="18"/>
          <w:szCs w:val="16"/>
        </w:rPr>
        <w:t>Source: National Bureau of Statistics (NBS) and CAPE Economic Research and Consulting</w:t>
      </w:r>
    </w:p>
    <w:p w14:paraId="73931234" w14:textId="77777777" w:rsidR="00845DC9" w:rsidRDefault="00845DC9">
      <w:pPr>
        <w:spacing w:line="276" w:lineRule="auto"/>
        <w:jc w:val="both"/>
        <w:rPr>
          <w:rFonts w:ascii="Calibri" w:hAnsi="Calibri" w:cs="Calibri"/>
          <w:sz w:val="22"/>
          <w:szCs w:val="22"/>
          <w:lang w:val="en-GB"/>
        </w:rPr>
      </w:pPr>
    </w:p>
    <w:p w14:paraId="6C2E4B6D"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Food inflation rose to 20.31 per cent year-on-year in July, with a monthly increase of 4.13 per cent, as lean-season pressures affected staple supplies. Core inflation eased to 14.97 per cent year-on-year and 0.64 per cent month-on-month. Food availability and distribution costs remain important risks to the near-term inflation outlook.</w:t>
      </w:r>
    </w:p>
    <w:p w14:paraId="47107C39" w14:textId="77777777" w:rsidR="00845DC9" w:rsidRDefault="00845DC9">
      <w:pPr>
        <w:spacing w:line="276" w:lineRule="auto"/>
        <w:jc w:val="both"/>
        <w:rPr>
          <w:rFonts w:ascii="Calibri" w:hAnsi="Calibri" w:cs="Calibri"/>
          <w:sz w:val="22"/>
          <w:szCs w:val="22"/>
          <w:lang w:val="en-GB"/>
        </w:rPr>
      </w:pPr>
    </w:p>
    <w:p w14:paraId="5E7A78A3"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Price Outlook</w:t>
      </w:r>
    </w:p>
    <w:p w14:paraId="1B72EE91" w14:textId="77777777" w:rsidR="00845DC9" w:rsidRDefault="00845DC9">
      <w:pPr>
        <w:spacing w:line="276" w:lineRule="auto"/>
        <w:jc w:val="both"/>
        <w:rPr>
          <w:rFonts w:ascii="Calibri" w:hAnsi="Calibri" w:cs="Calibri"/>
          <w:sz w:val="22"/>
          <w:szCs w:val="22"/>
          <w:lang w:val="en-GB"/>
        </w:rPr>
      </w:pPr>
    </w:p>
    <w:p w14:paraId="2336F2FD"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CAPE forecasts headline inflation of 15.40 per cent in August 2026, within a range of 14.98–15.51 per cent. This would represent a modest decline from July’s 15.45 per cent as early harvest supplies begin to ease food-price pressures. The expected improvement remains fragile: insecurity, transport costs and uneven harvest conditions could limit the relief to consumers. Continued monetary restraint and currency stability would support further disinflation.</w:t>
      </w:r>
    </w:p>
    <w:p w14:paraId="0E14A43D" w14:textId="77777777" w:rsidR="00845DC9" w:rsidRDefault="00845DC9">
      <w:pPr>
        <w:spacing w:after="160" w:line="276" w:lineRule="auto"/>
        <w:jc w:val="both"/>
        <w:rPr>
          <w:rFonts w:ascii="Calibri" w:hAnsi="Calibri" w:cs="Calibri"/>
          <w:sz w:val="22"/>
          <w:szCs w:val="22"/>
          <w:lang w:val="en-GB" w:eastAsia="en-US"/>
        </w:rPr>
      </w:pPr>
    </w:p>
    <w:p w14:paraId="48ED60D9"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Fiscal Operations Update</w:t>
      </w:r>
    </w:p>
    <w:p w14:paraId="55A93082"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Higher federation receipts increased the resources available to federal, state and local governments in August 2026. The improvement offers short-term fiscal relief, but its lasting value will depend on revenue stability and the quality of public spending.</w:t>
      </w:r>
    </w:p>
    <w:p w14:paraId="56B6D69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Federation Account Allocation Committee distributed ₦3.007 trillion from July revenue, compared with ₦2.551 trillion from June, an increase of about 17.9 per cent. Gross statutory revenue reached ₦4.359 trillion, while value-added tax receipts stood at ₦793.968 billion. Stronger statutory receipts accounted for most of the increase.</w:t>
      </w:r>
    </w:p>
    <w:p w14:paraId="3F539096"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6: Total Distributable Revenue (Jan.–Jul. 2026)</w:t>
      </w:r>
    </w:p>
    <w:p w14:paraId="03DE9EA4"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lang w:val="en-US" w:eastAsia="en-US"/>
        </w:rPr>
        <w:drawing>
          <wp:inline distT="0" distB="0" distL="114300" distR="114300" wp14:anchorId="3EBD5B34" wp14:editId="01609F94">
            <wp:extent cx="3208655" cy="1880235"/>
            <wp:effectExtent l="0" t="0" r="4445" b="1206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7"/>
                    <a:stretch>
                      <a:fillRect/>
                    </a:stretch>
                  </pic:blipFill>
                  <pic:spPr>
                    <a:xfrm>
                      <a:off x="0" y="0"/>
                      <a:ext cx="3208655" cy="1880235"/>
                    </a:xfrm>
                    <a:prstGeom prst="rect">
                      <a:avLst/>
                    </a:prstGeom>
                    <a:noFill/>
                    <a:ln>
                      <a:noFill/>
                    </a:ln>
                  </pic:spPr>
                </pic:pic>
              </a:graphicData>
            </a:graphic>
          </wp:inline>
        </w:drawing>
      </w:r>
    </w:p>
    <w:p w14:paraId="0E78AC62" w14:textId="77777777" w:rsidR="00845DC9" w:rsidRDefault="00F25966">
      <w:pPr>
        <w:spacing w:line="276" w:lineRule="auto"/>
        <w:jc w:val="both"/>
        <w:rPr>
          <w:rFonts w:ascii="Calibri" w:hAnsi="Calibri" w:cs="Calibri"/>
          <w:sz w:val="22"/>
          <w:szCs w:val="22"/>
          <w:lang w:val="en-GB" w:eastAsia="en-US"/>
        </w:rPr>
      </w:pPr>
      <w:r>
        <w:rPr>
          <w:rFonts w:ascii="Calibri" w:hAnsi="Calibri" w:cs="Calibri"/>
          <w:b/>
          <w:bCs/>
          <w:color w:val="2F5496"/>
          <w:sz w:val="18"/>
          <w:szCs w:val="16"/>
        </w:rPr>
        <w:t xml:space="preserve">Source: </w:t>
      </w:r>
      <w:r>
        <w:rPr>
          <w:rFonts w:ascii="Calibri" w:hAnsi="Calibri" w:cs="Calibri"/>
          <w:b/>
          <w:bCs/>
          <w:color w:val="2F5496"/>
          <w:sz w:val="18"/>
          <w:szCs w:val="16"/>
          <w:lang w:val="en-GB"/>
        </w:rPr>
        <w:t>FAAC</w:t>
      </w:r>
    </w:p>
    <w:p w14:paraId="4679E4EC"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Federal Government received ₦1.146 trillion, state governments ₦943.352 billion and local government councils ₦673.649 billion. Oil-producing states received a further ₦243.478 billion in derivation revenue.</w:t>
      </w:r>
    </w:p>
    <w:p w14:paraId="4D5009D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Larger transfers should ease immediate financing pressures, particularly at state and local levels. Sustained fiscal improvement will require stronger revenue collection, reliable oil production and disciplined spending. Saving part of higher receipts would help protect essential services when revenues weaken.</w:t>
      </w:r>
    </w:p>
    <w:p w14:paraId="1296BB0D" w14:textId="63F2FF57" w:rsidR="00845DC9" w:rsidRDefault="00845DC9">
      <w:pPr>
        <w:spacing w:after="160" w:line="276" w:lineRule="auto"/>
        <w:jc w:val="both"/>
        <w:rPr>
          <w:rFonts w:ascii="Calibri" w:hAnsi="Calibri" w:cs="Calibri"/>
          <w:sz w:val="22"/>
          <w:szCs w:val="22"/>
          <w:lang w:val="en-GB" w:eastAsia="en-US"/>
        </w:rPr>
      </w:pPr>
    </w:p>
    <w:p w14:paraId="7C3A8CCF" w14:textId="00D3036E" w:rsidR="004A00FD" w:rsidRDefault="004A00FD">
      <w:pPr>
        <w:spacing w:after="160" w:line="276" w:lineRule="auto"/>
        <w:jc w:val="both"/>
        <w:rPr>
          <w:rFonts w:ascii="Calibri" w:hAnsi="Calibri" w:cs="Calibri"/>
          <w:sz w:val="22"/>
          <w:szCs w:val="22"/>
          <w:lang w:val="en-GB" w:eastAsia="en-US"/>
        </w:rPr>
      </w:pPr>
    </w:p>
    <w:p w14:paraId="3A373F9E" w14:textId="77777777" w:rsidR="004A00FD" w:rsidRDefault="004A00FD">
      <w:pPr>
        <w:spacing w:after="160" w:line="276" w:lineRule="auto"/>
        <w:jc w:val="both"/>
        <w:rPr>
          <w:rFonts w:ascii="Calibri" w:hAnsi="Calibri" w:cs="Calibri"/>
          <w:sz w:val="22"/>
          <w:szCs w:val="22"/>
          <w:lang w:val="en-GB" w:eastAsia="en-US"/>
        </w:rPr>
      </w:pPr>
    </w:p>
    <w:p w14:paraId="3B92A6CF" w14:textId="77777777" w:rsidR="00845DC9" w:rsidRDefault="00F25966">
      <w:pPr>
        <w:pStyle w:val="Heading1"/>
        <w:spacing w:line="276" w:lineRule="auto"/>
        <w:rPr>
          <w:rFonts w:ascii="Calibri" w:hAnsi="Calibri" w:cs="Calibri"/>
          <w:color w:val="auto"/>
          <w:sz w:val="22"/>
          <w:szCs w:val="22"/>
          <w:lang w:val="en-GB"/>
        </w:rPr>
      </w:pPr>
      <w:r>
        <w:rPr>
          <w:rFonts w:ascii="Calibri" w:hAnsi="Calibri" w:cs="Calibri"/>
          <w:color w:val="auto"/>
          <w:lang w:val="en-GB"/>
        </w:rPr>
        <w:t>Conclusion</w:t>
      </w:r>
    </w:p>
    <w:p w14:paraId="041618D0" w14:textId="01C896F4"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Global growth remains positive, but energy shocks, trade uncertainty and high financing costs continue to pose risks. For Nigeria, the benefits of stronger export receipts must be balanced against exposure to imported inflation and volatile capital flows.</w:t>
      </w:r>
    </w:p>
    <w:p w14:paraId="5EC28D3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Nigeria enters September with stronger activity but persistent cost pressures. Real GDP growth accelerated to 4.43 per cent in Q2 2026. CAPE places Q3 2026 growth in an indicative 4.34–4.50 per cent range, subject to further assessment as the quarter progresses. Stronger federation receipts provide some fiscal relief, while headline inflation is expected to ease to 15.40 per cent in August. Sustaining the recovery will require improvements in security, food distribution, energy supply and the investment environment.</w:t>
      </w:r>
    </w:p>
    <w:bookmarkEnd w:id="1"/>
    <w:p w14:paraId="68B09D3F" w14:textId="77777777" w:rsidR="00845DC9" w:rsidRDefault="00F25966">
      <w:pPr>
        <w:pStyle w:val="Heading1"/>
        <w:spacing w:before="0" w:line="276" w:lineRule="auto"/>
        <w:rPr>
          <w:rFonts w:ascii="Calibri" w:hAnsi="Calibri" w:cs="Calibri"/>
          <w:color w:val="002060"/>
          <w:sz w:val="28"/>
          <w:szCs w:val="28"/>
          <w:lang w:val="en-GB"/>
        </w:rPr>
      </w:pPr>
      <w:r>
        <w:rPr>
          <w:rFonts w:ascii="Calibri" w:hAnsi="Calibri" w:cs="Calibri"/>
          <w:color w:val="002060"/>
          <w:sz w:val="28"/>
          <w:szCs w:val="28"/>
          <w:lang w:val="en-GB"/>
        </w:rPr>
        <w:br w:type="column"/>
        <w:t>Country in Focus – Republic of Somalia</w:t>
      </w:r>
    </w:p>
    <w:p w14:paraId="5A8D560C"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7: Economic Parameters for Republic of Somalia</w:t>
      </w:r>
    </w:p>
    <w:p w14:paraId="7B2AF43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sz w:val="22"/>
          <w:szCs w:val="22"/>
          <w:lang w:val="en-US" w:eastAsia="en-US"/>
        </w:rPr>
        <w:drawing>
          <wp:inline distT="0" distB="0" distL="0" distR="0" wp14:anchorId="72D6A164" wp14:editId="2EFA751D">
            <wp:extent cx="2828290" cy="160655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28290" cy="1606550"/>
                    </a:xfrm>
                    <a:prstGeom prst="rect">
                      <a:avLst/>
                    </a:prstGeom>
                    <a:noFill/>
                    <a:ln>
                      <a:noFill/>
                    </a:ln>
                  </pic:spPr>
                </pic:pic>
              </a:graphicData>
            </a:graphic>
          </wp:inline>
        </w:drawing>
      </w:r>
    </w:p>
    <w:p w14:paraId="39E86E86" w14:textId="77777777" w:rsidR="00845DC9" w:rsidRDefault="00F25966">
      <w:pPr>
        <w:spacing w:line="276" w:lineRule="auto"/>
        <w:jc w:val="both"/>
        <w:rPr>
          <w:rFonts w:ascii="Calibri" w:hAnsi="Calibri" w:cs="Calibri"/>
          <w:b/>
          <w:bCs/>
          <w:sz w:val="18"/>
          <w:szCs w:val="16"/>
        </w:rPr>
      </w:pPr>
      <w:r>
        <w:rPr>
          <w:rFonts w:ascii="Calibri" w:hAnsi="Calibri" w:cs="Calibri"/>
          <w:b/>
          <w:bCs/>
          <w:sz w:val="18"/>
          <w:szCs w:val="16"/>
        </w:rPr>
        <w:t>Source: CAPE Economic Research and Consulting, 202</w:t>
      </w:r>
      <w:bookmarkEnd w:id="0"/>
      <w:r>
        <w:rPr>
          <w:rFonts w:ascii="Calibri" w:hAnsi="Calibri" w:cs="Calibri"/>
          <w:b/>
          <w:bCs/>
          <w:sz w:val="18"/>
          <w:szCs w:val="16"/>
        </w:rPr>
        <w:t>5</w:t>
      </w:r>
    </w:p>
    <w:sectPr w:rsidR="00845DC9">
      <w:type w:val="continuous"/>
      <w:pgSz w:w="11906" w:h="16838"/>
      <w:pgMar w:top="1440" w:right="849"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22260" w14:textId="77777777" w:rsidR="00E20490" w:rsidRDefault="00E20490">
      <w:r>
        <w:separator/>
      </w:r>
    </w:p>
  </w:endnote>
  <w:endnote w:type="continuationSeparator" w:id="0">
    <w:p w14:paraId="41243227" w14:textId="77777777" w:rsidR="00E20490" w:rsidRDefault="00E20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等线 Ligh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4579A" w14:textId="06BFB65E" w:rsidR="00845DC9" w:rsidRDefault="00F25966">
    <w:pPr>
      <w:pStyle w:val="Footer"/>
      <w:jc w:val="right"/>
    </w:pPr>
    <w:r>
      <w:rPr>
        <w:noProof/>
        <w:lang w:val="en-US"/>
      </w:rPr>
      <mc:AlternateContent>
        <mc:Choice Requires="wps">
          <w:drawing>
            <wp:anchor distT="0" distB="0" distL="114300" distR="114300" simplePos="0" relativeHeight="251660288" behindDoc="0" locked="0" layoutInCell="0" allowOverlap="1" wp14:anchorId="2BAAFDCC" wp14:editId="59D75579">
              <wp:simplePos x="0" y="0"/>
              <wp:positionH relativeFrom="page">
                <wp:posOffset>0</wp:posOffset>
              </wp:positionH>
              <wp:positionV relativeFrom="page">
                <wp:posOffset>10234930</wp:posOffset>
              </wp:positionV>
              <wp:extent cx="7560310" cy="266700"/>
              <wp:effectExtent l="0" t="0" r="0" b="0"/>
              <wp:wrapNone/>
              <wp:docPr id="9" name="MSIPCMd16a41ba803e545d2be77ef0" descr="{&quot;HashCode&quot;:-104621025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wps:spPr>
                    <wps:txbx>
                      <w:txbxContent>
                        <w:p w14:paraId="34F6DF0B" w14:textId="77777777" w:rsidR="00845DC9" w:rsidRDefault="00F25966">
                          <w:pPr>
                            <w:rPr>
                              <w:rFonts w:ascii="Calibri" w:hAnsi="Calibri" w:cs="Calibri"/>
                              <w:color w:val="000000"/>
                              <w:sz w:val="16"/>
                            </w:rPr>
                          </w:pPr>
                          <w:r>
                            <w:rPr>
                              <w:rFonts w:ascii="Calibri" w:hAnsi="Calibri" w:cs="Calibri"/>
                              <w:color w:val="000000"/>
                              <w:sz w:val="16"/>
                            </w:rPr>
                            <w:t>Classified as Confidential</w:t>
                          </w:r>
                        </w:p>
                      </w:txbxContent>
                    </wps:txbx>
                    <wps:bodyPr rot="0" spcFirstLastPara="0" vertOverflow="overflow" horzOverflow="overflow" vert="horz" wrap="square" lIns="254000" tIns="0" rIns="91440" bIns="0" numCol="1" spcCol="0" rtlCol="0" fromWordArt="0" anchor="b" anchorCtr="0" forceAA="0" compatLnSpc="1">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BAAFDCC" id="_x0000_t202" coordsize="21600,21600" o:spt="202" path="m,l,21600r21600,l21600,xe">
              <v:stroke joinstyle="miter"/>
              <v:path gradientshapeok="t" o:connecttype="rect"/>
            </v:shapetype>
            <v:shape id="MSIPCMd16a41ba803e545d2be77ef0" o:spid="_x0000_s1026" type="#_x0000_t202" alt="{&quot;HashCode&quot;:-1046210256,&quot;Height&quot;:841.0,&quot;Width&quot;:595.0,&quot;Placement&quot;:&quot;Footer&quot;,&quot;Index&quot;:&quot;Primary&quot;,&quot;Section&quot;:1,&quot;Top&quot;:0.0,&quot;Left&quot;:0.0}" style="position:absolute;left:0;text-align:left;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" o:allowincell="f" filled="f" stroked="f" strokeweight=".5pt">
              <v:textbox inset="20pt,0,,0">
                <w:txbxContent>
                  <w:p w14:paraId="34F6DF0B" w14:textId="77777777" w:rsidR="00845DC9" w:rsidRDefault="00F25966">
                    <w:pPr>
                      <w:rPr>
                        <w:rFonts w:ascii="Calibri" w:hAnsi="Calibri" w:cs="Calibri"/>
                        <w:color w:val="000000"/>
                        <w:sz w:val="16"/>
                      </w:rPr>
                    </w:pPr>
                    <w:r>
                      <w:rPr>
                        <w:rFonts w:ascii="Calibri" w:hAnsi="Calibri" w:cs="Calibri"/>
                        <w:color w:val="000000"/>
                        <w:sz w:val="16"/>
                      </w:rPr>
                      <w:t>Classified as Confidential</w:t>
                    </w:r>
                  </w:p>
                </w:txbxContent>
              </v:textbox>
              <w10:wrap anchorx="page" anchory="page"/>
            </v:shape>
          </w:pict>
        </mc:Fallback>
      </mc:AlternateContent>
    </w:r>
    <w:sdt>
      <w:sdtPr>
        <w:id w:val="597304613"/>
        <w:docPartObj>
          <w:docPartGallery w:val="AutoText"/>
        </w:docPartObj>
      </w:sdtPr>
      <w:sdtEndPr/>
      <w:sdtContent>
        <w:r>
          <w:fldChar w:fldCharType="begin"/>
        </w:r>
        <w:r>
          <w:instrText xml:space="preserve"> PAGE   \* MERGEFORMAT </w:instrText>
        </w:r>
        <w:r>
          <w:fldChar w:fldCharType="separate"/>
        </w:r>
        <w:r w:rsidR="00A279C5">
          <w:rPr>
            <w:noProof/>
          </w:rPr>
          <w:t>8</w:t>
        </w:r>
        <w:r>
          <w:fldChar w:fldCharType="end"/>
        </w:r>
      </w:sdtContent>
    </w:sdt>
  </w:p>
  <w:p w14:paraId="5601A46F" w14:textId="77777777" w:rsidR="00845DC9" w:rsidRDefault="00845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7DE930" w14:textId="77777777" w:rsidR="00E20490" w:rsidRDefault="00E20490">
      <w:r>
        <w:separator/>
      </w:r>
    </w:p>
  </w:footnote>
  <w:footnote w:type="continuationSeparator" w:id="0">
    <w:p w14:paraId="6BBFE704" w14:textId="77777777" w:rsidR="00E20490" w:rsidRDefault="00E20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2D919" w14:textId="77777777" w:rsidR="00845DC9" w:rsidRDefault="00F25966">
    <w:pPr>
      <w:pStyle w:val="Header"/>
    </w:pPr>
    <w:r>
      <w:rPr>
        <w:noProof/>
        <w:lang w:val="en-US"/>
      </w:rPr>
      <mc:AlternateContent>
        <mc:Choice Requires="wps">
          <w:drawing>
            <wp:inline distT="0" distB="0" distL="0" distR="0" wp14:anchorId="21BC8A59" wp14:editId="59144907">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80D66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lang w:val="en-US"/>
      </w:rPr>
      <w:drawing>
        <wp:inline distT="0" distB="0" distL="0" distR="0" wp14:anchorId="7A42836E" wp14:editId="64B916C2">
          <wp:extent cx="2133600" cy="48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3600" cy="4889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977B08"/>
    <w:multiLevelType w:val="multilevel"/>
    <w:tmpl w:val="48977B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3C5"/>
    <w:rsid w:val="000021BA"/>
    <w:rsid w:val="00002520"/>
    <w:rsid w:val="000032D9"/>
    <w:rsid w:val="0000639C"/>
    <w:rsid w:val="000071CB"/>
    <w:rsid w:val="00012247"/>
    <w:rsid w:val="000127D5"/>
    <w:rsid w:val="00012F18"/>
    <w:rsid w:val="00015715"/>
    <w:rsid w:val="00017943"/>
    <w:rsid w:val="000179F3"/>
    <w:rsid w:val="00017B9A"/>
    <w:rsid w:val="000206BA"/>
    <w:rsid w:val="00022239"/>
    <w:rsid w:val="00022A70"/>
    <w:rsid w:val="0002335A"/>
    <w:rsid w:val="00024CDB"/>
    <w:rsid w:val="00024D40"/>
    <w:rsid w:val="0003028F"/>
    <w:rsid w:val="00030F93"/>
    <w:rsid w:val="00033AE8"/>
    <w:rsid w:val="000365F0"/>
    <w:rsid w:val="000373A3"/>
    <w:rsid w:val="0003766F"/>
    <w:rsid w:val="00040202"/>
    <w:rsid w:val="000421F7"/>
    <w:rsid w:val="0004388A"/>
    <w:rsid w:val="0004686A"/>
    <w:rsid w:val="00047737"/>
    <w:rsid w:val="00050F3B"/>
    <w:rsid w:val="000519E0"/>
    <w:rsid w:val="000565F6"/>
    <w:rsid w:val="0005701C"/>
    <w:rsid w:val="0006455A"/>
    <w:rsid w:val="0006479F"/>
    <w:rsid w:val="00065B6F"/>
    <w:rsid w:val="00065B93"/>
    <w:rsid w:val="00066913"/>
    <w:rsid w:val="00071DC1"/>
    <w:rsid w:val="000722B0"/>
    <w:rsid w:val="000755EB"/>
    <w:rsid w:val="000763C6"/>
    <w:rsid w:val="0008031E"/>
    <w:rsid w:val="00080B8E"/>
    <w:rsid w:val="00080D82"/>
    <w:rsid w:val="0008110A"/>
    <w:rsid w:val="00082B43"/>
    <w:rsid w:val="00082B52"/>
    <w:rsid w:val="00082DB9"/>
    <w:rsid w:val="0008366C"/>
    <w:rsid w:val="000837F0"/>
    <w:rsid w:val="00085B6A"/>
    <w:rsid w:val="00087AC3"/>
    <w:rsid w:val="00087C08"/>
    <w:rsid w:val="000928D2"/>
    <w:rsid w:val="00094ADB"/>
    <w:rsid w:val="00094EF3"/>
    <w:rsid w:val="00095C6B"/>
    <w:rsid w:val="00095F9F"/>
    <w:rsid w:val="0009732E"/>
    <w:rsid w:val="000A01F0"/>
    <w:rsid w:val="000A1234"/>
    <w:rsid w:val="000A1776"/>
    <w:rsid w:val="000A1FBF"/>
    <w:rsid w:val="000A2D21"/>
    <w:rsid w:val="000A36B5"/>
    <w:rsid w:val="000A4429"/>
    <w:rsid w:val="000B0167"/>
    <w:rsid w:val="000B09C7"/>
    <w:rsid w:val="000B19CC"/>
    <w:rsid w:val="000B1C15"/>
    <w:rsid w:val="000B1C4C"/>
    <w:rsid w:val="000B2248"/>
    <w:rsid w:val="000B3F96"/>
    <w:rsid w:val="000B42BE"/>
    <w:rsid w:val="000B4833"/>
    <w:rsid w:val="000B55FE"/>
    <w:rsid w:val="000B5F93"/>
    <w:rsid w:val="000B6D8E"/>
    <w:rsid w:val="000C005C"/>
    <w:rsid w:val="000C0B5F"/>
    <w:rsid w:val="000C1347"/>
    <w:rsid w:val="000C178E"/>
    <w:rsid w:val="000C2283"/>
    <w:rsid w:val="000C2C76"/>
    <w:rsid w:val="000C3625"/>
    <w:rsid w:val="000C4EDD"/>
    <w:rsid w:val="000C53A4"/>
    <w:rsid w:val="000C5EA0"/>
    <w:rsid w:val="000C6CE3"/>
    <w:rsid w:val="000C6F92"/>
    <w:rsid w:val="000C714A"/>
    <w:rsid w:val="000C7F96"/>
    <w:rsid w:val="000D44F7"/>
    <w:rsid w:val="000D464B"/>
    <w:rsid w:val="000D4967"/>
    <w:rsid w:val="000D5EE3"/>
    <w:rsid w:val="000D5FD6"/>
    <w:rsid w:val="000D72E6"/>
    <w:rsid w:val="000D7517"/>
    <w:rsid w:val="000E005B"/>
    <w:rsid w:val="000E18FF"/>
    <w:rsid w:val="000E3558"/>
    <w:rsid w:val="000E6431"/>
    <w:rsid w:val="000E6540"/>
    <w:rsid w:val="000E65E5"/>
    <w:rsid w:val="000E790A"/>
    <w:rsid w:val="000F03AC"/>
    <w:rsid w:val="000F0418"/>
    <w:rsid w:val="000F05F4"/>
    <w:rsid w:val="000F0B43"/>
    <w:rsid w:val="000F4807"/>
    <w:rsid w:val="000F6128"/>
    <w:rsid w:val="000F6F5C"/>
    <w:rsid w:val="000F7D8D"/>
    <w:rsid w:val="00102700"/>
    <w:rsid w:val="00103ACB"/>
    <w:rsid w:val="00103DF0"/>
    <w:rsid w:val="00104BD0"/>
    <w:rsid w:val="00105D4B"/>
    <w:rsid w:val="00107158"/>
    <w:rsid w:val="00107D8C"/>
    <w:rsid w:val="00112FCA"/>
    <w:rsid w:val="0011333C"/>
    <w:rsid w:val="00114F8F"/>
    <w:rsid w:val="001156A2"/>
    <w:rsid w:val="00117A34"/>
    <w:rsid w:val="00117D2E"/>
    <w:rsid w:val="001206B9"/>
    <w:rsid w:val="00121B50"/>
    <w:rsid w:val="001226A8"/>
    <w:rsid w:val="001228AD"/>
    <w:rsid w:val="001231C5"/>
    <w:rsid w:val="00123CC5"/>
    <w:rsid w:val="001253BF"/>
    <w:rsid w:val="00126B94"/>
    <w:rsid w:val="0012753D"/>
    <w:rsid w:val="001277AA"/>
    <w:rsid w:val="00130CED"/>
    <w:rsid w:val="00140043"/>
    <w:rsid w:val="0014022E"/>
    <w:rsid w:val="001404EA"/>
    <w:rsid w:val="00141443"/>
    <w:rsid w:val="00141D70"/>
    <w:rsid w:val="0014362E"/>
    <w:rsid w:val="00144632"/>
    <w:rsid w:val="0014700C"/>
    <w:rsid w:val="001476A7"/>
    <w:rsid w:val="0015489B"/>
    <w:rsid w:val="00154FE9"/>
    <w:rsid w:val="00155EDC"/>
    <w:rsid w:val="001566BE"/>
    <w:rsid w:val="001600C4"/>
    <w:rsid w:val="0016227C"/>
    <w:rsid w:val="0016272D"/>
    <w:rsid w:val="00162EBA"/>
    <w:rsid w:val="001630F1"/>
    <w:rsid w:val="0016492C"/>
    <w:rsid w:val="00164B53"/>
    <w:rsid w:val="00164ECA"/>
    <w:rsid w:val="00166407"/>
    <w:rsid w:val="00166E3F"/>
    <w:rsid w:val="00170BF9"/>
    <w:rsid w:val="00172BDB"/>
    <w:rsid w:val="00174006"/>
    <w:rsid w:val="001744DC"/>
    <w:rsid w:val="0017522D"/>
    <w:rsid w:val="00175D49"/>
    <w:rsid w:val="00180731"/>
    <w:rsid w:val="0018182B"/>
    <w:rsid w:val="00181926"/>
    <w:rsid w:val="001824B9"/>
    <w:rsid w:val="001837B2"/>
    <w:rsid w:val="00185205"/>
    <w:rsid w:val="00185549"/>
    <w:rsid w:val="001857E2"/>
    <w:rsid w:val="00187147"/>
    <w:rsid w:val="00190DFE"/>
    <w:rsid w:val="001911C3"/>
    <w:rsid w:val="00191EEF"/>
    <w:rsid w:val="0019353E"/>
    <w:rsid w:val="001945BD"/>
    <w:rsid w:val="00197655"/>
    <w:rsid w:val="001978FA"/>
    <w:rsid w:val="00197DC4"/>
    <w:rsid w:val="001A02C0"/>
    <w:rsid w:val="001A1E20"/>
    <w:rsid w:val="001A2433"/>
    <w:rsid w:val="001A355C"/>
    <w:rsid w:val="001A4337"/>
    <w:rsid w:val="001A6659"/>
    <w:rsid w:val="001A7088"/>
    <w:rsid w:val="001A7C13"/>
    <w:rsid w:val="001B1EEE"/>
    <w:rsid w:val="001B227F"/>
    <w:rsid w:val="001B2B0C"/>
    <w:rsid w:val="001B3625"/>
    <w:rsid w:val="001B59ED"/>
    <w:rsid w:val="001B5C0D"/>
    <w:rsid w:val="001B5DBE"/>
    <w:rsid w:val="001B607F"/>
    <w:rsid w:val="001B72CA"/>
    <w:rsid w:val="001C0BAB"/>
    <w:rsid w:val="001C0F7B"/>
    <w:rsid w:val="001C17C6"/>
    <w:rsid w:val="001C3D34"/>
    <w:rsid w:val="001C5151"/>
    <w:rsid w:val="001C5ED0"/>
    <w:rsid w:val="001C7954"/>
    <w:rsid w:val="001D0B2F"/>
    <w:rsid w:val="001D1018"/>
    <w:rsid w:val="001D1DCC"/>
    <w:rsid w:val="001D4073"/>
    <w:rsid w:val="001D4DCD"/>
    <w:rsid w:val="001D5A1C"/>
    <w:rsid w:val="001D7985"/>
    <w:rsid w:val="001E1801"/>
    <w:rsid w:val="001E4E95"/>
    <w:rsid w:val="001E591B"/>
    <w:rsid w:val="001E6A11"/>
    <w:rsid w:val="001E769D"/>
    <w:rsid w:val="001E7F22"/>
    <w:rsid w:val="001F0712"/>
    <w:rsid w:val="001F2947"/>
    <w:rsid w:val="001F38F2"/>
    <w:rsid w:val="001F3C76"/>
    <w:rsid w:val="001F3F8C"/>
    <w:rsid w:val="001F4AD0"/>
    <w:rsid w:val="001F699A"/>
    <w:rsid w:val="001F6D97"/>
    <w:rsid w:val="001F6FF4"/>
    <w:rsid w:val="001F79CB"/>
    <w:rsid w:val="00203B3B"/>
    <w:rsid w:val="0020447B"/>
    <w:rsid w:val="002053C2"/>
    <w:rsid w:val="00206B53"/>
    <w:rsid w:val="002110B5"/>
    <w:rsid w:val="00212E42"/>
    <w:rsid w:val="00212E9B"/>
    <w:rsid w:val="002154C1"/>
    <w:rsid w:val="00217C05"/>
    <w:rsid w:val="002207FE"/>
    <w:rsid w:val="00220F01"/>
    <w:rsid w:val="0022129A"/>
    <w:rsid w:val="002248EA"/>
    <w:rsid w:val="00227A69"/>
    <w:rsid w:val="00227E26"/>
    <w:rsid w:val="002307E4"/>
    <w:rsid w:val="00230AC9"/>
    <w:rsid w:val="00232F8C"/>
    <w:rsid w:val="002346CB"/>
    <w:rsid w:val="002347C8"/>
    <w:rsid w:val="002355CC"/>
    <w:rsid w:val="00235793"/>
    <w:rsid w:val="00235B53"/>
    <w:rsid w:val="002379F4"/>
    <w:rsid w:val="00237DFC"/>
    <w:rsid w:val="0024320A"/>
    <w:rsid w:val="00245A2A"/>
    <w:rsid w:val="00245D3A"/>
    <w:rsid w:val="00245EB3"/>
    <w:rsid w:val="00245FEF"/>
    <w:rsid w:val="00247DA1"/>
    <w:rsid w:val="00250658"/>
    <w:rsid w:val="0025173C"/>
    <w:rsid w:val="0025657A"/>
    <w:rsid w:val="00256D25"/>
    <w:rsid w:val="00256FFA"/>
    <w:rsid w:val="00257E16"/>
    <w:rsid w:val="00260300"/>
    <w:rsid w:val="002618E5"/>
    <w:rsid w:val="0026353B"/>
    <w:rsid w:val="0026438B"/>
    <w:rsid w:val="0026580C"/>
    <w:rsid w:val="002678D6"/>
    <w:rsid w:val="00267EAC"/>
    <w:rsid w:val="00267FB0"/>
    <w:rsid w:val="00270D61"/>
    <w:rsid w:val="00271056"/>
    <w:rsid w:val="002721A8"/>
    <w:rsid w:val="00275F83"/>
    <w:rsid w:val="002764E3"/>
    <w:rsid w:val="00276AE4"/>
    <w:rsid w:val="002776C2"/>
    <w:rsid w:val="002801B9"/>
    <w:rsid w:val="00282EB1"/>
    <w:rsid w:val="00283C0A"/>
    <w:rsid w:val="00284941"/>
    <w:rsid w:val="00285978"/>
    <w:rsid w:val="00286AA0"/>
    <w:rsid w:val="00286F5A"/>
    <w:rsid w:val="00287023"/>
    <w:rsid w:val="00290B76"/>
    <w:rsid w:val="00290B88"/>
    <w:rsid w:val="002920FD"/>
    <w:rsid w:val="0029212C"/>
    <w:rsid w:val="0029261E"/>
    <w:rsid w:val="002932DF"/>
    <w:rsid w:val="00293369"/>
    <w:rsid w:val="00293590"/>
    <w:rsid w:val="00297924"/>
    <w:rsid w:val="002A019B"/>
    <w:rsid w:val="002A213C"/>
    <w:rsid w:val="002A27D4"/>
    <w:rsid w:val="002A4212"/>
    <w:rsid w:val="002A482E"/>
    <w:rsid w:val="002A56DB"/>
    <w:rsid w:val="002A59F7"/>
    <w:rsid w:val="002A66AF"/>
    <w:rsid w:val="002A721C"/>
    <w:rsid w:val="002A77D9"/>
    <w:rsid w:val="002B119C"/>
    <w:rsid w:val="002B16BD"/>
    <w:rsid w:val="002B1D34"/>
    <w:rsid w:val="002B298F"/>
    <w:rsid w:val="002B3CA0"/>
    <w:rsid w:val="002B632F"/>
    <w:rsid w:val="002B7C7E"/>
    <w:rsid w:val="002C0906"/>
    <w:rsid w:val="002C1EBF"/>
    <w:rsid w:val="002C2800"/>
    <w:rsid w:val="002C2E7C"/>
    <w:rsid w:val="002C413F"/>
    <w:rsid w:val="002C4670"/>
    <w:rsid w:val="002C49F7"/>
    <w:rsid w:val="002C50A0"/>
    <w:rsid w:val="002C52D2"/>
    <w:rsid w:val="002C5478"/>
    <w:rsid w:val="002C5543"/>
    <w:rsid w:val="002C55B9"/>
    <w:rsid w:val="002C5877"/>
    <w:rsid w:val="002C7D3A"/>
    <w:rsid w:val="002D0727"/>
    <w:rsid w:val="002D1E7F"/>
    <w:rsid w:val="002D2265"/>
    <w:rsid w:val="002D3B56"/>
    <w:rsid w:val="002D533C"/>
    <w:rsid w:val="002D5E14"/>
    <w:rsid w:val="002E08BB"/>
    <w:rsid w:val="002E0F92"/>
    <w:rsid w:val="002E2189"/>
    <w:rsid w:val="002E46AC"/>
    <w:rsid w:val="002E5F36"/>
    <w:rsid w:val="002E6784"/>
    <w:rsid w:val="002F1B9E"/>
    <w:rsid w:val="002F1DCE"/>
    <w:rsid w:val="002F3132"/>
    <w:rsid w:val="002F338B"/>
    <w:rsid w:val="002F5637"/>
    <w:rsid w:val="002F618B"/>
    <w:rsid w:val="002F6BCC"/>
    <w:rsid w:val="002F71FE"/>
    <w:rsid w:val="002F764D"/>
    <w:rsid w:val="0030010B"/>
    <w:rsid w:val="0030127A"/>
    <w:rsid w:val="0030262D"/>
    <w:rsid w:val="0030359A"/>
    <w:rsid w:val="003037B2"/>
    <w:rsid w:val="003038AE"/>
    <w:rsid w:val="003039DE"/>
    <w:rsid w:val="00303C81"/>
    <w:rsid w:val="003051E0"/>
    <w:rsid w:val="00306C3A"/>
    <w:rsid w:val="003118D1"/>
    <w:rsid w:val="0031324F"/>
    <w:rsid w:val="003139A0"/>
    <w:rsid w:val="00316632"/>
    <w:rsid w:val="0031763F"/>
    <w:rsid w:val="00317F73"/>
    <w:rsid w:val="00320A80"/>
    <w:rsid w:val="00320AEB"/>
    <w:rsid w:val="00320E5A"/>
    <w:rsid w:val="00321C32"/>
    <w:rsid w:val="00322CF4"/>
    <w:rsid w:val="00323F57"/>
    <w:rsid w:val="00325B6C"/>
    <w:rsid w:val="00326541"/>
    <w:rsid w:val="00326BD5"/>
    <w:rsid w:val="00327098"/>
    <w:rsid w:val="00327658"/>
    <w:rsid w:val="003279AB"/>
    <w:rsid w:val="00330FB7"/>
    <w:rsid w:val="0033137E"/>
    <w:rsid w:val="003327BB"/>
    <w:rsid w:val="00332F9B"/>
    <w:rsid w:val="003330CD"/>
    <w:rsid w:val="003352A5"/>
    <w:rsid w:val="00335C0D"/>
    <w:rsid w:val="003369BF"/>
    <w:rsid w:val="00336FFF"/>
    <w:rsid w:val="0033778E"/>
    <w:rsid w:val="00337AF3"/>
    <w:rsid w:val="003400D8"/>
    <w:rsid w:val="00340B1C"/>
    <w:rsid w:val="00342A79"/>
    <w:rsid w:val="00343491"/>
    <w:rsid w:val="0034350E"/>
    <w:rsid w:val="0034353F"/>
    <w:rsid w:val="00344145"/>
    <w:rsid w:val="003449DB"/>
    <w:rsid w:val="00344EF4"/>
    <w:rsid w:val="0034509A"/>
    <w:rsid w:val="00345A73"/>
    <w:rsid w:val="003466C6"/>
    <w:rsid w:val="00347CB7"/>
    <w:rsid w:val="00350B77"/>
    <w:rsid w:val="00351BB4"/>
    <w:rsid w:val="00353DAF"/>
    <w:rsid w:val="00353EA6"/>
    <w:rsid w:val="0035446C"/>
    <w:rsid w:val="00354BD4"/>
    <w:rsid w:val="00361042"/>
    <w:rsid w:val="003618DF"/>
    <w:rsid w:val="003649F2"/>
    <w:rsid w:val="00364A89"/>
    <w:rsid w:val="00364AD1"/>
    <w:rsid w:val="00365C75"/>
    <w:rsid w:val="0036689A"/>
    <w:rsid w:val="003671B4"/>
    <w:rsid w:val="00372123"/>
    <w:rsid w:val="00372E50"/>
    <w:rsid w:val="00375887"/>
    <w:rsid w:val="00375A16"/>
    <w:rsid w:val="00375B46"/>
    <w:rsid w:val="00375B5D"/>
    <w:rsid w:val="00375D51"/>
    <w:rsid w:val="00376602"/>
    <w:rsid w:val="00380917"/>
    <w:rsid w:val="003823B3"/>
    <w:rsid w:val="003869AC"/>
    <w:rsid w:val="00386E1E"/>
    <w:rsid w:val="00386F48"/>
    <w:rsid w:val="003900F2"/>
    <w:rsid w:val="0039107C"/>
    <w:rsid w:val="00392274"/>
    <w:rsid w:val="0039273A"/>
    <w:rsid w:val="00392B13"/>
    <w:rsid w:val="003930D3"/>
    <w:rsid w:val="00394722"/>
    <w:rsid w:val="00395CC8"/>
    <w:rsid w:val="00396791"/>
    <w:rsid w:val="00397660"/>
    <w:rsid w:val="003A00DF"/>
    <w:rsid w:val="003A2F10"/>
    <w:rsid w:val="003A2F3E"/>
    <w:rsid w:val="003A33B3"/>
    <w:rsid w:val="003A4F60"/>
    <w:rsid w:val="003B2554"/>
    <w:rsid w:val="003B271D"/>
    <w:rsid w:val="003B29E0"/>
    <w:rsid w:val="003B516E"/>
    <w:rsid w:val="003B51D6"/>
    <w:rsid w:val="003B52D5"/>
    <w:rsid w:val="003B73C3"/>
    <w:rsid w:val="003B7558"/>
    <w:rsid w:val="003C0CF7"/>
    <w:rsid w:val="003C1622"/>
    <w:rsid w:val="003C1CE9"/>
    <w:rsid w:val="003C2C1D"/>
    <w:rsid w:val="003C2C39"/>
    <w:rsid w:val="003C4A53"/>
    <w:rsid w:val="003C5796"/>
    <w:rsid w:val="003C7842"/>
    <w:rsid w:val="003C7850"/>
    <w:rsid w:val="003D0719"/>
    <w:rsid w:val="003D1357"/>
    <w:rsid w:val="003D28B3"/>
    <w:rsid w:val="003D2AC8"/>
    <w:rsid w:val="003D3208"/>
    <w:rsid w:val="003D366C"/>
    <w:rsid w:val="003D38D3"/>
    <w:rsid w:val="003D3A57"/>
    <w:rsid w:val="003D3DBF"/>
    <w:rsid w:val="003D4B8E"/>
    <w:rsid w:val="003D50F3"/>
    <w:rsid w:val="003D5A2A"/>
    <w:rsid w:val="003E139A"/>
    <w:rsid w:val="003E3931"/>
    <w:rsid w:val="003E4A85"/>
    <w:rsid w:val="003E5B70"/>
    <w:rsid w:val="003F10DA"/>
    <w:rsid w:val="003F11FE"/>
    <w:rsid w:val="003F27F5"/>
    <w:rsid w:val="003F2843"/>
    <w:rsid w:val="003F364E"/>
    <w:rsid w:val="003F3E4B"/>
    <w:rsid w:val="003F4974"/>
    <w:rsid w:val="003F4A72"/>
    <w:rsid w:val="003F4D75"/>
    <w:rsid w:val="003F7226"/>
    <w:rsid w:val="004000C2"/>
    <w:rsid w:val="0040091F"/>
    <w:rsid w:val="0040099A"/>
    <w:rsid w:val="00401D0F"/>
    <w:rsid w:val="0040201F"/>
    <w:rsid w:val="004021A4"/>
    <w:rsid w:val="004033AC"/>
    <w:rsid w:val="00403DA0"/>
    <w:rsid w:val="00404AA8"/>
    <w:rsid w:val="00407CDD"/>
    <w:rsid w:val="004107F4"/>
    <w:rsid w:val="00411067"/>
    <w:rsid w:val="0041198A"/>
    <w:rsid w:val="00411AC0"/>
    <w:rsid w:val="00411E79"/>
    <w:rsid w:val="004144B1"/>
    <w:rsid w:val="00414EAE"/>
    <w:rsid w:val="00415141"/>
    <w:rsid w:val="004172B6"/>
    <w:rsid w:val="004178A2"/>
    <w:rsid w:val="00417927"/>
    <w:rsid w:val="004202F8"/>
    <w:rsid w:val="00421ABF"/>
    <w:rsid w:val="004234A0"/>
    <w:rsid w:val="00424A2A"/>
    <w:rsid w:val="00424DE8"/>
    <w:rsid w:val="0043048D"/>
    <w:rsid w:val="00430D7B"/>
    <w:rsid w:val="0043222E"/>
    <w:rsid w:val="004334C9"/>
    <w:rsid w:val="00433519"/>
    <w:rsid w:val="004338D9"/>
    <w:rsid w:val="00433DEC"/>
    <w:rsid w:val="00434ACC"/>
    <w:rsid w:val="00435CE1"/>
    <w:rsid w:val="004366DD"/>
    <w:rsid w:val="0043676F"/>
    <w:rsid w:val="0044094F"/>
    <w:rsid w:val="00440CA4"/>
    <w:rsid w:val="00441F5D"/>
    <w:rsid w:val="00443047"/>
    <w:rsid w:val="00443440"/>
    <w:rsid w:val="004440B0"/>
    <w:rsid w:val="00444B5F"/>
    <w:rsid w:val="00445147"/>
    <w:rsid w:val="00445D9F"/>
    <w:rsid w:val="00446AC6"/>
    <w:rsid w:val="004475FB"/>
    <w:rsid w:val="00447C24"/>
    <w:rsid w:val="00453D3B"/>
    <w:rsid w:val="00453F0D"/>
    <w:rsid w:val="0045426B"/>
    <w:rsid w:val="00455B90"/>
    <w:rsid w:val="00456526"/>
    <w:rsid w:val="00457DA2"/>
    <w:rsid w:val="00462DEA"/>
    <w:rsid w:val="00463425"/>
    <w:rsid w:val="00465A09"/>
    <w:rsid w:val="00466DDC"/>
    <w:rsid w:val="004719CE"/>
    <w:rsid w:val="00472165"/>
    <w:rsid w:val="0047259F"/>
    <w:rsid w:val="00473003"/>
    <w:rsid w:val="00475B03"/>
    <w:rsid w:val="00477098"/>
    <w:rsid w:val="00477C1E"/>
    <w:rsid w:val="00482F46"/>
    <w:rsid w:val="004830AE"/>
    <w:rsid w:val="00483D1E"/>
    <w:rsid w:val="004841BC"/>
    <w:rsid w:val="00487E1F"/>
    <w:rsid w:val="004912B7"/>
    <w:rsid w:val="004916D2"/>
    <w:rsid w:val="00491B85"/>
    <w:rsid w:val="00491D1B"/>
    <w:rsid w:val="00492E69"/>
    <w:rsid w:val="0049492A"/>
    <w:rsid w:val="004A00FD"/>
    <w:rsid w:val="004A36B7"/>
    <w:rsid w:val="004A573F"/>
    <w:rsid w:val="004B0C10"/>
    <w:rsid w:val="004B0CB0"/>
    <w:rsid w:val="004B0CFE"/>
    <w:rsid w:val="004B21A4"/>
    <w:rsid w:val="004B35B7"/>
    <w:rsid w:val="004B3AA5"/>
    <w:rsid w:val="004B58E1"/>
    <w:rsid w:val="004B7AF1"/>
    <w:rsid w:val="004C0579"/>
    <w:rsid w:val="004C1F57"/>
    <w:rsid w:val="004C406D"/>
    <w:rsid w:val="004C5A86"/>
    <w:rsid w:val="004C5E1C"/>
    <w:rsid w:val="004C5E34"/>
    <w:rsid w:val="004C7634"/>
    <w:rsid w:val="004C767D"/>
    <w:rsid w:val="004D1EFD"/>
    <w:rsid w:val="004D21C9"/>
    <w:rsid w:val="004D32E3"/>
    <w:rsid w:val="004D3D57"/>
    <w:rsid w:val="004D4DD1"/>
    <w:rsid w:val="004E021F"/>
    <w:rsid w:val="004E1593"/>
    <w:rsid w:val="004E17E0"/>
    <w:rsid w:val="004E2053"/>
    <w:rsid w:val="004E2A70"/>
    <w:rsid w:val="004E349D"/>
    <w:rsid w:val="004E35FA"/>
    <w:rsid w:val="004E4369"/>
    <w:rsid w:val="004E55AE"/>
    <w:rsid w:val="004E5E64"/>
    <w:rsid w:val="004E60E8"/>
    <w:rsid w:val="004E6E35"/>
    <w:rsid w:val="004E709A"/>
    <w:rsid w:val="004E79CF"/>
    <w:rsid w:val="004F047D"/>
    <w:rsid w:val="004F1A51"/>
    <w:rsid w:val="004F23D4"/>
    <w:rsid w:val="004F3ABE"/>
    <w:rsid w:val="004F4364"/>
    <w:rsid w:val="00500393"/>
    <w:rsid w:val="005010D6"/>
    <w:rsid w:val="005034EA"/>
    <w:rsid w:val="005059FC"/>
    <w:rsid w:val="005069E0"/>
    <w:rsid w:val="005077E4"/>
    <w:rsid w:val="0050783A"/>
    <w:rsid w:val="00507851"/>
    <w:rsid w:val="00507BB0"/>
    <w:rsid w:val="005111FB"/>
    <w:rsid w:val="005114F7"/>
    <w:rsid w:val="00512F09"/>
    <w:rsid w:val="00515BEB"/>
    <w:rsid w:val="005177CC"/>
    <w:rsid w:val="00520192"/>
    <w:rsid w:val="00521219"/>
    <w:rsid w:val="00521B4D"/>
    <w:rsid w:val="0052271E"/>
    <w:rsid w:val="00523D10"/>
    <w:rsid w:val="00525C2D"/>
    <w:rsid w:val="00525F38"/>
    <w:rsid w:val="00530E75"/>
    <w:rsid w:val="00530EA4"/>
    <w:rsid w:val="00532D32"/>
    <w:rsid w:val="00534145"/>
    <w:rsid w:val="005342CE"/>
    <w:rsid w:val="0053431B"/>
    <w:rsid w:val="005347B4"/>
    <w:rsid w:val="00534B3C"/>
    <w:rsid w:val="00534F79"/>
    <w:rsid w:val="0053653B"/>
    <w:rsid w:val="00537727"/>
    <w:rsid w:val="00537A2F"/>
    <w:rsid w:val="00540A85"/>
    <w:rsid w:val="00541566"/>
    <w:rsid w:val="0054205D"/>
    <w:rsid w:val="00544764"/>
    <w:rsid w:val="005453DC"/>
    <w:rsid w:val="00545D91"/>
    <w:rsid w:val="00545DBB"/>
    <w:rsid w:val="005461C9"/>
    <w:rsid w:val="00546886"/>
    <w:rsid w:val="005472A4"/>
    <w:rsid w:val="00547C57"/>
    <w:rsid w:val="00551DC9"/>
    <w:rsid w:val="00552D8D"/>
    <w:rsid w:val="00553AF0"/>
    <w:rsid w:val="00555B43"/>
    <w:rsid w:val="00556406"/>
    <w:rsid w:val="0055656C"/>
    <w:rsid w:val="00557B17"/>
    <w:rsid w:val="005606C8"/>
    <w:rsid w:val="00561A14"/>
    <w:rsid w:val="00563527"/>
    <w:rsid w:val="005635E3"/>
    <w:rsid w:val="00563E00"/>
    <w:rsid w:val="00564396"/>
    <w:rsid w:val="005646E4"/>
    <w:rsid w:val="005704C0"/>
    <w:rsid w:val="005735CB"/>
    <w:rsid w:val="00574983"/>
    <w:rsid w:val="00575AB9"/>
    <w:rsid w:val="00575B6F"/>
    <w:rsid w:val="00576367"/>
    <w:rsid w:val="005769E9"/>
    <w:rsid w:val="00576A70"/>
    <w:rsid w:val="00576AAC"/>
    <w:rsid w:val="00577477"/>
    <w:rsid w:val="0057766A"/>
    <w:rsid w:val="0058004C"/>
    <w:rsid w:val="00580A52"/>
    <w:rsid w:val="00583EEB"/>
    <w:rsid w:val="005843BA"/>
    <w:rsid w:val="005850BE"/>
    <w:rsid w:val="00590D9B"/>
    <w:rsid w:val="005917F3"/>
    <w:rsid w:val="00593DAD"/>
    <w:rsid w:val="00594753"/>
    <w:rsid w:val="005959A5"/>
    <w:rsid w:val="00596B51"/>
    <w:rsid w:val="005A02DD"/>
    <w:rsid w:val="005A123E"/>
    <w:rsid w:val="005A3A2B"/>
    <w:rsid w:val="005A4287"/>
    <w:rsid w:val="005A5221"/>
    <w:rsid w:val="005A5F29"/>
    <w:rsid w:val="005A6790"/>
    <w:rsid w:val="005A7206"/>
    <w:rsid w:val="005A7673"/>
    <w:rsid w:val="005A7FF8"/>
    <w:rsid w:val="005B07EB"/>
    <w:rsid w:val="005B23E8"/>
    <w:rsid w:val="005B2976"/>
    <w:rsid w:val="005B3411"/>
    <w:rsid w:val="005B3E29"/>
    <w:rsid w:val="005B49D1"/>
    <w:rsid w:val="005B5398"/>
    <w:rsid w:val="005B595A"/>
    <w:rsid w:val="005B7526"/>
    <w:rsid w:val="005B7A5B"/>
    <w:rsid w:val="005C175F"/>
    <w:rsid w:val="005C1AB4"/>
    <w:rsid w:val="005C3929"/>
    <w:rsid w:val="005C4168"/>
    <w:rsid w:val="005C4225"/>
    <w:rsid w:val="005C4588"/>
    <w:rsid w:val="005C6A58"/>
    <w:rsid w:val="005D1AFC"/>
    <w:rsid w:val="005D3546"/>
    <w:rsid w:val="005D6166"/>
    <w:rsid w:val="005D78D0"/>
    <w:rsid w:val="005E0C34"/>
    <w:rsid w:val="005E0E03"/>
    <w:rsid w:val="005E1C9F"/>
    <w:rsid w:val="005E2A84"/>
    <w:rsid w:val="005E63CB"/>
    <w:rsid w:val="005E64A8"/>
    <w:rsid w:val="005E6CCD"/>
    <w:rsid w:val="005F0F98"/>
    <w:rsid w:val="005F3654"/>
    <w:rsid w:val="005F4726"/>
    <w:rsid w:val="005F51E7"/>
    <w:rsid w:val="00600A4C"/>
    <w:rsid w:val="00600D96"/>
    <w:rsid w:val="00601371"/>
    <w:rsid w:val="00601557"/>
    <w:rsid w:val="00603354"/>
    <w:rsid w:val="00606C55"/>
    <w:rsid w:val="0061099B"/>
    <w:rsid w:val="00610E71"/>
    <w:rsid w:val="00611633"/>
    <w:rsid w:val="006129FD"/>
    <w:rsid w:val="00612A47"/>
    <w:rsid w:val="0061337D"/>
    <w:rsid w:val="006134BB"/>
    <w:rsid w:val="006140FF"/>
    <w:rsid w:val="0061493F"/>
    <w:rsid w:val="006167DF"/>
    <w:rsid w:val="00616FD1"/>
    <w:rsid w:val="0062129B"/>
    <w:rsid w:val="00622704"/>
    <w:rsid w:val="00622F50"/>
    <w:rsid w:val="00624257"/>
    <w:rsid w:val="00624736"/>
    <w:rsid w:val="006254DD"/>
    <w:rsid w:val="006259FF"/>
    <w:rsid w:val="00626D59"/>
    <w:rsid w:val="00627461"/>
    <w:rsid w:val="006277CB"/>
    <w:rsid w:val="00627E1F"/>
    <w:rsid w:val="00631C34"/>
    <w:rsid w:val="00631F20"/>
    <w:rsid w:val="00632A34"/>
    <w:rsid w:val="00633052"/>
    <w:rsid w:val="0063459F"/>
    <w:rsid w:val="00634635"/>
    <w:rsid w:val="00634D01"/>
    <w:rsid w:val="0063681D"/>
    <w:rsid w:val="00636F00"/>
    <w:rsid w:val="00637A7A"/>
    <w:rsid w:val="006410EB"/>
    <w:rsid w:val="00645A84"/>
    <w:rsid w:val="00645CD3"/>
    <w:rsid w:val="0064744E"/>
    <w:rsid w:val="00647FAE"/>
    <w:rsid w:val="006503B6"/>
    <w:rsid w:val="00652D65"/>
    <w:rsid w:val="00652FE1"/>
    <w:rsid w:val="00655182"/>
    <w:rsid w:val="00655E40"/>
    <w:rsid w:val="00656229"/>
    <w:rsid w:val="006563B9"/>
    <w:rsid w:val="0065641A"/>
    <w:rsid w:val="00657D96"/>
    <w:rsid w:val="006609F4"/>
    <w:rsid w:val="00664395"/>
    <w:rsid w:val="006648C9"/>
    <w:rsid w:val="006679D0"/>
    <w:rsid w:val="006722E1"/>
    <w:rsid w:val="006726CA"/>
    <w:rsid w:val="00673208"/>
    <w:rsid w:val="0067492D"/>
    <w:rsid w:val="00674D2D"/>
    <w:rsid w:val="00676812"/>
    <w:rsid w:val="006819DC"/>
    <w:rsid w:val="00681EE4"/>
    <w:rsid w:val="006841A5"/>
    <w:rsid w:val="0068496A"/>
    <w:rsid w:val="00684FE5"/>
    <w:rsid w:val="00686FDD"/>
    <w:rsid w:val="00691AC7"/>
    <w:rsid w:val="0069355B"/>
    <w:rsid w:val="00695CFF"/>
    <w:rsid w:val="00697FC9"/>
    <w:rsid w:val="006A007F"/>
    <w:rsid w:val="006A0E79"/>
    <w:rsid w:val="006A10EC"/>
    <w:rsid w:val="006A22B2"/>
    <w:rsid w:val="006A3071"/>
    <w:rsid w:val="006A38D9"/>
    <w:rsid w:val="006A4ED9"/>
    <w:rsid w:val="006A53F3"/>
    <w:rsid w:val="006A647A"/>
    <w:rsid w:val="006A68B5"/>
    <w:rsid w:val="006A7139"/>
    <w:rsid w:val="006B0118"/>
    <w:rsid w:val="006B02F2"/>
    <w:rsid w:val="006B0589"/>
    <w:rsid w:val="006B0ACD"/>
    <w:rsid w:val="006B1AF4"/>
    <w:rsid w:val="006B2E0B"/>
    <w:rsid w:val="006B38D8"/>
    <w:rsid w:val="006B5396"/>
    <w:rsid w:val="006B5BBC"/>
    <w:rsid w:val="006B5CE9"/>
    <w:rsid w:val="006B5F9A"/>
    <w:rsid w:val="006B6113"/>
    <w:rsid w:val="006B7179"/>
    <w:rsid w:val="006B7197"/>
    <w:rsid w:val="006B7D5F"/>
    <w:rsid w:val="006B7F06"/>
    <w:rsid w:val="006C02E4"/>
    <w:rsid w:val="006C5055"/>
    <w:rsid w:val="006C71E0"/>
    <w:rsid w:val="006D23DD"/>
    <w:rsid w:val="006D385C"/>
    <w:rsid w:val="006D3BC3"/>
    <w:rsid w:val="006D5040"/>
    <w:rsid w:val="006D6F10"/>
    <w:rsid w:val="006E0BBD"/>
    <w:rsid w:val="006E4DAC"/>
    <w:rsid w:val="006E5192"/>
    <w:rsid w:val="006E7674"/>
    <w:rsid w:val="006F41C5"/>
    <w:rsid w:val="006F47DA"/>
    <w:rsid w:val="006F4956"/>
    <w:rsid w:val="006F4F56"/>
    <w:rsid w:val="006F551E"/>
    <w:rsid w:val="006F784F"/>
    <w:rsid w:val="006F7BDA"/>
    <w:rsid w:val="0070085E"/>
    <w:rsid w:val="00700970"/>
    <w:rsid w:val="00701B10"/>
    <w:rsid w:val="00702FE4"/>
    <w:rsid w:val="007037AA"/>
    <w:rsid w:val="00703AAE"/>
    <w:rsid w:val="00704CB2"/>
    <w:rsid w:val="00705593"/>
    <w:rsid w:val="00705665"/>
    <w:rsid w:val="00705684"/>
    <w:rsid w:val="00706012"/>
    <w:rsid w:val="00706F49"/>
    <w:rsid w:val="00710E79"/>
    <w:rsid w:val="00711912"/>
    <w:rsid w:val="00712304"/>
    <w:rsid w:val="00712BAC"/>
    <w:rsid w:val="00713F64"/>
    <w:rsid w:val="007142FB"/>
    <w:rsid w:val="00714594"/>
    <w:rsid w:val="0072001F"/>
    <w:rsid w:val="00722494"/>
    <w:rsid w:val="0072303E"/>
    <w:rsid w:val="007237BB"/>
    <w:rsid w:val="00723EF9"/>
    <w:rsid w:val="00725F2A"/>
    <w:rsid w:val="00727CBC"/>
    <w:rsid w:val="00731126"/>
    <w:rsid w:val="00732B2D"/>
    <w:rsid w:val="0073344C"/>
    <w:rsid w:val="00733725"/>
    <w:rsid w:val="00736B7A"/>
    <w:rsid w:val="007403EE"/>
    <w:rsid w:val="00740EFD"/>
    <w:rsid w:val="0074164F"/>
    <w:rsid w:val="00742C11"/>
    <w:rsid w:val="00744FB7"/>
    <w:rsid w:val="007505FF"/>
    <w:rsid w:val="00750991"/>
    <w:rsid w:val="00750F1D"/>
    <w:rsid w:val="007528FF"/>
    <w:rsid w:val="00754405"/>
    <w:rsid w:val="007551CB"/>
    <w:rsid w:val="00755D61"/>
    <w:rsid w:val="0075691D"/>
    <w:rsid w:val="00757272"/>
    <w:rsid w:val="007577AC"/>
    <w:rsid w:val="00760B11"/>
    <w:rsid w:val="00761B38"/>
    <w:rsid w:val="00762782"/>
    <w:rsid w:val="0076346B"/>
    <w:rsid w:val="00763971"/>
    <w:rsid w:val="00763B71"/>
    <w:rsid w:val="00764F58"/>
    <w:rsid w:val="00765F0D"/>
    <w:rsid w:val="00767783"/>
    <w:rsid w:val="00770771"/>
    <w:rsid w:val="007708EE"/>
    <w:rsid w:val="00770974"/>
    <w:rsid w:val="007729CB"/>
    <w:rsid w:val="00772A7F"/>
    <w:rsid w:val="00774738"/>
    <w:rsid w:val="00774CC9"/>
    <w:rsid w:val="0077649E"/>
    <w:rsid w:val="00776834"/>
    <w:rsid w:val="00776BBF"/>
    <w:rsid w:val="007806C9"/>
    <w:rsid w:val="0078093B"/>
    <w:rsid w:val="00781656"/>
    <w:rsid w:val="007825A3"/>
    <w:rsid w:val="007827F6"/>
    <w:rsid w:val="00792B91"/>
    <w:rsid w:val="00794AE2"/>
    <w:rsid w:val="00795466"/>
    <w:rsid w:val="00796163"/>
    <w:rsid w:val="0079671B"/>
    <w:rsid w:val="007A1DA0"/>
    <w:rsid w:val="007A4102"/>
    <w:rsid w:val="007A4FE6"/>
    <w:rsid w:val="007A52BB"/>
    <w:rsid w:val="007A64B0"/>
    <w:rsid w:val="007B152B"/>
    <w:rsid w:val="007B1A4A"/>
    <w:rsid w:val="007B318A"/>
    <w:rsid w:val="007B3E30"/>
    <w:rsid w:val="007B3F4C"/>
    <w:rsid w:val="007B5435"/>
    <w:rsid w:val="007B55A5"/>
    <w:rsid w:val="007B60CD"/>
    <w:rsid w:val="007B6DBA"/>
    <w:rsid w:val="007B731B"/>
    <w:rsid w:val="007B7E01"/>
    <w:rsid w:val="007C1533"/>
    <w:rsid w:val="007C18D2"/>
    <w:rsid w:val="007C1EC3"/>
    <w:rsid w:val="007C25E1"/>
    <w:rsid w:val="007C3583"/>
    <w:rsid w:val="007C360A"/>
    <w:rsid w:val="007C42F1"/>
    <w:rsid w:val="007C7220"/>
    <w:rsid w:val="007D11DE"/>
    <w:rsid w:val="007D21BF"/>
    <w:rsid w:val="007D40BF"/>
    <w:rsid w:val="007D4C49"/>
    <w:rsid w:val="007D5227"/>
    <w:rsid w:val="007D5DF3"/>
    <w:rsid w:val="007D7559"/>
    <w:rsid w:val="007D7E59"/>
    <w:rsid w:val="007E1389"/>
    <w:rsid w:val="007E2B28"/>
    <w:rsid w:val="007E422A"/>
    <w:rsid w:val="007E4953"/>
    <w:rsid w:val="007E4E64"/>
    <w:rsid w:val="007E55E7"/>
    <w:rsid w:val="007E630B"/>
    <w:rsid w:val="007E6E33"/>
    <w:rsid w:val="007E74F0"/>
    <w:rsid w:val="007F2A43"/>
    <w:rsid w:val="007F386F"/>
    <w:rsid w:val="007F5169"/>
    <w:rsid w:val="007F63B1"/>
    <w:rsid w:val="007F6B7D"/>
    <w:rsid w:val="00800982"/>
    <w:rsid w:val="0080245A"/>
    <w:rsid w:val="00802643"/>
    <w:rsid w:val="00803207"/>
    <w:rsid w:val="00803E00"/>
    <w:rsid w:val="0080464C"/>
    <w:rsid w:val="00804B78"/>
    <w:rsid w:val="00805FF6"/>
    <w:rsid w:val="008101DE"/>
    <w:rsid w:val="00810734"/>
    <w:rsid w:val="008113F1"/>
    <w:rsid w:val="008114FA"/>
    <w:rsid w:val="008124A1"/>
    <w:rsid w:val="00812822"/>
    <w:rsid w:val="00812FC1"/>
    <w:rsid w:val="0081319A"/>
    <w:rsid w:val="0081343D"/>
    <w:rsid w:val="00814389"/>
    <w:rsid w:val="008151AF"/>
    <w:rsid w:val="008170CA"/>
    <w:rsid w:val="008217E4"/>
    <w:rsid w:val="00821D85"/>
    <w:rsid w:val="00822FAA"/>
    <w:rsid w:val="00823BA9"/>
    <w:rsid w:val="00823D2B"/>
    <w:rsid w:val="008254BA"/>
    <w:rsid w:val="0082556E"/>
    <w:rsid w:val="0082594E"/>
    <w:rsid w:val="00825D20"/>
    <w:rsid w:val="00827F1D"/>
    <w:rsid w:val="00827F60"/>
    <w:rsid w:val="0083009C"/>
    <w:rsid w:val="00830155"/>
    <w:rsid w:val="00831A63"/>
    <w:rsid w:val="008322CC"/>
    <w:rsid w:val="00835916"/>
    <w:rsid w:val="00835B8D"/>
    <w:rsid w:val="00837899"/>
    <w:rsid w:val="00837B6E"/>
    <w:rsid w:val="00840EB1"/>
    <w:rsid w:val="00841933"/>
    <w:rsid w:val="00842382"/>
    <w:rsid w:val="00842C43"/>
    <w:rsid w:val="00844A61"/>
    <w:rsid w:val="00845DC9"/>
    <w:rsid w:val="00846D9E"/>
    <w:rsid w:val="00846E83"/>
    <w:rsid w:val="0085080B"/>
    <w:rsid w:val="0085236E"/>
    <w:rsid w:val="0085338D"/>
    <w:rsid w:val="0085479F"/>
    <w:rsid w:val="008547B5"/>
    <w:rsid w:val="008550E5"/>
    <w:rsid w:val="00855AB7"/>
    <w:rsid w:val="008600BB"/>
    <w:rsid w:val="008602A9"/>
    <w:rsid w:val="008606A4"/>
    <w:rsid w:val="00861192"/>
    <w:rsid w:val="00863603"/>
    <w:rsid w:val="00864F7A"/>
    <w:rsid w:val="008661AF"/>
    <w:rsid w:val="00866F49"/>
    <w:rsid w:val="0087033F"/>
    <w:rsid w:val="00872BF6"/>
    <w:rsid w:val="00872E81"/>
    <w:rsid w:val="00873C12"/>
    <w:rsid w:val="008749DA"/>
    <w:rsid w:val="00874B06"/>
    <w:rsid w:val="00880071"/>
    <w:rsid w:val="0088028D"/>
    <w:rsid w:val="00880715"/>
    <w:rsid w:val="00880A5C"/>
    <w:rsid w:val="00880A90"/>
    <w:rsid w:val="00881B0A"/>
    <w:rsid w:val="00882CEA"/>
    <w:rsid w:val="00883CAC"/>
    <w:rsid w:val="00884155"/>
    <w:rsid w:val="0088730F"/>
    <w:rsid w:val="00890478"/>
    <w:rsid w:val="008905EC"/>
    <w:rsid w:val="00892802"/>
    <w:rsid w:val="00893EC5"/>
    <w:rsid w:val="00894FAB"/>
    <w:rsid w:val="0089515D"/>
    <w:rsid w:val="00897919"/>
    <w:rsid w:val="008A0B6C"/>
    <w:rsid w:val="008A13A3"/>
    <w:rsid w:val="008A23FD"/>
    <w:rsid w:val="008A2B53"/>
    <w:rsid w:val="008A2FA2"/>
    <w:rsid w:val="008A66EE"/>
    <w:rsid w:val="008A67F9"/>
    <w:rsid w:val="008B3588"/>
    <w:rsid w:val="008B50EC"/>
    <w:rsid w:val="008B5F0E"/>
    <w:rsid w:val="008B6528"/>
    <w:rsid w:val="008B7C8A"/>
    <w:rsid w:val="008C01C1"/>
    <w:rsid w:val="008C0868"/>
    <w:rsid w:val="008C1070"/>
    <w:rsid w:val="008C1595"/>
    <w:rsid w:val="008C2862"/>
    <w:rsid w:val="008C2F2B"/>
    <w:rsid w:val="008C4D35"/>
    <w:rsid w:val="008C6A58"/>
    <w:rsid w:val="008C6C94"/>
    <w:rsid w:val="008D054E"/>
    <w:rsid w:val="008D40A4"/>
    <w:rsid w:val="008D4797"/>
    <w:rsid w:val="008D5643"/>
    <w:rsid w:val="008D5787"/>
    <w:rsid w:val="008D6678"/>
    <w:rsid w:val="008D6E75"/>
    <w:rsid w:val="008E00CA"/>
    <w:rsid w:val="008E02FE"/>
    <w:rsid w:val="008E0B07"/>
    <w:rsid w:val="008E0C6C"/>
    <w:rsid w:val="008E113B"/>
    <w:rsid w:val="008E11D1"/>
    <w:rsid w:val="008E2323"/>
    <w:rsid w:val="008E2DC5"/>
    <w:rsid w:val="008E3036"/>
    <w:rsid w:val="008E4BD4"/>
    <w:rsid w:val="008E4D7B"/>
    <w:rsid w:val="008E6C50"/>
    <w:rsid w:val="008E776E"/>
    <w:rsid w:val="008F090B"/>
    <w:rsid w:val="008F0C8F"/>
    <w:rsid w:val="008F20AD"/>
    <w:rsid w:val="008F4465"/>
    <w:rsid w:val="008F4D98"/>
    <w:rsid w:val="008F587E"/>
    <w:rsid w:val="008F6C42"/>
    <w:rsid w:val="008F6E4B"/>
    <w:rsid w:val="008F7B0E"/>
    <w:rsid w:val="00900EA0"/>
    <w:rsid w:val="00904506"/>
    <w:rsid w:val="00905901"/>
    <w:rsid w:val="009059C0"/>
    <w:rsid w:val="0091126E"/>
    <w:rsid w:val="009125CB"/>
    <w:rsid w:val="00913C7A"/>
    <w:rsid w:val="00914A7E"/>
    <w:rsid w:val="009166C7"/>
    <w:rsid w:val="00917416"/>
    <w:rsid w:val="00920384"/>
    <w:rsid w:val="00922A11"/>
    <w:rsid w:val="009233B4"/>
    <w:rsid w:val="009234DF"/>
    <w:rsid w:val="00924ED2"/>
    <w:rsid w:val="00925B5A"/>
    <w:rsid w:val="0093389C"/>
    <w:rsid w:val="0093585C"/>
    <w:rsid w:val="00937090"/>
    <w:rsid w:val="009375B8"/>
    <w:rsid w:val="00937939"/>
    <w:rsid w:val="009403BC"/>
    <w:rsid w:val="00940BFF"/>
    <w:rsid w:val="00943EC6"/>
    <w:rsid w:val="00944317"/>
    <w:rsid w:val="00946121"/>
    <w:rsid w:val="009463E7"/>
    <w:rsid w:val="0094657E"/>
    <w:rsid w:val="009471E8"/>
    <w:rsid w:val="0095036E"/>
    <w:rsid w:val="00950729"/>
    <w:rsid w:val="00951B4F"/>
    <w:rsid w:val="009557FC"/>
    <w:rsid w:val="009565EC"/>
    <w:rsid w:val="00960C68"/>
    <w:rsid w:val="00961C36"/>
    <w:rsid w:val="009621E9"/>
    <w:rsid w:val="00962322"/>
    <w:rsid w:val="00965E4D"/>
    <w:rsid w:val="00967746"/>
    <w:rsid w:val="00967987"/>
    <w:rsid w:val="00970F4E"/>
    <w:rsid w:val="00971BC2"/>
    <w:rsid w:val="00971BC8"/>
    <w:rsid w:val="00971F54"/>
    <w:rsid w:val="0097387D"/>
    <w:rsid w:val="00975B56"/>
    <w:rsid w:val="00975D27"/>
    <w:rsid w:val="00975EC3"/>
    <w:rsid w:val="00977FB7"/>
    <w:rsid w:val="009803FE"/>
    <w:rsid w:val="0098134E"/>
    <w:rsid w:val="009816EC"/>
    <w:rsid w:val="00983497"/>
    <w:rsid w:val="009906CB"/>
    <w:rsid w:val="00991F89"/>
    <w:rsid w:val="009926BD"/>
    <w:rsid w:val="009929B8"/>
    <w:rsid w:val="00994204"/>
    <w:rsid w:val="00996BE4"/>
    <w:rsid w:val="00996E9D"/>
    <w:rsid w:val="009A1263"/>
    <w:rsid w:val="009A3DB5"/>
    <w:rsid w:val="009A4AC9"/>
    <w:rsid w:val="009A50AD"/>
    <w:rsid w:val="009A76C2"/>
    <w:rsid w:val="009B1CB2"/>
    <w:rsid w:val="009B3A9C"/>
    <w:rsid w:val="009B443F"/>
    <w:rsid w:val="009B4BAF"/>
    <w:rsid w:val="009B5DCD"/>
    <w:rsid w:val="009C1536"/>
    <w:rsid w:val="009C3386"/>
    <w:rsid w:val="009C419F"/>
    <w:rsid w:val="009C42A8"/>
    <w:rsid w:val="009C4583"/>
    <w:rsid w:val="009C5E29"/>
    <w:rsid w:val="009C6E8B"/>
    <w:rsid w:val="009C7830"/>
    <w:rsid w:val="009D0968"/>
    <w:rsid w:val="009D23CD"/>
    <w:rsid w:val="009D3D31"/>
    <w:rsid w:val="009D41CF"/>
    <w:rsid w:val="009D436C"/>
    <w:rsid w:val="009D4EFD"/>
    <w:rsid w:val="009D69CD"/>
    <w:rsid w:val="009E0708"/>
    <w:rsid w:val="009E30EA"/>
    <w:rsid w:val="009E3275"/>
    <w:rsid w:val="009E597A"/>
    <w:rsid w:val="009E6A15"/>
    <w:rsid w:val="009E7C8A"/>
    <w:rsid w:val="009F0FCC"/>
    <w:rsid w:val="009F1F43"/>
    <w:rsid w:val="009F2408"/>
    <w:rsid w:val="009F41CA"/>
    <w:rsid w:val="009F4D65"/>
    <w:rsid w:val="009F5194"/>
    <w:rsid w:val="009F5F6F"/>
    <w:rsid w:val="00A00B29"/>
    <w:rsid w:val="00A00B9D"/>
    <w:rsid w:val="00A01494"/>
    <w:rsid w:val="00A01B56"/>
    <w:rsid w:val="00A02677"/>
    <w:rsid w:val="00A02B7B"/>
    <w:rsid w:val="00A07B2F"/>
    <w:rsid w:val="00A07C6A"/>
    <w:rsid w:val="00A07DC7"/>
    <w:rsid w:val="00A10427"/>
    <w:rsid w:val="00A11405"/>
    <w:rsid w:val="00A11704"/>
    <w:rsid w:val="00A12C0B"/>
    <w:rsid w:val="00A13529"/>
    <w:rsid w:val="00A1354C"/>
    <w:rsid w:val="00A13FE7"/>
    <w:rsid w:val="00A1532D"/>
    <w:rsid w:val="00A15842"/>
    <w:rsid w:val="00A2450D"/>
    <w:rsid w:val="00A26FD8"/>
    <w:rsid w:val="00A279C5"/>
    <w:rsid w:val="00A27F8B"/>
    <w:rsid w:val="00A30A46"/>
    <w:rsid w:val="00A3205D"/>
    <w:rsid w:val="00A325EE"/>
    <w:rsid w:val="00A32774"/>
    <w:rsid w:val="00A3283C"/>
    <w:rsid w:val="00A33A01"/>
    <w:rsid w:val="00A33CA5"/>
    <w:rsid w:val="00A342B7"/>
    <w:rsid w:val="00A3706B"/>
    <w:rsid w:val="00A40EA4"/>
    <w:rsid w:val="00A43389"/>
    <w:rsid w:val="00A44660"/>
    <w:rsid w:val="00A4565C"/>
    <w:rsid w:val="00A47790"/>
    <w:rsid w:val="00A55E0B"/>
    <w:rsid w:val="00A57239"/>
    <w:rsid w:val="00A62203"/>
    <w:rsid w:val="00A63255"/>
    <w:rsid w:val="00A64FC0"/>
    <w:rsid w:val="00A65645"/>
    <w:rsid w:val="00A66EC2"/>
    <w:rsid w:val="00A67131"/>
    <w:rsid w:val="00A7112F"/>
    <w:rsid w:val="00A71758"/>
    <w:rsid w:val="00A72E2D"/>
    <w:rsid w:val="00A73157"/>
    <w:rsid w:val="00A743C4"/>
    <w:rsid w:val="00A75C3F"/>
    <w:rsid w:val="00A76493"/>
    <w:rsid w:val="00A76900"/>
    <w:rsid w:val="00A76FEE"/>
    <w:rsid w:val="00A807A2"/>
    <w:rsid w:val="00A808CC"/>
    <w:rsid w:val="00A82A3E"/>
    <w:rsid w:val="00A82CB3"/>
    <w:rsid w:val="00A82CB4"/>
    <w:rsid w:val="00A843D2"/>
    <w:rsid w:val="00A8481F"/>
    <w:rsid w:val="00A84B63"/>
    <w:rsid w:val="00A8591F"/>
    <w:rsid w:val="00A86A9C"/>
    <w:rsid w:val="00A900D8"/>
    <w:rsid w:val="00A905C8"/>
    <w:rsid w:val="00A90A75"/>
    <w:rsid w:val="00A91269"/>
    <w:rsid w:val="00A91570"/>
    <w:rsid w:val="00A91F4C"/>
    <w:rsid w:val="00A96FFB"/>
    <w:rsid w:val="00A97075"/>
    <w:rsid w:val="00A9724B"/>
    <w:rsid w:val="00AA2988"/>
    <w:rsid w:val="00AA2A9E"/>
    <w:rsid w:val="00AA3197"/>
    <w:rsid w:val="00AA3B23"/>
    <w:rsid w:val="00AA581B"/>
    <w:rsid w:val="00AA60B5"/>
    <w:rsid w:val="00AA7E4B"/>
    <w:rsid w:val="00AB0168"/>
    <w:rsid w:val="00AB1160"/>
    <w:rsid w:val="00AB13D0"/>
    <w:rsid w:val="00AB1F70"/>
    <w:rsid w:val="00AB3839"/>
    <w:rsid w:val="00AB5367"/>
    <w:rsid w:val="00AB77CD"/>
    <w:rsid w:val="00AC03B9"/>
    <w:rsid w:val="00AC0657"/>
    <w:rsid w:val="00AC2E39"/>
    <w:rsid w:val="00AC357D"/>
    <w:rsid w:val="00AC3CE6"/>
    <w:rsid w:val="00AC5760"/>
    <w:rsid w:val="00AC5D70"/>
    <w:rsid w:val="00AC5FF3"/>
    <w:rsid w:val="00AC716A"/>
    <w:rsid w:val="00AC7491"/>
    <w:rsid w:val="00AD4BA0"/>
    <w:rsid w:val="00AD5C11"/>
    <w:rsid w:val="00AE0637"/>
    <w:rsid w:val="00AE0AEB"/>
    <w:rsid w:val="00AE0CF1"/>
    <w:rsid w:val="00AE219E"/>
    <w:rsid w:val="00AE22FA"/>
    <w:rsid w:val="00AE3A56"/>
    <w:rsid w:val="00AE3D24"/>
    <w:rsid w:val="00AE43C5"/>
    <w:rsid w:val="00AE48E9"/>
    <w:rsid w:val="00AE5278"/>
    <w:rsid w:val="00AE530A"/>
    <w:rsid w:val="00AE57D4"/>
    <w:rsid w:val="00AE59C7"/>
    <w:rsid w:val="00AF0960"/>
    <w:rsid w:val="00AF0B12"/>
    <w:rsid w:val="00AF20BD"/>
    <w:rsid w:val="00AF2906"/>
    <w:rsid w:val="00AF436C"/>
    <w:rsid w:val="00AF4733"/>
    <w:rsid w:val="00AF71F9"/>
    <w:rsid w:val="00AF7A77"/>
    <w:rsid w:val="00B01497"/>
    <w:rsid w:val="00B02AB9"/>
    <w:rsid w:val="00B02E21"/>
    <w:rsid w:val="00B054D6"/>
    <w:rsid w:val="00B05B82"/>
    <w:rsid w:val="00B10F65"/>
    <w:rsid w:val="00B11AB5"/>
    <w:rsid w:val="00B12470"/>
    <w:rsid w:val="00B12532"/>
    <w:rsid w:val="00B129C1"/>
    <w:rsid w:val="00B12C98"/>
    <w:rsid w:val="00B133ED"/>
    <w:rsid w:val="00B150C3"/>
    <w:rsid w:val="00B16ED8"/>
    <w:rsid w:val="00B229A0"/>
    <w:rsid w:val="00B22F3B"/>
    <w:rsid w:val="00B261BB"/>
    <w:rsid w:val="00B263FA"/>
    <w:rsid w:val="00B27B0A"/>
    <w:rsid w:val="00B27DCA"/>
    <w:rsid w:val="00B30205"/>
    <w:rsid w:val="00B306AB"/>
    <w:rsid w:val="00B30810"/>
    <w:rsid w:val="00B30C06"/>
    <w:rsid w:val="00B31477"/>
    <w:rsid w:val="00B3170D"/>
    <w:rsid w:val="00B324DB"/>
    <w:rsid w:val="00B32833"/>
    <w:rsid w:val="00B335E4"/>
    <w:rsid w:val="00B34B53"/>
    <w:rsid w:val="00B34C0B"/>
    <w:rsid w:val="00B34E52"/>
    <w:rsid w:val="00B35019"/>
    <w:rsid w:val="00B35F5B"/>
    <w:rsid w:val="00B37E42"/>
    <w:rsid w:val="00B424BC"/>
    <w:rsid w:val="00B42C81"/>
    <w:rsid w:val="00B444C4"/>
    <w:rsid w:val="00B44657"/>
    <w:rsid w:val="00B46B76"/>
    <w:rsid w:val="00B473CF"/>
    <w:rsid w:val="00B531EE"/>
    <w:rsid w:val="00B5482F"/>
    <w:rsid w:val="00B548ED"/>
    <w:rsid w:val="00B5625D"/>
    <w:rsid w:val="00B5663E"/>
    <w:rsid w:val="00B5679C"/>
    <w:rsid w:val="00B5796C"/>
    <w:rsid w:val="00B60274"/>
    <w:rsid w:val="00B609F3"/>
    <w:rsid w:val="00B62155"/>
    <w:rsid w:val="00B62764"/>
    <w:rsid w:val="00B64FEC"/>
    <w:rsid w:val="00B65877"/>
    <w:rsid w:val="00B65B9D"/>
    <w:rsid w:val="00B65FB2"/>
    <w:rsid w:val="00B661A8"/>
    <w:rsid w:val="00B67BF2"/>
    <w:rsid w:val="00B67DE6"/>
    <w:rsid w:val="00B715EF"/>
    <w:rsid w:val="00B7237A"/>
    <w:rsid w:val="00B73202"/>
    <w:rsid w:val="00B73932"/>
    <w:rsid w:val="00B74E58"/>
    <w:rsid w:val="00B760ED"/>
    <w:rsid w:val="00B76D04"/>
    <w:rsid w:val="00B7740A"/>
    <w:rsid w:val="00B80386"/>
    <w:rsid w:val="00B8076C"/>
    <w:rsid w:val="00B813FB"/>
    <w:rsid w:val="00B83D6F"/>
    <w:rsid w:val="00B86064"/>
    <w:rsid w:val="00B9248E"/>
    <w:rsid w:val="00B93E71"/>
    <w:rsid w:val="00B9544D"/>
    <w:rsid w:val="00B95CCE"/>
    <w:rsid w:val="00B971AC"/>
    <w:rsid w:val="00BA01A2"/>
    <w:rsid w:val="00BA0FB5"/>
    <w:rsid w:val="00BA10B5"/>
    <w:rsid w:val="00BA147F"/>
    <w:rsid w:val="00BA267B"/>
    <w:rsid w:val="00BA3A58"/>
    <w:rsid w:val="00BA614F"/>
    <w:rsid w:val="00BA6FB1"/>
    <w:rsid w:val="00BB0439"/>
    <w:rsid w:val="00BB15FA"/>
    <w:rsid w:val="00BB1723"/>
    <w:rsid w:val="00BB1956"/>
    <w:rsid w:val="00BB2C6B"/>
    <w:rsid w:val="00BB2CEF"/>
    <w:rsid w:val="00BB38A5"/>
    <w:rsid w:val="00BB3F1F"/>
    <w:rsid w:val="00BB56F7"/>
    <w:rsid w:val="00BB611E"/>
    <w:rsid w:val="00BC010E"/>
    <w:rsid w:val="00BC1D2D"/>
    <w:rsid w:val="00BC2624"/>
    <w:rsid w:val="00BC264F"/>
    <w:rsid w:val="00BC37F2"/>
    <w:rsid w:val="00BC4793"/>
    <w:rsid w:val="00BC49AF"/>
    <w:rsid w:val="00BC597A"/>
    <w:rsid w:val="00BC6100"/>
    <w:rsid w:val="00BD09EC"/>
    <w:rsid w:val="00BD1AE5"/>
    <w:rsid w:val="00BD1EB1"/>
    <w:rsid w:val="00BD2ADD"/>
    <w:rsid w:val="00BD2B5D"/>
    <w:rsid w:val="00BD485E"/>
    <w:rsid w:val="00BD594E"/>
    <w:rsid w:val="00BD7A97"/>
    <w:rsid w:val="00BD7BD2"/>
    <w:rsid w:val="00BD7E41"/>
    <w:rsid w:val="00BE024F"/>
    <w:rsid w:val="00BE0A74"/>
    <w:rsid w:val="00BE24A2"/>
    <w:rsid w:val="00BE2AEA"/>
    <w:rsid w:val="00BE3378"/>
    <w:rsid w:val="00BE4AF4"/>
    <w:rsid w:val="00BE5EBA"/>
    <w:rsid w:val="00BE6982"/>
    <w:rsid w:val="00BE7037"/>
    <w:rsid w:val="00BF0786"/>
    <w:rsid w:val="00BF0F6D"/>
    <w:rsid w:val="00BF0FF9"/>
    <w:rsid w:val="00BF2747"/>
    <w:rsid w:val="00BF3138"/>
    <w:rsid w:val="00BF4F50"/>
    <w:rsid w:val="00BF5D4B"/>
    <w:rsid w:val="00BF6BBD"/>
    <w:rsid w:val="00BF7DA3"/>
    <w:rsid w:val="00C016F8"/>
    <w:rsid w:val="00C0170B"/>
    <w:rsid w:val="00C01DFA"/>
    <w:rsid w:val="00C022F9"/>
    <w:rsid w:val="00C02DBD"/>
    <w:rsid w:val="00C04A1B"/>
    <w:rsid w:val="00C072F4"/>
    <w:rsid w:val="00C07921"/>
    <w:rsid w:val="00C07EDD"/>
    <w:rsid w:val="00C12246"/>
    <w:rsid w:val="00C13C85"/>
    <w:rsid w:val="00C152F1"/>
    <w:rsid w:val="00C167FC"/>
    <w:rsid w:val="00C2005E"/>
    <w:rsid w:val="00C2130C"/>
    <w:rsid w:val="00C218DB"/>
    <w:rsid w:val="00C22340"/>
    <w:rsid w:val="00C23055"/>
    <w:rsid w:val="00C2328C"/>
    <w:rsid w:val="00C2771C"/>
    <w:rsid w:val="00C27765"/>
    <w:rsid w:val="00C3193D"/>
    <w:rsid w:val="00C321E4"/>
    <w:rsid w:val="00C331C2"/>
    <w:rsid w:val="00C33FC5"/>
    <w:rsid w:val="00C34CDC"/>
    <w:rsid w:val="00C3508D"/>
    <w:rsid w:val="00C350AB"/>
    <w:rsid w:val="00C354CF"/>
    <w:rsid w:val="00C35630"/>
    <w:rsid w:val="00C42118"/>
    <w:rsid w:val="00C437EB"/>
    <w:rsid w:val="00C4430A"/>
    <w:rsid w:val="00C46898"/>
    <w:rsid w:val="00C46D8F"/>
    <w:rsid w:val="00C505B4"/>
    <w:rsid w:val="00C51E16"/>
    <w:rsid w:val="00C52497"/>
    <w:rsid w:val="00C53C31"/>
    <w:rsid w:val="00C5635D"/>
    <w:rsid w:val="00C57BAB"/>
    <w:rsid w:val="00C60115"/>
    <w:rsid w:val="00C60D9C"/>
    <w:rsid w:val="00C62EE9"/>
    <w:rsid w:val="00C63E87"/>
    <w:rsid w:val="00C64961"/>
    <w:rsid w:val="00C657B6"/>
    <w:rsid w:val="00C67200"/>
    <w:rsid w:val="00C675C2"/>
    <w:rsid w:val="00C713E2"/>
    <w:rsid w:val="00C72E33"/>
    <w:rsid w:val="00C737B2"/>
    <w:rsid w:val="00C762B5"/>
    <w:rsid w:val="00C813EA"/>
    <w:rsid w:val="00C817B8"/>
    <w:rsid w:val="00C85BE4"/>
    <w:rsid w:val="00C86632"/>
    <w:rsid w:val="00C87948"/>
    <w:rsid w:val="00C90D56"/>
    <w:rsid w:val="00C94249"/>
    <w:rsid w:val="00C9513B"/>
    <w:rsid w:val="00C96D89"/>
    <w:rsid w:val="00CA3FE5"/>
    <w:rsid w:val="00CA4685"/>
    <w:rsid w:val="00CA5254"/>
    <w:rsid w:val="00CA7C8F"/>
    <w:rsid w:val="00CB1711"/>
    <w:rsid w:val="00CB1D4B"/>
    <w:rsid w:val="00CB3D6A"/>
    <w:rsid w:val="00CB40F0"/>
    <w:rsid w:val="00CB7719"/>
    <w:rsid w:val="00CC119E"/>
    <w:rsid w:val="00CC3C21"/>
    <w:rsid w:val="00CC3E0D"/>
    <w:rsid w:val="00CC4EA5"/>
    <w:rsid w:val="00CC5700"/>
    <w:rsid w:val="00CC656F"/>
    <w:rsid w:val="00CC74E3"/>
    <w:rsid w:val="00CD1C72"/>
    <w:rsid w:val="00CD2BFD"/>
    <w:rsid w:val="00CE245F"/>
    <w:rsid w:val="00CE70E7"/>
    <w:rsid w:val="00CE78CE"/>
    <w:rsid w:val="00CE7A77"/>
    <w:rsid w:val="00CF25F6"/>
    <w:rsid w:val="00CF529D"/>
    <w:rsid w:val="00CF65E1"/>
    <w:rsid w:val="00CF7D97"/>
    <w:rsid w:val="00D016E2"/>
    <w:rsid w:val="00D0227B"/>
    <w:rsid w:val="00D04F0B"/>
    <w:rsid w:val="00D05D2E"/>
    <w:rsid w:val="00D05E39"/>
    <w:rsid w:val="00D063CA"/>
    <w:rsid w:val="00D11C86"/>
    <w:rsid w:val="00D13CFB"/>
    <w:rsid w:val="00D149D5"/>
    <w:rsid w:val="00D159DD"/>
    <w:rsid w:val="00D16349"/>
    <w:rsid w:val="00D21DCD"/>
    <w:rsid w:val="00D220E7"/>
    <w:rsid w:val="00D22F0A"/>
    <w:rsid w:val="00D2343F"/>
    <w:rsid w:val="00D25A76"/>
    <w:rsid w:val="00D27BCF"/>
    <w:rsid w:val="00D315DB"/>
    <w:rsid w:val="00D31C1A"/>
    <w:rsid w:val="00D32E14"/>
    <w:rsid w:val="00D336AF"/>
    <w:rsid w:val="00D33FF0"/>
    <w:rsid w:val="00D3493D"/>
    <w:rsid w:val="00D366AD"/>
    <w:rsid w:val="00D37A3C"/>
    <w:rsid w:val="00D40E7F"/>
    <w:rsid w:val="00D42668"/>
    <w:rsid w:val="00D428E4"/>
    <w:rsid w:val="00D4350B"/>
    <w:rsid w:val="00D440B7"/>
    <w:rsid w:val="00D441AC"/>
    <w:rsid w:val="00D45BEE"/>
    <w:rsid w:val="00D46E83"/>
    <w:rsid w:val="00D479C8"/>
    <w:rsid w:val="00D47A06"/>
    <w:rsid w:val="00D52CAF"/>
    <w:rsid w:val="00D52EC6"/>
    <w:rsid w:val="00D535EB"/>
    <w:rsid w:val="00D55BB1"/>
    <w:rsid w:val="00D55E8A"/>
    <w:rsid w:val="00D575F8"/>
    <w:rsid w:val="00D616CC"/>
    <w:rsid w:val="00D64EF6"/>
    <w:rsid w:val="00D66A3D"/>
    <w:rsid w:val="00D67600"/>
    <w:rsid w:val="00D703F3"/>
    <w:rsid w:val="00D70AED"/>
    <w:rsid w:val="00D70FAB"/>
    <w:rsid w:val="00D71DD7"/>
    <w:rsid w:val="00D72F24"/>
    <w:rsid w:val="00D743F3"/>
    <w:rsid w:val="00D755E1"/>
    <w:rsid w:val="00D764D5"/>
    <w:rsid w:val="00D76674"/>
    <w:rsid w:val="00D76C3D"/>
    <w:rsid w:val="00D76FEC"/>
    <w:rsid w:val="00D77A14"/>
    <w:rsid w:val="00D83189"/>
    <w:rsid w:val="00D8499B"/>
    <w:rsid w:val="00D84A61"/>
    <w:rsid w:val="00D84D16"/>
    <w:rsid w:val="00D858B3"/>
    <w:rsid w:val="00D90CB4"/>
    <w:rsid w:val="00D90F90"/>
    <w:rsid w:val="00D915E1"/>
    <w:rsid w:val="00D9252A"/>
    <w:rsid w:val="00D933E9"/>
    <w:rsid w:val="00D95255"/>
    <w:rsid w:val="00D95E00"/>
    <w:rsid w:val="00D95F7B"/>
    <w:rsid w:val="00DA2553"/>
    <w:rsid w:val="00DA3EFC"/>
    <w:rsid w:val="00DA4DE3"/>
    <w:rsid w:val="00DA5204"/>
    <w:rsid w:val="00DA588B"/>
    <w:rsid w:val="00DA619C"/>
    <w:rsid w:val="00DA6D73"/>
    <w:rsid w:val="00DB0330"/>
    <w:rsid w:val="00DB0A60"/>
    <w:rsid w:val="00DB0F9A"/>
    <w:rsid w:val="00DB3770"/>
    <w:rsid w:val="00DB455B"/>
    <w:rsid w:val="00DB4C6D"/>
    <w:rsid w:val="00DB4DE0"/>
    <w:rsid w:val="00DB4F92"/>
    <w:rsid w:val="00DB754F"/>
    <w:rsid w:val="00DB7D27"/>
    <w:rsid w:val="00DC08A6"/>
    <w:rsid w:val="00DC4AC0"/>
    <w:rsid w:val="00DC4D05"/>
    <w:rsid w:val="00DC57E0"/>
    <w:rsid w:val="00DC65D0"/>
    <w:rsid w:val="00DC6957"/>
    <w:rsid w:val="00DD05D7"/>
    <w:rsid w:val="00DD0C77"/>
    <w:rsid w:val="00DD1025"/>
    <w:rsid w:val="00DD18F4"/>
    <w:rsid w:val="00DD3FE0"/>
    <w:rsid w:val="00DD429E"/>
    <w:rsid w:val="00DD47E8"/>
    <w:rsid w:val="00DD5BD0"/>
    <w:rsid w:val="00DD7640"/>
    <w:rsid w:val="00DD76E8"/>
    <w:rsid w:val="00DE1CA2"/>
    <w:rsid w:val="00DE36D3"/>
    <w:rsid w:val="00DE54B1"/>
    <w:rsid w:val="00DE61CD"/>
    <w:rsid w:val="00DE6B29"/>
    <w:rsid w:val="00DF036E"/>
    <w:rsid w:val="00DF03BA"/>
    <w:rsid w:val="00DF1975"/>
    <w:rsid w:val="00DF244E"/>
    <w:rsid w:val="00DF6A7A"/>
    <w:rsid w:val="00E008F8"/>
    <w:rsid w:val="00E00949"/>
    <w:rsid w:val="00E01AA4"/>
    <w:rsid w:val="00E0209C"/>
    <w:rsid w:val="00E0296B"/>
    <w:rsid w:val="00E04893"/>
    <w:rsid w:val="00E07D83"/>
    <w:rsid w:val="00E106AC"/>
    <w:rsid w:val="00E12FC1"/>
    <w:rsid w:val="00E130DB"/>
    <w:rsid w:val="00E130F1"/>
    <w:rsid w:val="00E13A5A"/>
    <w:rsid w:val="00E13BA0"/>
    <w:rsid w:val="00E16CAF"/>
    <w:rsid w:val="00E16DBD"/>
    <w:rsid w:val="00E1724E"/>
    <w:rsid w:val="00E20490"/>
    <w:rsid w:val="00E2089B"/>
    <w:rsid w:val="00E22F4E"/>
    <w:rsid w:val="00E245DE"/>
    <w:rsid w:val="00E24903"/>
    <w:rsid w:val="00E24F78"/>
    <w:rsid w:val="00E300A6"/>
    <w:rsid w:val="00E31DC6"/>
    <w:rsid w:val="00E31ECD"/>
    <w:rsid w:val="00E33CCC"/>
    <w:rsid w:val="00E34A4C"/>
    <w:rsid w:val="00E3556A"/>
    <w:rsid w:val="00E37715"/>
    <w:rsid w:val="00E37890"/>
    <w:rsid w:val="00E37A6F"/>
    <w:rsid w:val="00E37DE9"/>
    <w:rsid w:val="00E40334"/>
    <w:rsid w:val="00E4069D"/>
    <w:rsid w:val="00E40824"/>
    <w:rsid w:val="00E41022"/>
    <w:rsid w:val="00E42BAF"/>
    <w:rsid w:val="00E46CC8"/>
    <w:rsid w:val="00E47293"/>
    <w:rsid w:val="00E47FAD"/>
    <w:rsid w:val="00E50335"/>
    <w:rsid w:val="00E52349"/>
    <w:rsid w:val="00E5278C"/>
    <w:rsid w:val="00E558E1"/>
    <w:rsid w:val="00E56238"/>
    <w:rsid w:val="00E5682B"/>
    <w:rsid w:val="00E5699C"/>
    <w:rsid w:val="00E578F5"/>
    <w:rsid w:val="00E607A9"/>
    <w:rsid w:val="00E6338B"/>
    <w:rsid w:val="00E64623"/>
    <w:rsid w:val="00E65946"/>
    <w:rsid w:val="00E70C2A"/>
    <w:rsid w:val="00E71655"/>
    <w:rsid w:val="00E72881"/>
    <w:rsid w:val="00E741C2"/>
    <w:rsid w:val="00E74D3A"/>
    <w:rsid w:val="00E758A2"/>
    <w:rsid w:val="00E765E7"/>
    <w:rsid w:val="00E76A7B"/>
    <w:rsid w:val="00E76FBE"/>
    <w:rsid w:val="00E806CF"/>
    <w:rsid w:val="00E80D72"/>
    <w:rsid w:val="00E85585"/>
    <w:rsid w:val="00E85FB7"/>
    <w:rsid w:val="00E8763C"/>
    <w:rsid w:val="00E8797A"/>
    <w:rsid w:val="00E90E58"/>
    <w:rsid w:val="00E91EF1"/>
    <w:rsid w:val="00E9300B"/>
    <w:rsid w:val="00E93809"/>
    <w:rsid w:val="00E93D7F"/>
    <w:rsid w:val="00E96FDC"/>
    <w:rsid w:val="00E97C15"/>
    <w:rsid w:val="00EA254F"/>
    <w:rsid w:val="00EA3619"/>
    <w:rsid w:val="00EA3CD8"/>
    <w:rsid w:val="00EA7B52"/>
    <w:rsid w:val="00EB0465"/>
    <w:rsid w:val="00EB0CF6"/>
    <w:rsid w:val="00EB224C"/>
    <w:rsid w:val="00EB27DB"/>
    <w:rsid w:val="00EB2EF1"/>
    <w:rsid w:val="00EB3759"/>
    <w:rsid w:val="00EB3AFA"/>
    <w:rsid w:val="00EB55E6"/>
    <w:rsid w:val="00EB7420"/>
    <w:rsid w:val="00EB7AD5"/>
    <w:rsid w:val="00EC0C1F"/>
    <w:rsid w:val="00EC1BA1"/>
    <w:rsid w:val="00EC38B6"/>
    <w:rsid w:val="00EC3B48"/>
    <w:rsid w:val="00EC57C3"/>
    <w:rsid w:val="00EC5824"/>
    <w:rsid w:val="00EC61E2"/>
    <w:rsid w:val="00EC6411"/>
    <w:rsid w:val="00EC730B"/>
    <w:rsid w:val="00ED008F"/>
    <w:rsid w:val="00ED57E3"/>
    <w:rsid w:val="00ED5D43"/>
    <w:rsid w:val="00EE2280"/>
    <w:rsid w:val="00EE23D5"/>
    <w:rsid w:val="00EE3E61"/>
    <w:rsid w:val="00EE3F43"/>
    <w:rsid w:val="00EE5129"/>
    <w:rsid w:val="00EE5690"/>
    <w:rsid w:val="00EE6836"/>
    <w:rsid w:val="00EE7421"/>
    <w:rsid w:val="00EF0117"/>
    <w:rsid w:val="00EF2961"/>
    <w:rsid w:val="00EF29BC"/>
    <w:rsid w:val="00EF317B"/>
    <w:rsid w:val="00EF3195"/>
    <w:rsid w:val="00EF7A60"/>
    <w:rsid w:val="00F003A5"/>
    <w:rsid w:val="00F01E03"/>
    <w:rsid w:val="00F02442"/>
    <w:rsid w:val="00F02778"/>
    <w:rsid w:val="00F02A20"/>
    <w:rsid w:val="00F038ED"/>
    <w:rsid w:val="00F04AB5"/>
    <w:rsid w:val="00F05F41"/>
    <w:rsid w:val="00F06E4F"/>
    <w:rsid w:val="00F07AF4"/>
    <w:rsid w:val="00F12662"/>
    <w:rsid w:val="00F1376B"/>
    <w:rsid w:val="00F15B06"/>
    <w:rsid w:val="00F16CF1"/>
    <w:rsid w:val="00F16E05"/>
    <w:rsid w:val="00F17175"/>
    <w:rsid w:val="00F2454C"/>
    <w:rsid w:val="00F25966"/>
    <w:rsid w:val="00F25D94"/>
    <w:rsid w:val="00F26348"/>
    <w:rsid w:val="00F3009D"/>
    <w:rsid w:val="00F30107"/>
    <w:rsid w:val="00F32B06"/>
    <w:rsid w:val="00F36482"/>
    <w:rsid w:val="00F37CDF"/>
    <w:rsid w:val="00F42844"/>
    <w:rsid w:val="00F4357F"/>
    <w:rsid w:val="00F444A4"/>
    <w:rsid w:val="00F447C6"/>
    <w:rsid w:val="00F461FF"/>
    <w:rsid w:val="00F53DA7"/>
    <w:rsid w:val="00F541EC"/>
    <w:rsid w:val="00F54701"/>
    <w:rsid w:val="00F5498C"/>
    <w:rsid w:val="00F56015"/>
    <w:rsid w:val="00F5619B"/>
    <w:rsid w:val="00F56277"/>
    <w:rsid w:val="00F56BC4"/>
    <w:rsid w:val="00F56F4A"/>
    <w:rsid w:val="00F57D78"/>
    <w:rsid w:val="00F57DD3"/>
    <w:rsid w:val="00F57F8A"/>
    <w:rsid w:val="00F60555"/>
    <w:rsid w:val="00F60D95"/>
    <w:rsid w:val="00F62869"/>
    <w:rsid w:val="00F64DF7"/>
    <w:rsid w:val="00F65F26"/>
    <w:rsid w:val="00F73490"/>
    <w:rsid w:val="00F744BE"/>
    <w:rsid w:val="00F7534B"/>
    <w:rsid w:val="00F753A3"/>
    <w:rsid w:val="00F76C38"/>
    <w:rsid w:val="00F779CD"/>
    <w:rsid w:val="00F80305"/>
    <w:rsid w:val="00F8042F"/>
    <w:rsid w:val="00F8076C"/>
    <w:rsid w:val="00F81418"/>
    <w:rsid w:val="00F85430"/>
    <w:rsid w:val="00F87B99"/>
    <w:rsid w:val="00F87DA6"/>
    <w:rsid w:val="00F91A9C"/>
    <w:rsid w:val="00F91B4E"/>
    <w:rsid w:val="00F92772"/>
    <w:rsid w:val="00F92E6F"/>
    <w:rsid w:val="00F93663"/>
    <w:rsid w:val="00F94765"/>
    <w:rsid w:val="00F956E5"/>
    <w:rsid w:val="00F96610"/>
    <w:rsid w:val="00FA2DA7"/>
    <w:rsid w:val="00FA3D2A"/>
    <w:rsid w:val="00FA65F1"/>
    <w:rsid w:val="00FA6BD0"/>
    <w:rsid w:val="00FA7493"/>
    <w:rsid w:val="00FB0633"/>
    <w:rsid w:val="00FB0D12"/>
    <w:rsid w:val="00FB20D6"/>
    <w:rsid w:val="00FB2AAC"/>
    <w:rsid w:val="00FB3E89"/>
    <w:rsid w:val="00FB3ED1"/>
    <w:rsid w:val="00FB4206"/>
    <w:rsid w:val="00FB4459"/>
    <w:rsid w:val="00FB575F"/>
    <w:rsid w:val="00FB7944"/>
    <w:rsid w:val="00FC146C"/>
    <w:rsid w:val="00FC18AB"/>
    <w:rsid w:val="00FC1BDC"/>
    <w:rsid w:val="00FC2480"/>
    <w:rsid w:val="00FC316B"/>
    <w:rsid w:val="00FC5EE1"/>
    <w:rsid w:val="00FC5F89"/>
    <w:rsid w:val="00FD02EB"/>
    <w:rsid w:val="00FD02F8"/>
    <w:rsid w:val="00FD26A5"/>
    <w:rsid w:val="00FD2BF3"/>
    <w:rsid w:val="00FD4D24"/>
    <w:rsid w:val="00FD5C3C"/>
    <w:rsid w:val="00FD625A"/>
    <w:rsid w:val="00FD6818"/>
    <w:rsid w:val="00FD7346"/>
    <w:rsid w:val="00FE1818"/>
    <w:rsid w:val="00FE1B9F"/>
    <w:rsid w:val="00FE36F2"/>
    <w:rsid w:val="00FE3C87"/>
    <w:rsid w:val="00FE4383"/>
    <w:rsid w:val="00FF098A"/>
    <w:rsid w:val="00FF1171"/>
    <w:rsid w:val="00FF1588"/>
    <w:rsid w:val="00FF26B3"/>
    <w:rsid w:val="6DCF3C09"/>
    <w:rsid w:val="7B497B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0B2D02"/>
  <w15:docId w15:val="{D99279F0-E830-418F-A463-46F30E3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zh-CN" w:eastAsia="zh-CN"/>
    </w:rPr>
  </w:style>
  <w:style w:type="paragraph" w:styleId="Heading1">
    <w:name w:val="heading 1"/>
    <w:basedOn w:val="Normal"/>
    <w:next w:val="Normal"/>
    <w:link w:val="Heading1Char"/>
    <w:uiPriority w:val="9"/>
    <w:qFormat/>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link w:val="Heading2Char"/>
    <w:uiPriority w:val="9"/>
    <w:qFormat/>
    <w:pPr>
      <w:spacing w:before="100" w:beforeAutospacing="1" w:after="100" w:afterAutospacing="1"/>
      <w:outlineLvl w:val="1"/>
    </w:pPr>
    <w:rPr>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asciiTheme="minorHAnsi" w:hAnsiTheme="minorHAnsi"/>
      <w:sz w:val="22"/>
      <w:szCs w:val="22"/>
      <w:lang w:eastAsia="en-US"/>
    </w:rPr>
  </w:style>
  <w:style w:type="paragraph" w:styleId="Header">
    <w:name w:val="header"/>
    <w:basedOn w:val="Normal"/>
    <w:link w:val="HeaderChar"/>
    <w:uiPriority w:val="99"/>
    <w:unhideWhenUsed/>
    <w:qFormat/>
    <w:pPr>
      <w:tabs>
        <w:tab w:val="center" w:pos="4513"/>
        <w:tab w:val="right" w:pos="9026"/>
      </w:tabs>
    </w:pPr>
    <w:rPr>
      <w:rFonts w:asciiTheme="minorHAnsi" w:hAnsiTheme="minorHAnsi"/>
      <w:sz w:val="22"/>
      <w:szCs w:val="22"/>
      <w:lang w:eastAsia="en-U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eastAsia="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lang w:eastAsia="en-U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Pr>
      <w:rFonts w:ascii="Calibri" w:eastAsia="Calibri" w:hAnsi="Calibri" w:cs="Calibri"/>
      <w:sz w:val="22"/>
      <w:szCs w:val="22"/>
      <w:lang w:val="en-US" w:eastAsia="zh-CN"/>
    </w:r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21">
    <w:name w:val="Grid Table 2 - Accent 21"/>
    <w:basedOn w:val="TableNormal"/>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spacing w:after="160" w:line="259" w:lineRule="auto"/>
      <w:ind w:left="720"/>
      <w:contextualSpacing/>
    </w:pPr>
    <w:rPr>
      <w:rFonts w:asciiTheme="minorHAnsi" w:hAnsiTheme="minorHAnsi"/>
      <w:sz w:val="22"/>
      <w:szCs w:val="22"/>
      <w:lang w:eastAsia="en-US"/>
    </w:rPr>
  </w:style>
  <w:style w:type="table" w:customStyle="1" w:styleId="GridTable2-Accent11">
    <w:name w:val="Grid Table 2 - Accent 11"/>
    <w:basedOn w:val="TableNormal"/>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ne-clamp-1">
    <w:name w:val="line-clamp-1"/>
    <w:basedOn w:val="DefaultParagraphFont"/>
    <w:qFormat/>
  </w:style>
  <w:style w:type="character" w:customStyle="1" w:styleId="overflow-hidden">
    <w:name w:val="overflow-hidden"/>
    <w:basedOn w:val="DefaultParagraphFont"/>
    <w:qFormat/>
  </w:style>
  <w:style w:type="character" w:customStyle="1" w:styleId="morecontent">
    <w:name w:val="morecontent"/>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val="zh-CN" w:eastAsia="zh-CN"/>
    </w:rPr>
  </w:style>
  <w:style w:type="paragraph" w:customStyle="1" w:styleId="placeholder">
    <w:name w:val="placeholder"/>
    <w:basedOn w:val="Normal"/>
    <w:qFormat/>
    <w:pPr>
      <w:spacing w:before="100" w:beforeAutospacing="1" w:after="100" w:afterAutospacing="1"/>
    </w:pPr>
  </w:style>
  <w:style w:type="paragraph" w:customStyle="1" w:styleId="z-BottomofForm1">
    <w:name w:val="z-Bottom of Form1"/>
    <w:basedOn w:val="Normal"/>
    <w:next w:val="Normal"/>
    <w:link w:val="z-BottomofFormChar"/>
    <w:uiPriority w:val="99"/>
    <w:semiHidden/>
    <w:unhideWhenUsed/>
    <w:qFormat/>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lang w:val="zh-CN" w:eastAsia="zh-CN"/>
    </w:rPr>
  </w:style>
  <w:style w:type="character" w:customStyle="1" w:styleId="sr-only">
    <w:name w:val="sr-onl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global.com/spdji/en/indices/equity/sp-600"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enbank-my.sharepoint.com/personal/laniran26079_cbn_gov_ng/Documents/Desktop/New%20folder/cape/2025/bulleti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013287180593198E-2"/>
          <c:y val="2.54283318751823E-2"/>
          <c:w val="0.87554918342885601"/>
          <c:h val="0.93917028148427595"/>
        </c:manualLayout>
      </c:layout>
      <c:barChart>
        <c:barDir val="col"/>
        <c:grouping val="clustered"/>
        <c:varyColors val="0"/>
        <c:ser>
          <c:idx val="0"/>
          <c:order val="0"/>
          <c:tx>
            <c:strRef>
              <c:f>Sheet2!$C$13</c:f>
              <c:strCache>
                <c:ptCount val="1"/>
                <c:pt idx="0">
                  <c:v>Jun-25</c:v>
                </c:pt>
              </c:strCache>
            </c:strRef>
          </c:tx>
          <c:spPr>
            <a:solidFill>
              <a:schemeClr val="accent1"/>
            </a:solidFill>
            <a:ln>
              <a:noFill/>
            </a:ln>
            <a:effectLst/>
            <a:scene3d>
              <a:camera prst="orthographicFront"/>
              <a:lightRig rig="threePt" dir="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0.1</c:v>
                </c:pt>
                <c:pt idx="1">
                  <c:v>3</c:v>
                </c:pt>
                <c:pt idx="2">
                  <c:v>2.7</c:v>
                </c:pt>
                <c:pt idx="3">
                  <c:v>2</c:v>
                </c:pt>
                <c:pt idx="4">
                  <c:v>3.6</c:v>
                </c:pt>
                <c:pt idx="5">
                  <c:v>14.9</c:v>
                </c:pt>
                <c:pt idx="6">
                  <c:v>22.22</c:v>
                </c:pt>
                <c:pt idx="7">
                  <c:v>13.7</c:v>
                </c:pt>
              </c:numCache>
            </c:numRef>
          </c:val>
          <c:extLst>
            <c:ext xmlns:c16="http://schemas.microsoft.com/office/drawing/2014/chart" uri="{C3380CC4-5D6E-409C-BE32-E72D297353CC}">
              <c16:uniqueId val="{00000000-3BAE-4B08-A826-4B4C6FB3F3B6}"/>
            </c:ext>
          </c:extLst>
        </c:ser>
        <c:ser>
          <c:idx val="1"/>
          <c:order val="1"/>
          <c:tx>
            <c:strRef>
              <c:f>Sheet2!$D$13</c:f>
              <c:strCache>
                <c:ptCount val="1"/>
                <c:pt idx="0">
                  <c:v>May-25</c:v>
                </c:pt>
              </c:strCache>
            </c:strRef>
          </c:tx>
          <c:spPr>
            <a:solidFill>
              <a:srgbClr val="C00000"/>
            </a:solidFill>
            <a:ln>
              <a:noFill/>
            </a:ln>
            <a:effectLst/>
            <a:scene3d>
              <a:camera prst="orthographicFront"/>
              <a:lightRig rig="threePt" dir="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-0.1</c:v>
                </c:pt>
                <c:pt idx="1">
                  <c:v>2.8</c:v>
                </c:pt>
                <c:pt idx="2">
                  <c:v>2.4</c:v>
                </c:pt>
                <c:pt idx="3">
                  <c:v>1.9</c:v>
                </c:pt>
                <c:pt idx="4">
                  <c:v>3.4</c:v>
                </c:pt>
                <c:pt idx="5">
                  <c:v>16.8</c:v>
                </c:pt>
                <c:pt idx="6">
                  <c:v>22.97</c:v>
                </c:pt>
                <c:pt idx="7">
                  <c:v>18.399999999999999</c:v>
                </c:pt>
              </c:numCache>
            </c:numRef>
          </c:val>
          <c:extLst>
            <c:ext xmlns:c16="http://schemas.microsoft.com/office/drawing/2014/chart" uri="{C3380CC4-5D6E-409C-BE32-E72D297353CC}">
              <c16:uniqueId val="{00000001-3BAE-4B08-A826-4B4C6FB3F3B6}"/>
            </c:ext>
          </c:extLst>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600" b="1" i="0" u="none" strike="noStrike" kern="1200" cap="none" spc="0" normalizeH="0" baseline="0">
                <a:solidFill>
                  <a:sysClr val="windowText" lastClr="000000"/>
                </a:solidFill>
                <a:latin typeface="+mn-lt"/>
                <a:ea typeface="+mn-ea"/>
                <a:cs typeface="+mn-cs"/>
              </a:defRPr>
            </a:pPr>
            <a:endParaRPr lang="en-US"/>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US"/>
          </a:p>
        </c:txPr>
        <c:crossAx val="1794116800"/>
        <c:crosses val="autoZero"/>
        <c:crossBetween val="between"/>
      </c:valAx>
      <c:spPr>
        <a:noFill/>
        <a:ln>
          <a:noFill/>
        </a:ln>
        <a:effectLst/>
      </c:spPr>
    </c:plotArea>
    <c:legend>
      <c:legendPos val="t"/>
      <c:layout>
        <c:manualLayout>
          <c:xMode val="edge"/>
          <c:yMode val="edge"/>
          <c:x val="0.37386123770900398"/>
          <c:y val="0"/>
          <c:w val="0.26125821609523803"/>
          <c:h val="9.9189612900183896E-2"/>
        </c:manualLayout>
      </c:layout>
      <c:overlay val="0"/>
      <c:spPr>
        <a:noFill/>
        <a:ln>
          <a:noFill/>
        </a:ln>
        <a:effectLst/>
      </c:spPr>
      <c:txPr>
        <a:bodyPr rot="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uri="{0b15fc19-7d7d-44ad-8c2d-2c3a37ce22c3}">
        <chartProps xmlns="https://web.wps.cn/et/2018/main" chartId="{45cbc46e-9b96-4a4f-b5c9-8773e01e7dcf}"/>
      </c:ext>
    </c:extLst>
  </c:chart>
  <c:spPr>
    <a:solidFill>
      <a:schemeClr val="bg1"/>
    </a:solidFill>
    <a:ln w="9525" cap="flat" cmpd="sng" algn="ctr">
      <a:solidFill>
        <a:schemeClr val="tx1">
          <a:lumMod val="15000"/>
          <a:lumOff val="85000"/>
        </a:schemeClr>
      </a:solidFill>
      <a:round/>
    </a:ln>
    <a:effectLst/>
  </c:spPr>
  <c:txPr>
    <a:bodyPr/>
    <a:lstStyle/>
    <a:p>
      <a:pPr>
        <a:defRPr lang="en-US" sz="600" b="1">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BF37B7-993C-4C5D-88C9-780EC30EEAB7}">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LANIRAN, TEMITOPE JOSEPH</dc:creator>
  <cp:lastModifiedBy>USER</cp:lastModifiedBy>
  <cp:revision>8</cp:revision>
  <cp:lastPrinted>2022-11-09T11:59:00Z</cp:lastPrinted>
  <dcterms:created xsi:type="dcterms:W3CDTF">2025-08-06T18:49:00Z</dcterms:created>
  <dcterms:modified xsi:type="dcterms:W3CDTF">2026-08-10T11:27:00Z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y fmtid="{D5CDD505-2E9C-101B-9397-08002B2CF9AE}" pid="24" name="KSOTemplateDocerSaveRecord">
    <vt:lpwstr>eyJoZGlkIjoiZjVhNGJiMWVmZTg4ZjFhYWZhYWFiMzBkODkwYWRkZmUiLCJ1c2VySWQiOiIyNzY2NDM0MjM4ODcyIn0=</vt:lpwstr>
  </property>
  <property fmtid="{D5CDD505-2E9C-101B-9397-08002B2CF9AE}" pid="25" name="KSOProductBuildVer">
    <vt:lpwstr>1033-12.1.0.28032</vt:lpwstr>
  </property>
  <property fmtid="{D5CDD505-2E9C-101B-9397-08002B2CF9AE}" pid="26" name="ICV">
    <vt:lpwstr>CE114AA77CB44B9E980D43D04079D602_13</vt:lpwstr>
  </property>
</Properties>
</file>