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Bdr>
          <w:bottom w:val="nil"/>
        </w:pBdr>
      </w:pPr>
      <w:r>
        <w:rPr>
          <w:rFonts w:ascii="Arial" w:hAnsi="Arial" w:eastAsia="Arial"/>
          <w:b/>
          <w:i w:val="0"/>
          <w:color w:val="000000"/>
          <w:sz w:val="50"/>
        </w:rPr>
        <w:t>Nigeria GDP Nowcast Operations Manual</w:t>
      </w:r>
    </w:p>
    <w:p>
      <w:pPr>
        <w:spacing w:after="360"/>
      </w:pPr>
      <w:r>
        <w:rPr>
          <w:rFonts w:ascii="Arial" w:hAnsi="Arial" w:eastAsia="Arial"/>
          <w:b w:val="0"/>
          <w:i w:val="0"/>
          <w:color w:val="595959"/>
          <w:sz w:val="24"/>
        </w:rPr>
        <w:t>Complete procedure for maintaining data, running the model and publishing the CAPE economic newsletter</w:t>
      </w:r>
    </w:p>
    <w:tbl>
      <w:tblPr>
        <w:tblW w:type="auto" w:w="0"/>
        <w:jc w:val="center"/>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4997"/>
        <w:gridCol w:w="4997"/>
      </w:tblGrid>
      <w:tr>
        <w:trPr>
          <w:tblHeader w:val="true"/>
          <w:cantSplit/>
        </w:trPr>
        <w:tc>
          <w:tcPr>
            <w:tcW w:type="dxa" w:w="2448"/>
            <w:vAlign w:val="center"/>
            <w:shd w:fill="1F4E78"/>
            <w:tcMar>
              <w:top w:w="100" w:type="dxa"/>
              <w:start w:w="120" w:type="dxa"/>
              <w:bottom w:w="100" w:type="dxa"/>
              <w:end w:w="120" w:type="dxa"/>
            </w:tcMar>
          </w:tcPr>
          <w:p>
            <w:pPr>
              <w:spacing w:after="0"/>
            </w:pPr>
            <w:r/>
            <w:r>
              <w:rPr>
                <w:rFonts w:ascii="Arial" w:hAnsi="Arial" w:eastAsia="Arial"/>
                <w:b/>
                <w:i w:val="0"/>
                <w:color w:val="FFFFFF"/>
                <w:sz w:val="19"/>
              </w:rPr>
              <w:t>Document control</w:t>
            </w:r>
          </w:p>
        </w:tc>
        <w:tc>
          <w:tcPr>
            <w:tcW w:type="dxa" w:w="7200"/>
            <w:vAlign w:val="center"/>
            <w:shd w:fill="1F4E78"/>
            <w:tcMar>
              <w:top w:w="100" w:type="dxa"/>
              <w:start w:w="120" w:type="dxa"/>
              <w:bottom w:w="100" w:type="dxa"/>
              <w:end w:w="120" w:type="dxa"/>
            </w:tcMar>
          </w:tcPr>
          <w:p>
            <w:pPr>
              <w:spacing w:after="0"/>
            </w:pPr>
            <w:r/>
            <w:r>
              <w:rPr>
                <w:rFonts w:ascii="Arial" w:hAnsi="Arial" w:eastAsia="Arial"/>
                <w:b/>
                <w:i w:val="0"/>
                <w:color w:val="FFFFFF"/>
                <w:sz w:val="19"/>
              </w:rPr>
              <w:t>Details</w:t>
            </w:r>
          </w:p>
        </w:tc>
      </w:tr>
      <w:tr>
        <w:trPr>
          <w:cantSplit/>
        </w:trPr>
        <w:tc>
          <w:tcPr>
            <w:tcW w:type="dxa" w:w="2448"/>
            <w:vAlign w:val="center"/>
            <w:tcMar>
              <w:top w:w="100" w:type="dxa"/>
              <w:start w:w="120" w:type="dxa"/>
              <w:bottom w:w="100" w:type="dxa"/>
              <w:end w:w="120" w:type="dxa"/>
            </w:tcMar>
          </w:tcPr>
          <w:p>
            <w:pPr>
              <w:spacing w:after="0" w:line="240" w:lineRule="auto"/>
            </w:pPr>
            <w:r/>
            <w:r>
              <w:rPr>
                <w:rFonts w:ascii="Arial" w:hAnsi="Arial" w:eastAsia="Arial"/>
                <w:b w:val="0"/>
                <w:i w:val="0"/>
                <w:color w:val="1F2937"/>
                <w:sz w:val="19"/>
              </w:rPr>
              <w:t>Owner</w:t>
            </w:r>
          </w:p>
        </w:tc>
        <w:tc>
          <w:tcPr>
            <w:tcW w:type="dxa" w:w="7200"/>
            <w:vAlign w:val="center"/>
            <w:tcMar>
              <w:top w:w="100" w:type="dxa"/>
              <w:start w:w="120" w:type="dxa"/>
              <w:bottom w:w="100" w:type="dxa"/>
              <w:end w:w="120" w:type="dxa"/>
            </w:tcMar>
          </w:tcPr>
          <w:p>
            <w:pPr>
              <w:spacing w:after="0" w:line="240" w:lineRule="auto"/>
            </w:pPr>
            <w:r/>
            <w:r>
              <w:rPr>
                <w:rFonts w:ascii="Arial" w:hAnsi="Arial" w:eastAsia="Arial"/>
                <w:b w:val="0"/>
                <w:i w:val="0"/>
                <w:color w:val="1F2937"/>
                <w:sz w:val="19"/>
              </w:rPr>
              <w:t>CAPE Economic Research and Consulting</w:t>
            </w:r>
          </w:p>
        </w:tc>
      </w:tr>
      <w:tr>
        <w:trPr>
          <w:cantSplit/>
        </w:trPr>
        <w:tc>
          <w:tcPr>
            <w:tcW w:type="dxa" w:w="2448"/>
            <w:vAlign w:val="center"/>
            <w:tcMar>
              <w:top w:w="100" w:type="dxa"/>
              <w:start w:w="120" w:type="dxa"/>
              <w:bottom w:w="100" w:type="dxa"/>
              <w:end w:w="120" w:type="dxa"/>
            </w:tcMar>
            <w:shd w:fill="F4F6F8"/>
          </w:tcPr>
          <w:p>
            <w:pPr>
              <w:spacing w:after="0" w:line="240" w:lineRule="auto"/>
            </w:pPr>
            <w:r/>
            <w:r>
              <w:rPr>
                <w:rFonts w:ascii="Arial" w:hAnsi="Arial" w:eastAsia="Arial"/>
                <w:b w:val="0"/>
                <w:i w:val="0"/>
                <w:color w:val="1F2937"/>
                <w:sz w:val="19"/>
              </w:rPr>
              <w:t>System</w:t>
            </w:r>
          </w:p>
        </w:tc>
        <w:tc>
          <w:tcPr>
            <w:tcW w:type="dxa" w:w="7200"/>
            <w:vAlign w:val="center"/>
            <w:tcMar>
              <w:top w:w="100" w:type="dxa"/>
              <w:start w:w="120" w:type="dxa"/>
              <w:bottom w:w="100" w:type="dxa"/>
              <w:end w:w="120" w:type="dxa"/>
            </w:tcMar>
            <w:shd w:fill="F4F6F8"/>
          </w:tcPr>
          <w:p>
            <w:pPr>
              <w:spacing w:after="0" w:line="240" w:lineRule="auto"/>
            </w:pPr>
            <w:r/>
            <w:r>
              <w:rPr>
                <w:rFonts w:ascii="Arial" w:hAnsi="Arial" w:eastAsia="Arial"/>
                <w:b w:val="0"/>
                <w:i w:val="0"/>
                <w:color w:val="1F2937"/>
                <w:sz w:val="19"/>
              </w:rPr>
              <w:t>Nigeria quarterly real GDP nowcast and newsletter connection</w:t>
            </w:r>
          </w:p>
        </w:tc>
      </w:tr>
      <w:tr>
        <w:trPr>
          <w:cantSplit/>
        </w:trPr>
        <w:tc>
          <w:tcPr>
            <w:tcW w:type="dxa" w:w="2448"/>
            <w:vAlign w:val="center"/>
            <w:tcMar>
              <w:top w:w="100" w:type="dxa"/>
              <w:start w:w="120" w:type="dxa"/>
              <w:bottom w:w="100" w:type="dxa"/>
              <w:end w:w="120" w:type="dxa"/>
            </w:tcMar>
          </w:tcPr>
          <w:p>
            <w:pPr>
              <w:spacing w:after="0" w:line="240" w:lineRule="auto"/>
            </w:pPr>
            <w:r/>
            <w:r>
              <w:rPr>
                <w:rFonts w:ascii="Arial" w:hAnsi="Arial" w:eastAsia="Arial"/>
                <w:b w:val="0"/>
                <w:i w:val="0"/>
                <w:color w:val="1F2937"/>
                <w:sz w:val="19"/>
              </w:rPr>
              <w:t>Version</w:t>
            </w:r>
          </w:p>
        </w:tc>
        <w:tc>
          <w:tcPr>
            <w:tcW w:type="dxa" w:w="7200"/>
            <w:vAlign w:val="center"/>
            <w:tcMar>
              <w:top w:w="100" w:type="dxa"/>
              <w:start w:w="120" w:type="dxa"/>
              <w:bottom w:w="100" w:type="dxa"/>
              <w:end w:w="120" w:type="dxa"/>
            </w:tcMar>
          </w:tcPr>
          <w:p>
            <w:pPr>
              <w:spacing w:after="0" w:line="240" w:lineRule="auto"/>
            </w:pPr>
            <w:r/>
            <w:r>
              <w:rPr>
                <w:rFonts w:ascii="Arial" w:hAnsi="Arial" w:eastAsia="Arial"/>
                <w:b w:val="0"/>
                <w:i w:val="0"/>
                <w:color w:val="1F2937"/>
                <w:sz w:val="19"/>
              </w:rPr>
              <w:t>1.0</w:t>
            </w:r>
          </w:p>
        </w:tc>
      </w:tr>
      <w:tr>
        <w:trPr>
          <w:cantSplit/>
        </w:trPr>
        <w:tc>
          <w:tcPr>
            <w:tcW w:type="dxa" w:w="2448"/>
            <w:vAlign w:val="center"/>
            <w:tcMar>
              <w:top w:w="100" w:type="dxa"/>
              <w:start w:w="120" w:type="dxa"/>
              <w:bottom w:w="100" w:type="dxa"/>
              <w:end w:w="120" w:type="dxa"/>
            </w:tcMar>
            <w:shd w:fill="F4F6F8"/>
          </w:tcPr>
          <w:p>
            <w:pPr>
              <w:spacing w:after="0" w:line="240" w:lineRule="auto"/>
            </w:pPr>
            <w:r/>
            <w:r>
              <w:rPr>
                <w:rFonts w:ascii="Arial" w:hAnsi="Arial" w:eastAsia="Arial"/>
                <w:b w:val="0"/>
                <w:i w:val="0"/>
                <w:color w:val="1F2937"/>
                <w:sz w:val="19"/>
              </w:rPr>
              <w:t>Issue date</w:t>
            </w:r>
          </w:p>
        </w:tc>
        <w:tc>
          <w:tcPr>
            <w:tcW w:type="dxa" w:w="7200"/>
            <w:vAlign w:val="center"/>
            <w:tcMar>
              <w:top w:w="100" w:type="dxa"/>
              <w:start w:w="120" w:type="dxa"/>
              <w:bottom w:w="100" w:type="dxa"/>
              <w:end w:w="120" w:type="dxa"/>
            </w:tcMar>
            <w:shd w:fill="F4F6F8"/>
          </w:tcPr>
          <w:p>
            <w:pPr>
              <w:spacing w:after="0" w:line="240" w:lineRule="auto"/>
            </w:pPr>
            <w:r/>
            <w:r>
              <w:rPr>
                <w:rFonts w:ascii="Arial" w:hAnsi="Arial" w:eastAsia="Arial"/>
                <w:b w:val="0"/>
                <w:i w:val="0"/>
                <w:color w:val="1F2937"/>
                <w:sz w:val="19"/>
              </w:rPr>
              <w:t>4 September 2026</w:t>
            </w:r>
          </w:p>
        </w:tc>
      </w:tr>
      <w:tr>
        <w:trPr>
          <w:cantSplit/>
        </w:trPr>
        <w:tc>
          <w:tcPr>
            <w:tcW w:type="dxa" w:w="2448"/>
            <w:vAlign w:val="center"/>
            <w:tcMar>
              <w:top w:w="100" w:type="dxa"/>
              <w:start w:w="120" w:type="dxa"/>
              <w:bottom w:w="100" w:type="dxa"/>
              <w:end w:w="120" w:type="dxa"/>
            </w:tcMar>
          </w:tcPr>
          <w:p>
            <w:pPr>
              <w:spacing w:after="0" w:line="240" w:lineRule="auto"/>
            </w:pPr>
            <w:r/>
            <w:r>
              <w:rPr>
                <w:rFonts w:ascii="Arial" w:hAnsi="Arial" w:eastAsia="Arial"/>
                <w:b w:val="0"/>
                <w:i w:val="0"/>
                <w:color w:val="1F2937"/>
                <w:sz w:val="19"/>
              </w:rPr>
              <w:t>Primary operator</w:t>
            </w:r>
          </w:p>
        </w:tc>
        <w:tc>
          <w:tcPr>
            <w:tcW w:type="dxa" w:w="7200"/>
            <w:vAlign w:val="center"/>
            <w:tcMar>
              <w:top w:w="100" w:type="dxa"/>
              <w:start w:w="120" w:type="dxa"/>
              <w:bottom w:w="100" w:type="dxa"/>
              <w:end w:w="120" w:type="dxa"/>
            </w:tcMar>
          </w:tcPr>
          <w:p>
            <w:pPr>
              <w:spacing w:after="0" w:line="240" w:lineRule="auto"/>
            </w:pPr>
            <w:r/>
            <w:r>
              <w:rPr>
                <w:rFonts w:ascii="Arial" w:hAnsi="Arial" w:eastAsia="Arial"/>
                <w:b w:val="0"/>
                <w:i w:val="0"/>
                <w:color w:val="1F2937"/>
                <w:sz w:val="19"/>
              </w:rPr>
              <w:t>CAPE analyst responsible for macroeconomic data and publication</w:t>
            </w:r>
          </w:p>
        </w:tc>
      </w:tr>
    </w:tbl>
    <w:p>
      <w:pPr>
        <w:spacing w:after="40"/>
      </w:pPr>
    </w:p>
    <w:p>
      <w:pPr>
        <w:pStyle w:val="Heading1"/>
        <w:keepNext/>
        <w:spacing w:before="200" w:after="80"/>
      </w:pPr>
      <w:r>
        <w:rPr>
          <w:rFonts w:ascii="Arial" w:hAnsi="Arial" w:eastAsia="Arial"/>
          <w:b/>
          <w:i w:val="0"/>
          <w:color w:val="000000"/>
          <w:sz w:val="30"/>
        </w:rPr>
        <w:t>Purpose</w:t>
      </w:r>
    </w:p>
    <w:p>
      <w:pPr>
        <w:keepNext w:val="0"/>
        <w:spacing w:after="120" w:line="259" w:lineRule="auto"/>
      </w:pPr>
      <w:r>
        <w:rPr>
          <w:rFonts w:ascii="Arial" w:hAnsi="Arial" w:eastAsia="Arial"/>
          <w:b w:val="0"/>
          <w:i w:val="0"/>
          <w:color w:val="1F2937"/>
          <w:sz w:val="21"/>
        </w:rPr>
        <w:t>This manual explains the full operating cycle for the Nigeria GDP nowcast. It begins with source-data preparation and ends with a refreshed forecast workbook, chart and connected economic newsletter. It also explains the publication rule that keeps the internal model estimate separate from the public forecast when monthly data are incomplete.</w:t>
      </w:r>
    </w:p>
    <w:p>
      <w:pPr>
        <w:keepNext w:val="0"/>
        <w:spacing w:after="120" w:line="259" w:lineRule="auto"/>
      </w:pPr>
      <w:r>
        <w:rPr>
          <w:rFonts w:ascii="Arial" w:hAnsi="Arial" w:eastAsia="Arial"/>
          <w:b/>
          <w:i w:val="0"/>
          <w:color w:val="1F2937"/>
          <w:sz w:val="21"/>
        </w:rPr>
        <w:t>Current publication position.</w:t>
      </w:r>
      <w:r>
        <w:rPr>
          <w:rFonts w:ascii="Arial" w:hAnsi="Arial" w:eastAsia="Arial"/>
          <w:b w:val="0"/>
          <w:i w:val="0"/>
          <w:color w:val="1F2937"/>
          <w:sz w:val="21"/>
        </w:rPr>
        <w:t xml:space="preserve"> For 2026Q3, CAPE publishes an indicative real GDP growth range of 4.34 to 4.50 per cent. A public point forecast is released only after all three months of the quarter contain headline CPI, exchange-rate, crude-oil and PMI observations. The model may calculate an internal point estimate before that threshold, but the newsletter must not present it as the published point forecast.</w:t>
      </w:r>
    </w:p>
    <w:p>
      <w:pPr>
        <w:pStyle w:val="Heading1"/>
        <w:keepNext/>
        <w:spacing w:before="200" w:after="80"/>
      </w:pPr>
      <w:r>
        <w:rPr>
          <w:rFonts w:ascii="Arial" w:hAnsi="Arial" w:eastAsia="Arial"/>
          <w:b/>
          <w:i w:val="0"/>
          <w:color w:val="000000"/>
          <w:sz w:val="30"/>
        </w:rPr>
        <w:t>Quick start</w:t>
      </w:r>
    </w:p>
    <w:p>
      <w:pPr>
        <w:spacing w:after="80" w:line="252" w:lineRule="auto"/>
        <w:ind w:left="374" w:hanging="317"/>
      </w:pPr>
      <w:r>
        <w:rPr>
          <w:rFonts w:ascii="Arial" w:hAnsi="Arial" w:eastAsia="Arial"/>
          <w:b w:val="0"/>
          <w:i w:val="0"/>
          <w:color w:val="1F2937"/>
          <w:sz w:val="21"/>
        </w:rPr>
        <w:t xml:space="preserve">1. </w:t>
      </w:r>
      <w:r>
        <w:rPr>
          <w:rFonts w:ascii="Arial" w:hAnsi="Arial" w:eastAsia="Arial"/>
          <w:b w:val="0"/>
          <w:i w:val="0"/>
          <w:color w:val="1F2937"/>
          <w:sz w:val="21"/>
        </w:rPr>
        <w:t>Close the master workbook, forecast workbook and newsletter in Excel or Word.</w:t>
      </w:r>
    </w:p>
    <w:p>
      <w:pPr>
        <w:spacing w:after="80" w:line="252" w:lineRule="auto"/>
        <w:ind w:left="374" w:hanging="317"/>
      </w:pPr>
      <w:r>
        <w:rPr>
          <w:rFonts w:ascii="Arial" w:hAnsi="Arial" w:eastAsia="Arial"/>
          <w:b w:val="0"/>
          <w:i w:val="0"/>
          <w:color w:val="1F2937"/>
          <w:sz w:val="21"/>
        </w:rPr>
        <w:t xml:space="preserve">2. </w:t>
      </w:r>
      <w:r>
        <w:rPr>
          <w:rFonts w:ascii="Arial" w:hAnsi="Arial" w:eastAsia="Arial"/>
          <w:b w:val="0"/>
          <w:i w:val="0"/>
          <w:color w:val="1F2937"/>
          <w:sz w:val="21"/>
        </w:rPr>
        <w:t>Update the monthly data and, when available, the official quarterly GDP data in the master workbook.</w:t>
      </w:r>
    </w:p>
    <w:p>
      <w:pPr>
        <w:spacing w:after="80" w:line="252" w:lineRule="auto"/>
        <w:ind w:left="374" w:hanging="317"/>
      </w:pPr>
      <w:r>
        <w:rPr>
          <w:rFonts w:ascii="Arial" w:hAnsi="Arial" w:eastAsia="Arial"/>
          <w:b w:val="0"/>
          <w:i w:val="0"/>
          <w:color w:val="1F2937"/>
          <w:sz w:val="21"/>
        </w:rPr>
        <w:t xml:space="preserve">3. </w:t>
      </w:r>
      <w:r>
        <w:rPr>
          <w:rFonts w:ascii="Arial" w:hAnsi="Arial" w:eastAsia="Arial"/>
          <w:b w:val="0"/>
          <w:i w:val="0"/>
          <w:color w:val="1F2937"/>
          <w:sz w:val="21"/>
        </w:rPr>
        <w:t>Open PowerShell in the Nigeria GDP Nowcasting folder.</w:t>
      </w:r>
    </w:p>
    <w:p>
      <w:pPr>
        <w:spacing w:after="80" w:line="252" w:lineRule="auto"/>
        <w:ind w:left="374" w:hanging="317"/>
      </w:pPr>
      <w:r>
        <w:rPr>
          <w:rFonts w:ascii="Arial" w:hAnsi="Arial" w:eastAsia="Arial"/>
          <w:b w:val="0"/>
          <w:i w:val="0"/>
          <w:color w:val="1F2937"/>
          <w:sz w:val="21"/>
        </w:rPr>
        <w:t xml:space="preserve">4. </w:t>
      </w:r>
      <w:r>
        <w:rPr>
          <w:rFonts w:ascii="Arial" w:hAnsi="Arial" w:eastAsia="Arial"/>
          <w:b w:val="0"/>
          <w:i w:val="0"/>
          <w:color w:val="1F2937"/>
          <w:sz w:val="21"/>
        </w:rPr>
        <w:t>Run the refresh command shown below.</w:t>
      </w:r>
    </w:p>
    <w:p>
      <w:pPr>
        <w:spacing w:before="60" w:after="120"/>
        <w:ind w:left="360" w:right="216"/>
        <w:shd w:fill="F4F6F8"/>
      </w:pPr>
      <w:r>
        <w:rPr>
          <w:rFonts w:ascii="Consolas" w:hAnsi="Consolas" w:eastAsia="Consolas"/>
          <w:b w:val="0"/>
          <w:i w:val="0"/>
          <w:color w:val="000000"/>
          <w:sz w:val="18"/>
        </w:rPr>
        <w:t>cd "C:\Users\eakan\Documents\CAPE-ERC\CAPE Inflation Forecasting Model\Nigeria GDP Nowcasting"</w:t>
        <w:br/>
        <w:t>&amp; ".\Refresh Nigeria GDP Nowcast.ps1"</w:t>
      </w:r>
    </w:p>
    <w:p>
      <w:pPr>
        <w:spacing w:after="80" w:line="252" w:lineRule="auto"/>
        <w:ind w:left="374" w:hanging="317"/>
      </w:pPr>
      <w:r>
        <w:rPr>
          <w:rFonts w:ascii="Arial" w:hAnsi="Arial" w:eastAsia="Arial"/>
          <w:b w:val="0"/>
          <w:i w:val="0"/>
          <w:color w:val="1F2937"/>
          <w:sz w:val="21"/>
        </w:rPr>
        <w:t xml:space="preserve">5. </w:t>
      </w:r>
      <w:r>
        <w:rPr>
          <w:rFonts w:ascii="Arial" w:hAnsi="Arial" w:eastAsia="Arial"/>
          <w:b w:val="0"/>
          <w:i w:val="0"/>
          <w:color w:val="1F2937"/>
          <w:sz w:val="21"/>
        </w:rPr>
        <w:t>Confirm that PowerShell reports that the forecast and newsletter were refreshed.</w:t>
      </w:r>
    </w:p>
    <w:p>
      <w:pPr>
        <w:spacing w:after="80" w:line="252" w:lineRule="auto"/>
        <w:ind w:left="374" w:hanging="317"/>
      </w:pPr>
      <w:r>
        <w:rPr>
          <w:rFonts w:ascii="Arial" w:hAnsi="Arial" w:eastAsia="Arial"/>
          <w:b w:val="0"/>
          <w:i w:val="0"/>
          <w:color w:val="1F2937"/>
          <w:sz w:val="21"/>
        </w:rPr>
        <w:t xml:space="preserve">6. </w:t>
      </w:r>
      <w:r>
        <w:rPr>
          <w:rFonts w:ascii="Arial" w:hAnsi="Arial" w:eastAsia="Arial"/>
          <w:b w:val="0"/>
          <w:i w:val="0"/>
          <w:color w:val="1F2937"/>
          <w:sz w:val="21"/>
        </w:rPr>
        <w:t>Review the Executive Summary, Quarterly Forecast and the GDP section of the connected newsletter before circulation.</w:t>
      </w:r>
    </w:p>
    <w:p>
      <w:r>
        <w:br w:type="page"/>
      </w:r>
    </w:p>
    <w:p>
      <w:pPr>
        <w:pStyle w:val="Heading1"/>
        <w:keepNext/>
        <w:spacing w:before="200" w:after="80"/>
      </w:pPr>
      <w:r>
        <w:rPr>
          <w:rFonts w:ascii="Arial" w:hAnsi="Arial" w:eastAsia="Arial"/>
          <w:b/>
          <w:i w:val="0"/>
          <w:color w:val="000000"/>
          <w:sz w:val="30"/>
        </w:rPr>
        <w:t>System files and folders</w:t>
      </w:r>
    </w:p>
    <w:p>
      <w:pPr>
        <w:keepNext w:val="0"/>
        <w:spacing w:after="120" w:line="259" w:lineRule="auto"/>
      </w:pPr>
      <w:r>
        <w:rPr>
          <w:rFonts w:ascii="Arial" w:hAnsi="Arial" w:eastAsia="Arial"/>
          <w:b w:val="0"/>
          <w:i w:val="0"/>
          <w:color w:val="1F2937"/>
          <w:sz w:val="21"/>
        </w:rPr>
        <w:t>The workflow depends on the following files. Do not rename them or move them without also updating the paths in the automation scripts.</w:t>
      </w:r>
    </w:p>
    <w:tbl>
      <w:tblPr>
        <w:tblW w:type="auto" w:w="0"/>
        <w:jc w:val="center"/>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3331"/>
        <w:gridCol w:w="3331"/>
        <w:gridCol w:w="3331"/>
      </w:tblGrid>
      <w:tr>
        <w:trPr>
          <w:tblHeader w:val="true"/>
          <w:cantSplit/>
        </w:trPr>
        <w:tc>
          <w:tcPr>
            <w:tcW w:type="dxa" w:w="1944"/>
            <w:vAlign w:val="center"/>
            <w:shd w:fill="1F4E78"/>
            <w:tcMar>
              <w:top w:w="100" w:type="dxa"/>
              <w:start w:w="120" w:type="dxa"/>
              <w:bottom w:w="100" w:type="dxa"/>
              <w:end w:w="120" w:type="dxa"/>
            </w:tcMar>
          </w:tcPr>
          <w:p>
            <w:pPr>
              <w:spacing w:after="0"/>
            </w:pPr>
            <w:r/>
            <w:r>
              <w:rPr>
                <w:rFonts w:ascii="Arial" w:hAnsi="Arial" w:eastAsia="Arial"/>
                <w:b/>
                <w:i w:val="0"/>
                <w:color w:val="FFFFFF"/>
                <w:sz w:val="16"/>
              </w:rPr>
              <w:t>Item</w:t>
            </w:r>
          </w:p>
        </w:tc>
        <w:tc>
          <w:tcPr>
            <w:tcW w:type="dxa" w:w="5112"/>
            <w:vAlign w:val="center"/>
            <w:shd w:fill="1F4E78"/>
            <w:tcMar>
              <w:top w:w="100" w:type="dxa"/>
              <w:start w:w="120" w:type="dxa"/>
              <w:bottom w:w="100" w:type="dxa"/>
              <w:end w:w="120" w:type="dxa"/>
            </w:tcMar>
          </w:tcPr>
          <w:p>
            <w:pPr>
              <w:spacing w:after="0"/>
            </w:pPr>
            <w:r/>
            <w:r>
              <w:rPr>
                <w:rFonts w:ascii="Arial" w:hAnsi="Arial" w:eastAsia="Arial"/>
                <w:b/>
                <w:i w:val="0"/>
                <w:color w:val="FFFFFF"/>
                <w:sz w:val="16"/>
              </w:rPr>
              <w:t>Location</w:t>
            </w:r>
          </w:p>
        </w:tc>
        <w:tc>
          <w:tcPr>
            <w:tcW w:type="dxa" w:w="2880"/>
            <w:vAlign w:val="center"/>
            <w:shd w:fill="1F4E78"/>
            <w:tcMar>
              <w:top w:w="100" w:type="dxa"/>
              <w:start w:w="120" w:type="dxa"/>
              <w:bottom w:w="100" w:type="dxa"/>
              <w:end w:w="120" w:type="dxa"/>
            </w:tcMar>
          </w:tcPr>
          <w:p>
            <w:pPr>
              <w:spacing w:after="0"/>
            </w:pPr>
            <w:r/>
            <w:r>
              <w:rPr>
                <w:rFonts w:ascii="Arial" w:hAnsi="Arial" w:eastAsia="Arial"/>
                <w:b/>
                <w:i w:val="0"/>
                <w:color w:val="FFFFFF"/>
                <w:sz w:val="16"/>
              </w:rPr>
              <w:t>Purpose</w:t>
            </w:r>
          </w:p>
        </w:tc>
      </w:tr>
      <w:tr>
        <w:trPr>
          <w:cantSplit/>
        </w:trPr>
        <w:tc>
          <w:tcPr>
            <w:tcW w:type="dxa" w:w="1944"/>
            <w:vAlign w:val="center"/>
            <w:tcMar>
              <w:top w:w="100" w:type="dxa"/>
              <w:start w:w="120" w:type="dxa"/>
              <w:bottom w:w="100" w:type="dxa"/>
              <w:end w:w="120" w:type="dxa"/>
            </w:tcMar>
          </w:tcPr>
          <w:p>
            <w:pPr>
              <w:spacing w:after="0" w:line="240" w:lineRule="auto"/>
            </w:pPr>
            <w:r/>
            <w:r>
              <w:rPr>
                <w:rFonts w:ascii="Arial" w:hAnsi="Arial" w:eastAsia="Arial"/>
                <w:b w:val="0"/>
                <w:i w:val="0"/>
                <w:color w:val="1F2937"/>
                <w:sz w:val="16"/>
              </w:rPr>
              <w:t>Master data workbook</w:t>
            </w:r>
          </w:p>
        </w:tc>
        <w:tc>
          <w:tcPr>
            <w:tcW w:type="dxa" w:w="5112"/>
            <w:vAlign w:val="center"/>
            <w:tcMar>
              <w:top w:w="100" w:type="dxa"/>
              <w:start w:w="120" w:type="dxa"/>
              <w:bottom w:w="100" w:type="dxa"/>
              <w:end w:w="120" w:type="dxa"/>
            </w:tcMar>
          </w:tcPr>
          <w:p>
            <w:pPr>
              <w:spacing w:after="0" w:line="240" w:lineRule="auto"/>
            </w:pPr>
            <w:r/>
            <w:r>
              <w:rPr>
                <w:rFonts w:ascii="Arial" w:hAnsi="Arial" w:eastAsia="Arial"/>
                <w:b w:val="0"/>
                <w:i w:val="0"/>
                <w:color w:val="1F2937"/>
                <w:sz w:val="16"/>
              </w:rPr>
              <w:t>C:\Users\eakan\Documents\CAPE-ERC\CAPE Inflation Forecasting Model\Main Data\MultipleFrequencyModelData.xlsx</w:t>
            </w:r>
          </w:p>
        </w:tc>
        <w:tc>
          <w:tcPr>
            <w:tcW w:type="dxa" w:w="2880"/>
            <w:vAlign w:val="center"/>
            <w:tcMar>
              <w:top w:w="100" w:type="dxa"/>
              <w:start w:w="120" w:type="dxa"/>
              <w:bottom w:w="100" w:type="dxa"/>
              <w:end w:w="120" w:type="dxa"/>
            </w:tcMar>
          </w:tcPr>
          <w:p>
            <w:pPr>
              <w:spacing w:after="0" w:line="240" w:lineRule="auto"/>
            </w:pPr>
            <w:r/>
            <w:r>
              <w:rPr>
                <w:rFonts w:ascii="Arial" w:hAnsi="Arial" w:eastAsia="Arial"/>
                <w:b w:val="0"/>
                <w:i w:val="0"/>
                <w:color w:val="1F2937"/>
                <w:sz w:val="16"/>
              </w:rPr>
              <w:t>Single source for monthly macroeconomic data, PMI and official quarterly GDP.</w:t>
            </w:r>
          </w:p>
        </w:tc>
      </w:tr>
      <w:tr>
        <w:trPr>
          <w:cantSplit/>
        </w:trPr>
        <w:tc>
          <w:tcPr>
            <w:tcW w:type="dxa" w:w="1944"/>
            <w:vAlign w:val="center"/>
            <w:tcMar>
              <w:top w:w="100" w:type="dxa"/>
              <w:start w:w="120" w:type="dxa"/>
              <w:bottom w:w="100" w:type="dxa"/>
              <w:end w:w="120" w:type="dxa"/>
            </w:tcMar>
            <w:shd w:fill="F4F6F8"/>
          </w:tcPr>
          <w:p>
            <w:pPr>
              <w:spacing w:after="0" w:line="240" w:lineRule="auto"/>
            </w:pPr>
            <w:r/>
            <w:r>
              <w:rPr>
                <w:rFonts w:ascii="Arial" w:hAnsi="Arial" w:eastAsia="Arial"/>
                <w:b w:val="0"/>
                <w:i w:val="0"/>
                <w:color w:val="1F2937"/>
                <w:sz w:val="16"/>
              </w:rPr>
              <w:t>Refresh launcher</w:t>
            </w:r>
          </w:p>
        </w:tc>
        <w:tc>
          <w:tcPr>
            <w:tcW w:type="dxa" w:w="5112"/>
            <w:vAlign w:val="center"/>
            <w:tcMar>
              <w:top w:w="100" w:type="dxa"/>
              <w:start w:w="120" w:type="dxa"/>
              <w:bottom w:w="100" w:type="dxa"/>
              <w:end w:w="120" w:type="dxa"/>
            </w:tcMar>
            <w:shd w:fill="F4F6F8"/>
          </w:tcPr>
          <w:p>
            <w:pPr>
              <w:spacing w:after="0" w:line="240" w:lineRule="auto"/>
            </w:pPr>
            <w:r/>
            <w:r>
              <w:rPr>
                <w:rFonts w:ascii="Arial" w:hAnsi="Arial" w:eastAsia="Arial"/>
                <w:b w:val="0"/>
                <w:i w:val="0"/>
                <w:color w:val="1F2937"/>
                <w:sz w:val="16"/>
              </w:rPr>
              <w:t>...\Nigeria GDP Nowcasting\Refresh Nigeria GDP Nowcast.ps1</w:t>
            </w:r>
          </w:p>
        </w:tc>
        <w:tc>
          <w:tcPr>
            <w:tcW w:type="dxa" w:w="2880"/>
            <w:vAlign w:val="center"/>
            <w:tcMar>
              <w:top w:w="100" w:type="dxa"/>
              <w:start w:w="120" w:type="dxa"/>
              <w:bottom w:w="100" w:type="dxa"/>
              <w:end w:w="120" w:type="dxa"/>
            </w:tcMar>
            <w:shd w:fill="F4F6F8"/>
          </w:tcPr>
          <w:p>
            <w:pPr>
              <w:spacing w:after="0" w:line="240" w:lineRule="auto"/>
            </w:pPr>
            <w:r/>
            <w:r>
              <w:rPr>
                <w:rFonts w:ascii="Arial" w:hAnsi="Arial" w:eastAsia="Arial"/>
                <w:b w:val="0"/>
                <w:i w:val="0"/>
                <w:color w:val="1F2937"/>
                <w:sz w:val="16"/>
              </w:rPr>
              <w:t>Runs the entire workflow in the required order.</w:t>
            </w:r>
          </w:p>
        </w:tc>
      </w:tr>
      <w:tr>
        <w:trPr>
          <w:cantSplit/>
        </w:trPr>
        <w:tc>
          <w:tcPr>
            <w:tcW w:type="dxa" w:w="1944"/>
            <w:vAlign w:val="center"/>
            <w:tcMar>
              <w:top w:w="100" w:type="dxa"/>
              <w:start w:w="120" w:type="dxa"/>
              <w:bottom w:w="100" w:type="dxa"/>
              <w:end w:w="120" w:type="dxa"/>
            </w:tcMar>
          </w:tcPr>
          <w:p>
            <w:pPr>
              <w:spacing w:after="0" w:line="240" w:lineRule="auto"/>
            </w:pPr>
            <w:r/>
            <w:r>
              <w:rPr>
                <w:rFonts w:ascii="Arial" w:hAnsi="Arial" w:eastAsia="Arial"/>
                <w:b w:val="0"/>
                <w:i w:val="0"/>
                <w:color w:val="1F2937"/>
                <w:sz w:val="16"/>
              </w:rPr>
              <w:t>Forecast workbook</w:t>
            </w:r>
          </w:p>
        </w:tc>
        <w:tc>
          <w:tcPr>
            <w:tcW w:type="dxa" w:w="5112"/>
            <w:vAlign w:val="center"/>
            <w:tcMar>
              <w:top w:w="100" w:type="dxa"/>
              <w:start w:w="120" w:type="dxa"/>
              <w:bottom w:w="100" w:type="dxa"/>
              <w:end w:w="120" w:type="dxa"/>
            </w:tcMar>
          </w:tcPr>
          <w:p>
            <w:pPr>
              <w:spacing w:after="0" w:line="240" w:lineRule="auto"/>
            </w:pPr>
            <w:r/>
            <w:r>
              <w:rPr>
                <w:rFonts w:ascii="Arial" w:hAnsi="Arial" w:eastAsia="Arial"/>
                <w:b w:val="0"/>
                <w:i w:val="0"/>
                <w:color w:val="1F2937"/>
                <w:sz w:val="16"/>
              </w:rPr>
              <w:t>...\Nigeria GDP Nowcasting\Nigeria Quarterly GDP Nowcast.xlsx</w:t>
            </w:r>
          </w:p>
        </w:tc>
        <w:tc>
          <w:tcPr>
            <w:tcW w:type="dxa" w:w="2880"/>
            <w:vAlign w:val="center"/>
            <w:tcMar>
              <w:top w:w="100" w:type="dxa"/>
              <w:start w:w="120" w:type="dxa"/>
              <w:bottom w:w="100" w:type="dxa"/>
              <w:end w:w="120" w:type="dxa"/>
            </w:tcMar>
          </w:tcPr>
          <w:p>
            <w:pPr>
              <w:spacing w:after="0" w:line="240" w:lineRule="auto"/>
            </w:pPr>
            <w:r/>
            <w:r>
              <w:rPr>
                <w:rFonts w:ascii="Arial" w:hAnsi="Arial" w:eastAsia="Arial"/>
                <w:b w:val="0"/>
                <w:i w:val="0"/>
                <w:color w:val="1F2937"/>
                <w:sz w:val="16"/>
              </w:rPr>
              <w:t>Presents the model result, release status, diagnostics and supporting data.</w:t>
            </w:r>
          </w:p>
        </w:tc>
      </w:tr>
      <w:tr>
        <w:trPr>
          <w:cantSplit/>
        </w:trPr>
        <w:tc>
          <w:tcPr>
            <w:tcW w:type="dxa" w:w="1944"/>
            <w:vAlign w:val="center"/>
            <w:tcMar>
              <w:top w:w="100" w:type="dxa"/>
              <w:start w:w="120" w:type="dxa"/>
              <w:bottom w:w="100" w:type="dxa"/>
              <w:end w:w="120" w:type="dxa"/>
            </w:tcMar>
            <w:shd w:fill="F4F6F8"/>
          </w:tcPr>
          <w:p>
            <w:pPr>
              <w:spacing w:after="0" w:line="240" w:lineRule="auto"/>
            </w:pPr>
            <w:r/>
            <w:r>
              <w:rPr>
                <w:rFonts w:ascii="Arial" w:hAnsi="Arial" w:eastAsia="Arial"/>
                <w:b w:val="0"/>
                <w:i w:val="0"/>
                <w:color w:val="1F2937"/>
                <w:sz w:val="16"/>
              </w:rPr>
              <w:t>Automation folder</w:t>
            </w:r>
          </w:p>
        </w:tc>
        <w:tc>
          <w:tcPr>
            <w:tcW w:type="dxa" w:w="5112"/>
            <w:vAlign w:val="center"/>
            <w:tcMar>
              <w:top w:w="100" w:type="dxa"/>
              <w:start w:w="120" w:type="dxa"/>
              <w:bottom w:w="100" w:type="dxa"/>
              <w:end w:w="120" w:type="dxa"/>
            </w:tcMar>
            <w:shd w:fill="F4F6F8"/>
          </w:tcPr>
          <w:p>
            <w:pPr>
              <w:spacing w:after="0" w:line="240" w:lineRule="auto"/>
            </w:pPr>
            <w:r/>
            <w:r>
              <w:rPr>
                <w:rFonts w:ascii="Arial" w:hAnsi="Arial" w:eastAsia="Arial"/>
                <w:b w:val="0"/>
                <w:i w:val="0"/>
                <w:color w:val="1F2937"/>
                <w:sz w:val="16"/>
              </w:rPr>
              <w:t>...\Nigeria GDP Nowcasting\.automation</w:t>
            </w:r>
          </w:p>
        </w:tc>
        <w:tc>
          <w:tcPr>
            <w:tcW w:type="dxa" w:w="2880"/>
            <w:vAlign w:val="center"/>
            <w:tcMar>
              <w:top w:w="100" w:type="dxa"/>
              <w:start w:w="120" w:type="dxa"/>
              <w:bottom w:w="100" w:type="dxa"/>
              <w:end w:w="120" w:type="dxa"/>
            </w:tcMar>
            <w:shd w:fill="F4F6F8"/>
          </w:tcPr>
          <w:p>
            <w:pPr>
              <w:spacing w:after="0" w:line="240" w:lineRule="auto"/>
            </w:pPr>
            <w:r/>
            <w:r>
              <w:rPr>
                <w:rFonts w:ascii="Arial" w:hAnsi="Arial" w:eastAsia="Arial"/>
                <w:b w:val="0"/>
                <w:i w:val="0"/>
                <w:color w:val="1F2937"/>
                <w:sz w:val="16"/>
              </w:rPr>
              <w:t>Contains the Python estimator, Excel builder, validator and newsletter publisher.</w:t>
            </w:r>
          </w:p>
        </w:tc>
      </w:tr>
      <w:tr>
        <w:trPr>
          <w:cantSplit/>
        </w:trPr>
        <w:tc>
          <w:tcPr>
            <w:tcW w:type="dxa" w:w="1944"/>
            <w:vAlign w:val="center"/>
            <w:tcMar>
              <w:top w:w="100" w:type="dxa"/>
              <w:start w:w="120" w:type="dxa"/>
              <w:bottom w:w="100" w:type="dxa"/>
              <w:end w:w="120" w:type="dxa"/>
            </w:tcMar>
          </w:tcPr>
          <w:p>
            <w:pPr>
              <w:spacing w:after="0" w:line="240" w:lineRule="auto"/>
            </w:pPr>
            <w:r/>
            <w:r>
              <w:rPr>
                <w:rFonts w:ascii="Arial" w:hAnsi="Arial" w:eastAsia="Arial"/>
                <w:b w:val="0"/>
                <w:i w:val="0"/>
                <w:color w:val="1F2937"/>
                <w:sz w:val="16"/>
              </w:rPr>
              <w:t>Newsletter template</w:t>
            </w:r>
          </w:p>
        </w:tc>
        <w:tc>
          <w:tcPr>
            <w:tcW w:type="dxa" w:w="5112"/>
            <w:vAlign w:val="center"/>
            <w:tcMar>
              <w:top w:w="100" w:type="dxa"/>
              <w:start w:w="120" w:type="dxa"/>
              <w:bottom w:w="100" w:type="dxa"/>
              <w:end w:w="120" w:type="dxa"/>
            </w:tcMar>
          </w:tcPr>
          <w:p>
            <w:pPr>
              <w:spacing w:after="0" w:line="240" w:lineRule="auto"/>
            </w:pPr>
            <w:r/>
            <w:r>
              <w:rPr>
                <w:rFonts w:ascii="Arial" w:hAnsi="Arial" w:eastAsia="Arial"/>
                <w:b w:val="0"/>
                <w:i w:val="0"/>
                <w:color w:val="1F2937"/>
                <w:sz w:val="16"/>
              </w:rPr>
              <w:t>...\September Newsletter\CAPE Economic Performance and Prospect Bulletin September 2026.docx</w:t>
            </w:r>
          </w:p>
        </w:tc>
        <w:tc>
          <w:tcPr>
            <w:tcW w:type="dxa" w:w="2880"/>
            <w:vAlign w:val="center"/>
            <w:tcMar>
              <w:top w:w="100" w:type="dxa"/>
              <w:start w:w="120" w:type="dxa"/>
              <w:bottom w:w="100" w:type="dxa"/>
              <w:end w:w="120" w:type="dxa"/>
            </w:tcMar>
          </w:tcPr>
          <w:p>
            <w:pPr>
              <w:spacing w:after="0" w:line="240" w:lineRule="auto"/>
            </w:pPr>
            <w:r/>
            <w:r>
              <w:rPr>
                <w:rFonts w:ascii="Arial" w:hAnsi="Arial" w:eastAsia="Arial"/>
                <w:b w:val="0"/>
                <w:i w:val="0"/>
                <w:color w:val="1F2937"/>
                <w:sz w:val="16"/>
              </w:rPr>
              <w:t>Original newsletter template. The refresh does not overwrite this file.</w:t>
            </w:r>
          </w:p>
        </w:tc>
      </w:tr>
      <w:tr>
        <w:trPr>
          <w:cantSplit/>
        </w:trPr>
        <w:tc>
          <w:tcPr>
            <w:tcW w:type="dxa" w:w="1944"/>
            <w:vAlign w:val="center"/>
            <w:tcMar>
              <w:top w:w="100" w:type="dxa"/>
              <w:start w:w="120" w:type="dxa"/>
              <w:bottom w:w="100" w:type="dxa"/>
              <w:end w:w="120" w:type="dxa"/>
            </w:tcMar>
            <w:shd w:fill="F4F6F8"/>
          </w:tcPr>
          <w:p>
            <w:pPr>
              <w:spacing w:after="0" w:line="240" w:lineRule="auto"/>
            </w:pPr>
            <w:r/>
            <w:r>
              <w:rPr>
                <w:rFonts w:ascii="Arial" w:hAnsi="Arial" w:eastAsia="Arial"/>
                <w:b w:val="0"/>
                <w:i w:val="0"/>
                <w:color w:val="1F2937"/>
                <w:sz w:val="16"/>
              </w:rPr>
              <w:t>Connected newsletter</w:t>
            </w:r>
          </w:p>
        </w:tc>
        <w:tc>
          <w:tcPr>
            <w:tcW w:type="dxa" w:w="5112"/>
            <w:vAlign w:val="center"/>
            <w:tcMar>
              <w:top w:w="100" w:type="dxa"/>
              <w:start w:w="120" w:type="dxa"/>
              <w:bottom w:w="100" w:type="dxa"/>
              <w:end w:w="120" w:type="dxa"/>
            </w:tcMar>
            <w:shd w:fill="F4F6F8"/>
          </w:tcPr>
          <w:p>
            <w:pPr>
              <w:spacing w:after="0" w:line="240" w:lineRule="auto"/>
            </w:pPr>
            <w:r/>
            <w:r>
              <w:rPr>
                <w:rFonts w:ascii="Arial" w:hAnsi="Arial" w:eastAsia="Arial"/>
                <w:b w:val="0"/>
                <w:i w:val="0"/>
                <w:color w:val="1F2937"/>
                <w:sz w:val="16"/>
              </w:rPr>
              <w:t>...\September Newsletter\CAPE Economic Performance and Prospect Bulletin September 2026 - GDP Nowcast Connected.docx</w:t>
            </w:r>
          </w:p>
        </w:tc>
        <w:tc>
          <w:tcPr>
            <w:tcW w:type="dxa" w:w="2880"/>
            <w:vAlign w:val="center"/>
            <w:tcMar>
              <w:top w:w="100" w:type="dxa"/>
              <w:start w:w="120" w:type="dxa"/>
              <w:bottom w:w="100" w:type="dxa"/>
              <w:end w:w="120" w:type="dxa"/>
            </w:tcMar>
            <w:shd w:fill="F4F6F8"/>
          </w:tcPr>
          <w:p>
            <w:pPr>
              <w:spacing w:after="0" w:line="240" w:lineRule="auto"/>
            </w:pPr>
            <w:r/>
            <w:r>
              <w:rPr>
                <w:rFonts w:ascii="Arial" w:hAnsi="Arial" w:eastAsia="Arial"/>
                <w:b w:val="0"/>
                <w:i w:val="0"/>
                <w:color w:val="1F2937"/>
                <w:sz w:val="16"/>
              </w:rPr>
              <w:t>Publication copy regenerated from the template and current nowcast.</w:t>
            </w:r>
          </w:p>
        </w:tc>
      </w:tr>
      <w:tr>
        <w:trPr>
          <w:cantSplit/>
        </w:trPr>
        <w:tc>
          <w:tcPr>
            <w:tcW w:type="dxa" w:w="1944"/>
            <w:vAlign w:val="center"/>
            <w:tcMar>
              <w:top w:w="100" w:type="dxa"/>
              <w:start w:w="120" w:type="dxa"/>
              <w:bottom w:w="100" w:type="dxa"/>
              <w:end w:w="120" w:type="dxa"/>
            </w:tcMar>
          </w:tcPr>
          <w:p>
            <w:pPr>
              <w:spacing w:after="0" w:line="240" w:lineRule="auto"/>
            </w:pPr>
            <w:r/>
            <w:r>
              <w:rPr>
                <w:rFonts w:ascii="Arial" w:hAnsi="Arial" w:eastAsia="Arial"/>
                <w:b w:val="0"/>
                <w:i w:val="0"/>
                <w:color w:val="1F2937"/>
                <w:sz w:val="16"/>
              </w:rPr>
              <w:t>Newsletter chart</w:t>
            </w:r>
          </w:p>
        </w:tc>
        <w:tc>
          <w:tcPr>
            <w:tcW w:type="dxa" w:w="5112"/>
            <w:vAlign w:val="center"/>
            <w:tcMar>
              <w:top w:w="100" w:type="dxa"/>
              <w:start w:w="120" w:type="dxa"/>
              <w:bottom w:w="100" w:type="dxa"/>
              <w:end w:w="120" w:type="dxa"/>
            </w:tcMar>
          </w:tcPr>
          <w:p>
            <w:pPr>
              <w:spacing w:after="0" w:line="240" w:lineRule="auto"/>
            </w:pPr>
            <w:r/>
            <w:r>
              <w:rPr>
                <w:rFonts w:ascii="Arial" w:hAnsi="Arial" w:eastAsia="Arial"/>
                <w:b w:val="0"/>
                <w:i w:val="0"/>
                <w:color w:val="1F2937"/>
                <w:sz w:val="16"/>
              </w:rPr>
              <w:t>...\Nigeria GDP Nowcasting\Newsletter Assets\Nigeria GDP Nowcast Chart.png</w:t>
            </w:r>
          </w:p>
        </w:tc>
        <w:tc>
          <w:tcPr>
            <w:tcW w:type="dxa" w:w="2880"/>
            <w:vAlign w:val="center"/>
            <w:tcMar>
              <w:top w:w="100" w:type="dxa"/>
              <w:start w:w="120" w:type="dxa"/>
              <w:bottom w:w="100" w:type="dxa"/>
              <w:end w:w="120" w:type="dxa"/>
            </w:tcMar>
          </w:tcPr>
          <w:p>
            <w:pPr>
              <w:spacing w:after="0" w:line="240" w:lineRule="auto"/>
            </w:pPr>
            <w:r/>
            <w:r>
              <w:rPr>
                <w:rFonts w:ascii="Arial" w:hAnsi="Arial" w:eastAsia="Arial"/>
                <w:b w:val="0"/>
                <w:i w:val="0"/>
                <w:color w:val="1F2937"/>
                <w:sz w:val="16"/>
              </w:rPr>
              <w:t>Chart inserted into Figure 3 of the connected newsletter.</w:t>
            </w:r>
          </w:p>
        </w:tc>
      </w:tr>
    </w:tbl>
    <w:p>
      <w:pPr>
        <w:spacing w:after="40"/>
      </w:pPr>
    </w:p>
    <w:p>
      <w:pPr>
        <w:pStyle w:val="Heading1"/>
        <w:keepNext/>
        <w:spacing w:before="200" w:after="80"/>
      </w:pPr>
      <w:r>
        <w:rPr>
          <w:rFonts w:ascii="Arial" w:hAnsi="Arial" w:eastAsia="Arial"/>
          <w:b/>
          <w:i w:val="0"/>
          <w:color w:val="000000"/>
          <w:sz w:val="30"/>
        </w:rPr>
        <w:t>Software requirements</w:t>
      </w:r>
    </w:p>
    <w:p>
      <w:pPr>
        <w:pStyle w:val="ListBullet"/>
        <w:spacing w:after="60" w:line="252" w:lineRule="auto"/>
      </w:pPr>
      <w:r>
        <w:rPr>
          <w:rFonts w:ascii="Arial" w:hAnsi="Arial" w:eastAsia="Arial"/>
          <w:b w:val="0"/>
          <w:i w:val="0"/>
          <w:color w:val="1F2937"/>
          <w:sz w:val="21"/>
        </w:rPr>
        <w:t>Windows with PowerShell.</w:t>
      </w:r>
    </w:p>
    <w:p>
      <w:pPr>
        <w:pStyle w:val="ListBullet"/>
        <w:spacing w:after="60" w:line="252" w:lineRule="auto"/>
      </w:pPr>
      <w:r>
        <w:rPr>
          <w:rFonts w:ascii="Arial" w:hAnsi="Arial" w:eastAsia="Arial"/>
          <w:b w:val="0"/>
          <w:i w:val="0"/>
          <w:color w:val="1F2937"/>
          <w:sz w:val="21"/>
        </w:rPr>
        <w:t>Microsoft Excel for updating and reviewing the workbooks.</w:t>
      </w:r>
    </w:p>
    <w:p>
      <w:pPr>
        <w:pStyle w:val="ListBullet"/>
        <w:spacing w:after="60" w:line="252" w:lineRule="auto"/>
      </w:pPr>
      <w:r>
        <w:rPr>
          <w:rFonts w:ascii="Arial" w:hAnsi="Arial" w:eastAsia="Arial"/>
          <w:b w:val="0"/>
          <w:i w:val="0"/>
          <w:color w:val="1F2937"/>
          <w:sz w:val="21"/>
        </w:rPr>
        <w:t>Microsoft Word for reviewing and publishing the newsletter.</w:t>
      </w:r>
    </w:p>
    <w:p>
      <w:pPr>
        <w:pStyle w:val="ListBullet"/>
        <w:spacing w:after="60" w:line="252" w:lineRule="auto"/>
      </w:pPr>
      <w:r>
        <w:rPr>
          <w:rFonts w:ascii="Arial" w:hAnsi="Arial" w:eastAsia="Arial"/>
          <w:b w:val="0"/>
          <w:i w:val="0"/>
          <w:color w:val="1F2937"/>
          <w:sz w:val="21"/>
        </w:rPr>
        <w:t>The bundled Python and Node.js runtimes referenced near the top of Refresh Nigeria GDP Nowcast.ps1.</w:t>
      </w:r>
    </w:p>
    <w:p>
      <w:pPr>
        <w:keepNext w:val="0"/>
        <w:spacing w:after="120" w:line="259" w:lineRule="auto"/>
      </w:pPr>
      <w:r>
        <w:rPr>
          <w:rFonts w:ascii="Arial" w:hAnsi="Arial" w:eastAsia="Arial"/>
          <w:b w:val="0"/>
          <w:i w:val="0"/>
          <w:color w:val="1F2937"/>
          <w:sz w:val="21"/>
        </w:rPr>
        <w:t>The PowerShell file is an orchestration launcher. The econometric analysis is performed in Python. The formatted Excel workbook is generated with the workbook-building component, and a separate Python publisher updates the Word newsletter.</w:t>
      </w:r>
    </w:p>
    <w:p>
      <w:pPr>
        <w:pStyle w:val="Heading1"/>
        <w:keepNext/>
        <w:spacing w:before="200" w:after="80"/>
      </w:pPr>
      <w:r>
        <w:rPr>
          <w:rFonts w:ascii="Arial" w:hAnsi="Arial" w:eastAsia="Arial"/>
          <w:b/>
          <w:i w:val="0"/>
          <w:color w:val="000000"/>
          <w:sz w:val="30"/>
        </w:rPr>
        <w:t>Initial setup check</w:t>
      </w:r>
    </w:p>
    <w:p>
      <w:pPr>
        <w:spacing w:after="80" w:line="252" w:lineRule="auto"/>
        <w:ind w:left="374" w:hanging="317"/>
      </w:pPr>
      <w:r>
        <w:rPr>
          <w:rFonts w:ascii="Arial" w:hAnsi="Arial" w:eastAsia="Arial"/>
          <w:b w:val="0"/>
          <w:i w:val="0"/>
          <w:color w:val="1F2937"/>
          <w:sz w:val="21"/>
        </w:rPr>
        <w:t xml:space="preserve">1. </w:t>
      </w:r>
      <w:r>
        <w:rPr>
          <w:rFonts w:ascii="Arial" w:hAnsi="Arial" w:eastAsia="Arial"/>
          <w:b w:val="0"/>
          <w:i w:val="0"/>
          <w:color w:val="1F2937"/>
          <w:sz w:val="21"/>
        </w:rPr>
        <w:t>Confirm that the master workbook, refresh launcher and newsletter template exist in the locations listed above.</w:t>
      </w:r>
    </w:p>
    <w:p>
      <w:pPr>
        <w:spacing w:after="80" w:line="252" w:lineRule="auto"/>
        <w:ind w:left="374" w:hanging="317"/>
      </w:pPr>
      <w:r>
        <w:rPr>
          <w:rFonts w:ascii="Arial" w:hAnsi="Arial" w:eastAsia="Arial"/>
          <w:b w:val="0"/>
          <w:i w:val="0"/>
          <w:color w:val="1F2937"/>
          <w:sz w:val="21"/>
        </w:rPr>
        <w:t xml:space="preserve">2. </w:t>
      </w:r>
      <w:r>
        <w:rPr>
          <w:rFonts w:ascii="Arial" w:hAnsi="Arial" w:eastAsia="Arial"/>
          <w:b w:val="0"/>
          <w:i w:val="0"/>
          <w:color w:val="1F2937"/>
          <w:sz w:val="21"/>
        </w:rPr>
        <w:t>Open the master workbook and confirm that the worksheet names are exactly monthly data, Quarterly Data and GDP Interpolation.</w:t>
      </w:r>
    </w:p>
    <w:p>
      <w:pPr>
        <w:spacing w:after="80" w:line="252" w:lineRule="auto"/>
        <w:ind w:left="374" w:hanging="317"/>
      </w:pPr>
      <w:r>
        <w:rPr>
          <w:rFonts w:ascii="Arial" w:hAnsi="Arial" w:eastAsia="Arial"/>
          <w:b w:val="0"/>
          <w:i w:val="0"/>
          <w:color w:val="1F2937"/>
          <w:sz w:val="21"/>
        </w:rPr>
        <w:t xml:space="preserve">3. </w:t>
      </w:r>
      <w:r>
        <w:rPr>
          <w:rFonts w:ascii="Arial" w:hAnsi="Arial" w:eastAsia="Arial"/>
          <w:b w:val="0"/>
          <w:i w:val="0"/>
          <w:color w:val="1F2937"/>
          <w:sz w:val="21"/>
        </w:rPr>
        <w:t>Confirm that the monthly data worksheet has PMI in column L.</w:t>
      </w:r>
    </w:p>
    <w:p>
      <w:pPr>
        <w:spacing w:after="80" w:line="252" w:lineRule="auto"/>
        <w:ind w:left="374" w:hanging="317"/>
      </w:pPr>
      <w:r>
        <w:rPr>
          <w:rFonts w:ascii="Arial" w:hAnsi="Arial" w:eastAsia="Arial"/>
          <w:b w:val="0"/>
          <w:i w:val="0"/>
          <w:color w:val="1F2937"/>
          <w:sz w:val="21"/>
        </w:rPr>
        <w:t xml:space="preserve">4. </w:t>
      </w:r>
      <w:r>
        <w:rPr>
          <w:rFonts w:ascii="Arial" w:hAnsi="Arial" w:eastAsia="Arial"/>
          <w:b w:val="0"/>
          <w:i w:val="0"/>
          <w:color w:val="1F2937"/>
          <w:sz w:val="21"/>
        </w:rPr>
        <w:t>Confirm that the .automation folder contains analyze_nowcast.py, build_workbooks.mjs, verify_refresh.py and publish_newsletter.py.</w:t>
      </w:r>
    </w:p>
    <w:p>
      <w:pPr>
        <w:spacing w:after="80" w:line="252" w:lineRule="auto"/>
        <w:ind w:left="374" w:hanging="317"/>
      </w:pPr>
      <w:r>
        <w:rPr>
          <w:rFonts w:ascii="Arial" w:hAnsi="Arial" w:eastAsia="Arial"/>
          <w:b w:val="0"/>
          <w:i w:val="0"/>
          <w:color w:val="1F2937"/>
          <w:sz w:val="21"/>
        </w:rPr>
        <w:t xml:space="preserve">5. </w:t>
      </w:r>
      <w:r>
        <w:rPr>
          <w:rFonts w:ascii="Arial" w:hAnsi="Arial" w:eastAsia="Arial"/>
          <w:b w:val="0"/>
          <w:i w:val="0"/>
          <w:color w:val="1F2937"/>
          <w:sz w:val="21"/>
        </w:rPr>
        <w:t>Close all files before the first test run, then run the launcher and confirm that both output files are produced.</w:t>
      </w:r>
    </w:p>
    <w:p>
      <w:r>
        <w:br w:type="page"/>
      </w:r>
    </w:p>
    <w:p>
      <w:pPr>
        <w:pStyle w:val="Heading1"/>
        <w:keepNext/>
        <w:spacing w:before="200" w:after="80"/>
      </w:pPr>
      <w:r>
        <w:rPr>
          <w:rFonts w:ascii="Arial" w:hAnsi="Arial" w:eastAsia="Arial"/>
          <w:b/>
          <w:i w:val="0"/>
          <w:color w:val="000000"/>
          <w:sz w:val="30"/>
        </w:rPr>
        <w:t>Preparing the master data workbook</w:t>
      </w:r>
    </w:p>
    <w:p>
      <w:pPr>
        <w:pStyle w:val="Heading2"/>
        <w:keepNext/>
        <w:spacing w:before="140" w:after="80"/>
      </w:pPr>
      <w:r>
        <w:rPr>
          <w:rFonts w:ascii="Arial" w:hAnsi="Arial" w:eastAsia="Arial"/>
          <w:b/>
          <w:i w:val="0"/>
          <w:color w:val="000000"/>
          <w:sz w:val="24"/>
        </w:rPr>
        <w:t>Monthly data worksheet</w:t>
      </w:r>
    </w:p>
    <w:p>
      <w:pPr>
        <w:keepNext w:val="0"/>
        <w:spacing w:after="120" w:line="259" w:lineRule="auto"/>
      </w:pPr>
      <w:r>
        <w:rPr>
          <w:rFonts w:ascii="Arial" w:hAnsi="Arial" w:eastAsia="Arial"/>
          <w:b w:val="0"/>
          <w:i w:val="0"/>
          <w:color w:val="1F2937"/>
          <w:sz w:val="21"/>
        </w:rPr>
        <w:t>Enter monthly observations in chronological order. Keep the two existing header rows unchanged. The first month of each year should contain the year, for example 2027M1. The remaining months may follow the existing M2, M3 and similar format because the reader carries the year forward from the most recent full year label.</w:t>
      </w:r>
    </w:p>
    <w:tbl>
      <w:tblPr>
        <w:tblW w:type="auto" w:w="0"/>
        <w:jc w:val="center"/>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2498"/>
        <w:gridCol w:w="2498"/>
        <w:gridCol w:w="2498"/>
        <w:gridCol w:w="2498"/>
      </w:tblGrid>
      <w:tr>
        <w:trPr>
          <w:tblHeader w:val="true"/>
          <w:cantSplit/>
        </w:trPr>
        <w:tc>
          <w:tcPr>
            <w:tcW w:type="dxa" w:w="691"/>
            <w:vAlign w:val="center"/>
            <w:shd w:fill="1F4E78"/>
            <w:tcMar>
              <w:top w:w="100" w:type="dxa"/>
              <w:start w:w="120" w:type="dxa"/>
              <w:bottom w:w="100" w:type="dxa"/>
              <w:end w:w="120" w:type="dxa"/>
            </w:tcMar>
          </w:tcPr>
          <w:p>
            <w:pPr>
              <w:spacing w:after="0"/>
            </w:pPr>
            <w:r/>
            <w:r>
              <w:rPr>
                <w:rFonts w:ascii="Arial" w:hAnsi="Arial" w:eastAsia="Arial"/>
                <w:b/>
                <w:i w:val="0"/>
                <w:color w:val="FFFFFF"/>
                <w:sz w:val="16"/>
              </w:rPr>
              <w:t>Column</w:t>
            </w:r>
          </w:p>
        </w:tc>
        <w:tc>
          <w:tcPr>
            <w:tcW w:type="dxa" w:w="1944"/>
            <w:vAlign w:val="center"/>
            <w:shd w:fill="1F4E78"/>
            <w:tcMar>
              <w:top w:w="100" w:type="dxa"/>
              <w:start w:w="120" w:type="dxa"/>
              <w:bottom w:w="100" w:type="dxa"/>
              <w:end w:w="120" w:type="dxa"/>
            </w:tcMar>
          </w:tcPr>
          <w:p>
            <w:pPr>
              <w:spacing w:after="0"/>
            </w:pPr>
            <w:r/>
            <w:r>
              <w:rPr>
                <w:rFonts w:ascii="Arial" w:hAnsi="Arial" w:eastAsia="Arial"/>
                <w:b/>
                <w:i w:val="0"/>
                <w:color w:val="FFFFFF"/>
                <w:sz w:val="16"/>
              </w:rPr>
              <w:t>Field</w:t>
            </w:r>
          </w:p>
        </w:tc>
        <w:tc>
          <w:tcPr>
            <w:tcW w:type="dxa" w:w="3528"/>
            <w:vAlign w:val="center"/>
            <w:shd w:fill="1F4E78"/>
            <w:tcMar>
              <w:top w:w="100" w:type="dxa"/>
              <w:start w:w="120" w:type="dxa"/>
              <w:bottom w:w="100" w:type="dxa"/>
              <w:end w:w="120" w:type="dxa"/>
            </w:tcMar>
          </w:tcPr>
          <w:p>
            <w:pPr>
              <w:spacing w:after="0"/>
            </w:pPr>
            <w:r/>
            <w:r>
              <w:rPr>
                <w:rFonts w:ascii="Arial" w:hAnsi="Arial" w:eastAsia="Arial"/>
                <w:b/>
                <w:i w:val="0"/>
                <w:color w:val="FFFFFF"/>
                <w:sz w:val="16"/>
              </w:rPr>
              <w:t>Expected content</w:t>
            </w:r>
          </w:p>
        </w:tc>
        <w:tc>
          <w:tcPr>
            <w:tcW w:type="dxa" w:w="3672"/>
            <w:vAlign w:val="center"/>
            <w:shd w:fill="1F4E78"/>
            <w:tcMar>
              <w:top w:w="100" w:type="dxa"/>
              <w:start w:w="120" w:type="dxa"/>
              <w:bottom w:w="100" w:type="dxa"/>
              <w:end w:w="120" w:type="dxa"/>
            </w:tcMar>
          </w:tcPr>
          <w:p>
            <w:pPr>
              <w:spacing w:after="0"/>
            </w:pPr>
            <w:r/>
            <w:r>
              <w:rPr>
                <w:rFonts w:ascii="Arial" w:hAnsi="Arial" w:eastAsia="Arial"/>
                <w:b/>
                <w:i w:val="0"/>
                <w:color w:val="FFFFFF"/>
                <w:sz w:val="16"/>
              </w:rPr>
              <w:t>Use in workflow</w:t>
            </w:r>
          </w:p>
        </w:tc>
      </w:tr>
      <w:tr>
        <w:trPr>
          <w:cantSplit/>
        </w:trPr>
        <w:tc>
          <w:tcPr>
            <w:tcW w:type="dxa" w:w="691"/>
            <w:vAlign w:val="center"/>
            <w:tcMar>
              <w:top w:w="100" w:type="dxa"/>
              <w:start w:w="120" w:type="dxa"/>
              <w:bottom w:w="100" w:type="dxa"/>
              <w:end w:w="120" w:type="dxa"/>
            </w:tcMar>
          </w:tcPr>
          <w:p>
            <w:pPr>
              <w:spacing w:after="0" w:line="240" w:lineRule="auto"/>
            </w:pPr>
            <w:r/>
            <w:r>
              <w:rPr>
                <w:rFonts w:ascii="Arial" w:hAnsi="Arial" w:eastAsia="Arial"/>
                <w:b w:val="0"/>
                <w:i w:val="0"/>
                <w:color w:val="1F2937"/>
                <w:sz w:val="16"/>
              </w:rPr>
              <w:t>A</w:t>
            </w:r>
          </w:p>
        </w:tc>
        <w:tc>
          <w:tcPr>
            <w:tcW w:type="dxa" w:w="1944"/>
            <w:vAlign w:val="center"/>
            <w:tcMar>
              <w:top w:w="100" w:type="dxa"/>
              <w:start w:w="120" w:type="dxa"/>
              <w:bottom w:w="100" w:type="dxa"/>
              <w:end w:w="120" w:type="dxa"/>
            </w:tcMar>
          </w:tcPr>
          <w:p>
            <w:pPr>
              <w:spacing w:after="0" w:line="240" w:lineRule="auto"/>
            </w:pPr>
            <w:r/>
            <w:r>
              <w:rPr>
                <w:rFonts w:ascii="Arial" w:hAnsi="Arial" w:eastAsia="Arial"/>
                <w:b w:val="0"/>
                <w:i w:val="0"/>
                <w:color w:val="1F2937"/>
                <w:sz w:val="16"/>
              </w:rPr>
              <w:t>Date</w:t>
            </w:r>
          </w:p>
        </w:tc>
        <w:tc>
          <w:tcPr>
            <w:tcW w:type="dxa" w:w="3528"/>
            <w:vAlign w:val="center"/>
            <w:tcMar>
              <w:top w:w="100" w:type="dxa"/>
              <w:start w:w="120" w:type="dxa"/>
              <w:bottom w:w="100" w:type="dxa"/>
              <w:end w:w="120" w:type="dxa"/>
            </w:tcMar>
          </w:tcPr>
          <w:p>
            <w:pPr>
              <w:spacing w:after="0" w:line="240" w:lineRule="auto"/>
            </w:pPr>
            <w:r/>
            <w:r>
              <w:rPr>
                <w:rFonts w:ascii="Arial" w:hAnsi="Arial" w:eastAsia="Arial"/>
                <w:b w:val="0"/>
                <w:i w:val="0"/>
                <w:color w:val="1F2937"/>
                <w:sz w:val="16"/>
              </w:rPr>
              <w:t>Monthly label such as 2026M1, M2 or M3</w:t>
            </w:r>
          </w:p>
        </w:tc>
        <w:tc>
          <w:tcPr>
            <w:tcW w:type="dxa" w:w="3672"/>
            <w:vAlign w:val="center"/>
            <w:tcMar>
              <w:top w:w="100" w:type="dxa"/>
              <w:start w:w="120" w:type="dxa"/>
              <w:bottom w:w="100" w:type="dxa"/>
              <w:end w:w="120" w:type="dxa"/>
            </w:tcMar>
          </w:tcPr>
          <w:p>
            <w:pPr>
              <w:spacing w:after="0" w:line="240" w:lineRule="auto"/>
            </w:pPr>
            <w:r/>
            <w:r>
              <w:rPr>
                <w:rFonts w:ascii="Arial" w:hAnsi="Arial" w:eastAsia="Arial"/>
                <w:b w:val="0"/>
                <w:i w:val="0"/>
                <w:color w:val="1F2937"/>
                <w:sz w:val="16"/>
              </w:rPr>
              <w:t>Identifies the observation month.</w:t>
            </w:r>
          </w:p>
        </w:tc>
      </w:tr>
      <w:tr>
        <w:trPr>
          <w:cantSplit/>
        </w:trPr>
        <w:tc>
          <w:tcPr>
            <w:tcW w:type="dxa" w:w="691"/>
            <w:vAlign w:val="center"/>
            <w:tcMar>
              <w:top w:w="100" w:type="dxa"/>
              <w:start w:w="120" w:type="dxa"/>
              <w:bottom w:w="100" w:type="dxa"/>
              <w:end w:w="120" w:type="dxa"/>
            </w:tcMar>
            <w:shd w:fill="F4F6F8"/>
          </w:tcPr>
          <w:p>
            <w:pPr>
              <w:spacing w:after="0" w:line="240" w:lineRule="auto"/>
            </w:pPr>
            <w:r/>
            <w:r>
              <w:rPr>
                <w:rFonts w:ascii="Arial" w:hAnsi="Arial" w:eastAsia="Arial"/>
                <w:b w:val="0"/>
                <w:i w:val="0"/>
                <w:color w:val="1F2937"/>
                <w:sz w:val="16"/>
              </w:rPr>
              <w:t>B</w:t>
            </w:r>
          </w:p>
        </w:tc>
        <w:tc>
          <w:tcPr>
            <w:tcW w:type="dxa" w:w="1944"/>
            <w:vAlign w:val="center"/>
            <w:tcMar>
              <w:top w:w="100" w:type="dxa"/>
              <w:start w:w="120" w:type="dxa"/>
              <w:bottom w:w="100" w:type="dxa"/>
              <w:end w:w="120" w:type="dxa"/>
            </w:tcMar>
            <w:shd w:fill="F4F6F8"/>
          </w:tcPr>
          <w:p>
            <w:pPr>
              <w:spacing w:after="0" w:line="240" w:lineRule="auto"/>
            </w:pPr>
            <w:r/>
            <w:r>
              <w:rPr>
                <w:rFonts w:ascii="Arial" w:hAnsi="Arial" w:eastAsia="Arial"/>
                <w:b w:val="0"/>
                <w:i w:val="0"/>
                <w:color w:val="1F2937"/>
                <w:sz w:val="16"/>
              </w:rPr>
              <w:t>HCPI</w:t>
            </w:r>
          </w:p>
        </w:tc>
        <w:tc>
          <w:tcPr>
            <w:tcW w:type="dxa" w:w="3528"/>
            <w:vAlign w:val="center"/>
            <w:tcMar>
              <w:top w:w="100" w:type="dxa"/>
              <w:start w:w="120" w:type="dxa"/>
              <w:bottom w:w="100" w:type="dxa"/>
              <w:end w:w="120" w:type="dxa"/>
            </w:tcMar>
            <w:shd w:fill="F4F6F8"/>
          </w:tcPr>
          <w:p>
            <w:pPr>
              <w:spacing w:after="0" w:line="240" w:lineRule="auto"/>
            </w:pPr>
            <w:r/>
            <w:r>
              <w:rPr>
                <w:rFonts w:ascii="Arial" w:hAnsi="Arial" w:eastAsia="Arial"/>
                <w:b w:val="0"/>
                <w:i w:val="0"/>
                <w:color w:val="1F2937"/>
                <w:sz w:val="16"/>
              </w:rPr>
              <w:t>Headline consumer price index level</w:t>
            </w:r>
          </w:p>
        </w:tc>
        <w:tc>
          <w:tcPr>
            <w:tcW w:type="dxa" w:w="3672"/>
            <w:vAlign w:val="center"/>
            <w:tcMar>
              <w:top w:w="100" w:type="dxa"/>
              <w:start w:w="120" w:type="dxa"/>
              <w:bottom w:w="100" w:type="dxa"/>
              <w:end w:w="120" w:type="dxa"/>
            </w:tcMar>
            <w:shd w:fill="F4F6F8"/>
          </w:tcPr>
          <w:p>
            <w:pPr>
              <w:spacing w:after="0" w:line="240" w:lineRule="auto"/>
            </w:pPr>
            <w:r/>
            <w:r>
              <w:rPr>
                <w:rFonts w:ascii="Arial" w:hAnsi="Arial" w:eastAsia="Arial"/>
                <w:b w:val="0"/>
                <w:i w:val="0"/>
                <w:color w:val="1F2937"/>
                <w:sz w:val="16"/>
              </w:rPr>
              <w:t>Converted to year-on-year headline inflation for the selected model and required by the publication gate.</w:t>
            </w:r>
          </w:p>
        </w:tc>
      </w:tr>
      <w:tr>
        <w:trPr>
          <w:cantSplit/>
        </w:trPr>
        <w:tc>
          <w:tcPr>
            <w:tcW w:type="dxa" w:w="691"/>
            <w:vAlign w:val="center"/>
            <w:tcMar>
              <w:top w:w="100" w:type="dxa"/>
              <w:start w:w="120" w:type="dxa"/>
              <w:bottom w:w="100" w:type="dxa"/>
              <w:end w:w="120" w:type="dxa"/>
            </w:tcMar>
          </w:tcPr>
          <w:p>
            <w:pPr>
              <w:spacing w:after="0" w:line="240" w:lineRule="auto"/>
            </w:pPr>
            <w:r/>
            <w:r>
              <w:rPr>
                <w:rFonts w:ascii="Arial" w:hAnsi="Arial" w:eastAsia="Arial"/>
                <w:b w:val="0"/>
                <w:i w:val="0"/>
                <w:color w:val="1F2937"/>
                <w:sz w:val="16"/>
              </w:rPr>
              <w:t>C</w:t>
            </w:r>
          </w:p>
        </w:tc>
        <w:tc>
          <w:tcPr>
            <w:tcW w:type="dxa" w:w="1944"/>
            <w:vAlign w:val="center"/>
            <w:tcMar>
              <w:top w:w="100" w:type="dxa"/>
              <w:start w:w="120" w:type="dxa"/>
              <w:bottom w:w="100" w:type="dxa"/>
              <w:end w:w="120" w:type="dxa"/>
            </w:tcMar>
          </w:tcPr>
          <w:p>
            <w:pPr>
              <w:spacing w:after="0" w:line="240" w:lineRule="auto"/>
            </w:pPr>
            <w:r/>
            <w:r>
              <w:rPr>
                <w:rFonts w:ascii="Arial" w:hAnsi="Arial" w:eastAsia="Arial"/>
                <w:b w:val="0"/>
                <w:i w:val="0"/>
                <w:color w:val="1F2937"/>
                <w:sz w:val="16"/>
              </w:rPr>
              <w:t>Core Inflation CPI</w:t>
            </w:r>
          </w:p>
        </w:tc>
        <w:tc>
          <w:tcPr>
            <w:tcW w:type="dxa" w:w="3528"/>
            <w:vAlign w:val="center"/>
            <w:tcMar>
              <w:top w:w="100" w:type="dxa"/>
              <w:start w:w="120" w:type="dxa"/>
              <w:bottom w:w="100" w:type="dxa"/>
              <w:end w:w="120" w:type="dxa"/>
            </w:tcMar>
          </w:tcPr>
          <w:p>
            <w:pPr>
              <w:spacing w:after="0" w:line="240" w:lineRule="auto"/>
            </w:pPr>
            <w:r/>
            <w:r>
              <w:rPr>
                <w:rFonts w:ascii="Arial" w:hAnsi="Arial" w:eastAsia="Arial"/>
                <w:b w:val="0"/>
                <w:i w:val="0"/>
                <w:color w:val="1F2937"/>
                <w:sz w:val="16"/>
              </w:rPr>
              <w:t>Core CPI index level</w:t>
            </w:r>
          </w:p>
        </w:tc>
        <w:tc>
          <w:tcPr>
            <w:tcW w:type="dxa" w:w="3672"/>
            <w:vAlign w:val="center"/>
            <w:tcMar>
              <w:top w:w="100" w:type="dxa"/>
              <w:start w:w="120" w:type="dxa"/>
              <w:bottom w:w="100" w:type="dxa"/>
              <w:end w:w="120" w:type="dxa"/>
            </w:tcMar>
          </w:tcPr>
          <w:p>
            <w:pPr>
              <w:spacing w:after="0" w:line="240" w:lineRule="auto"/>
            </w:pPr>
            <w:r/>
            <w:r>
              <w:rPr>
                <w:rFonts w:ascii="Arial" w:hAnsi="Arial" w:eastAsia="Arial"/>
                <w:b w:val="0"/>
                <w:i w:val="0"/>
                <w:color w:val="1F2937"/>
                <w:sz w:val="16"/>
              </w:rPr>
              <w:t>Available to broader candidate models.</w:t>
            </w:r>
          </w:p>
        </w:tc>
      </w:tr>
      <w:tr>
        <w:trPr>
          <w:cantSplit/>
        </w:trPr>
        <w:tc>
          <w:tcPr>
            <w:tcW w:type="dxa" w:w="691"/>
            <w:vAlign w:val="center"/>
            <w:tcMar>
              <w:top w:w="100" w:type="dxa"/>
              <w:start w:w="120" w:type="dxa"/>
              <w:bottom w:w="100" w:type="dxa"/>
              <w:end w:w="120" w:type="dxa"/>
            </w:tcMar>
            <w:shd w:fill="F4F6F8"/>
          </w:tcPr>
          <w:p>
            <w:pPr>
              <w:spacing w:after="0" w:line="240" w:lineRule="auto"/>
            </w:pPr>
            <w:r/>
            <w:r>
              <w:rPr>
                <w:rFonts w:ascii="Arial" w:hAnsi="Arial" w:eastAsia="Arial"/>
                <w:b w:val="0"/>
                <w:i w:val="0"/>
                <w:color w:val="1F2937"/>
                <w:sz w:val="16"/>
              </w:rPr>
              <w:t>D</w:t>
            </w:r>
          </w:p>
        </w:tc>
        <w:tc>
          <w:tcPr>
            <w:tcW w:type="dxa" w:w="1944"/>
            <w:vAlign w:val="center"/>
            <w:tcMar>
              <w:top w:w="100" w:type="dxa"/>
              <w:start w:w="120" w:type="dxa"/>
              <w:bottom w:w="100" w:type="dxa"/>
              <w:end w:w="120" w:type="dxa"/>
            </w:tcMar>
            <w:shd w:fill="F4F6F8"/>
          </w:tcPr>
          <w:p>
            <w:pPr>
              <w:spacing w:after="0" w:line="240" w:lineRule="auto"/>
            </w:pPr>
            <w:r/>
            <w:r>
              <w:rPr>
                <w:rFonts w:ascii="Arial" w:hAnsi="Arial" w:eastAsia="Arial"/>
                <w:b w:val="0"/>
                <w:i w:val="0"/>
                <w:color w:val="1F2937"/>
                <w:sz w:val="16"/>
              </w:rPr>
              <w:t>Food Inflation CPI</w:t>
            </w:r>
          </w:p>
        </w:tc>
        <w:tc>
          <w:tcPr>
            <w:tcW w:type="dxa" w:w="3528"/>
            <w:vAlign w:val="center"/>
            <w:tcMar>
              <w:top w:w="100" w:type="dxa"/>
              <w:start w:w="120" w:type="dxa"/>
              <w:bottom w:w="100" w:type="dxa"/>
              <w:end w:w="120" w:type="dxa"/>
            </w:tcMar>
            <w:shd w:fill="F4F6F8"/>
          </w:tcPr>
          <w:p>
            <w:pPr>
              <w:spacing w:after="0" w:line="240" w:lineRule="auto"/>
            </w:pPr>
            <w:r/>
            <w:r>
              <w:rPr>
                <w:rFonts w:ascii="Arial" w:hAnsi="Arial" w:eastAsia="Arial"/>
                <w:b w:val="0"/>
                <w:i w:val="0"/>
                <w:color w:val="1F2937"/>
                <w:sz w:val="16"/>
              </w:rPr>
              <w:t>Food CPI index level</w:t>
            </w:r>
          </w:p>
        </w:tc>
        <w:tc>
          <w:tcPr>
            <w:tcW w:type="dxa" w:w="3672"/>
            <w:vAlign w:val="center"/>
            <w:tcMar>
              <w:top w:w="100" w:type="dxa"/>
              <w:start w:w="120" w:type="dxa"/>
              <w:bottom w:w="100" w:type="dxa"/>
              <w:end w:w="120" w:type="dxa"/>
            </w:tcMar>
            <w:shd w:fill="F4F6F8"/>
          </w:tcPr>
          <w:p>
            <w:pPr>
              <w:spacing w:after="0" w:line="240" w:lineRule="auto"/>
            </w:pPr>
            <w:r/>
            <w:r>
              <w:rPr>
                <w:rFonts w:ascii="Arial" w:hAnsi="Arial" w:eastAsia="Arial"/>
                <w:b w:val="0"/>
                <w:i w:val="0"/>
                <w:color w:val="1F2937"/>
                <w:sz w:val="16"/>
              </w:rPr>
              <w:t>Available to broader candidate models.</w:t>
            </w:r>
          </w:p>
        </w:tc>
      </w:tr>
      <w:tr>
        <w:trPr>
          <w:cantSplit/>
        </w:trPr>
        <w:tc>
          <w:tcPr>
            <w:tcW w:type="dxa" w:w="691"/>
            <w:vAlign w:val="center"/>
            <w:tcMar>
              <w:top w:w="100" w:type="dxa"/>
              <w:start w:w="120" w:type="dxa"/>
              <w:bottom w:w="100" w:type="dxa"/>
              <w:end w:w="120" w:type="dxa"/>
            </w:tcMar>
          </w:tcPr>
          <w:p>
            <w:pPr>
              <w:spacing w:after="0" w:line="240" w:lineRule="auto"/>
            </w:pPr>
            <w:r/>
            <w:r>
              <w:rPr>
                <w:rFonts w:ascii="Arial" w:hAnsi="Arial" w:eastAsia="Arial"/>
                <w:b w:val="0"/>
                <w:i w:val="0"/>
                <w:color w:val="1F2937"/>
                <w:sz w:val="16"/>
              </w:rPr>
              <w:t>E</w:t>
            </w:r>
          </w:p>
        </w:tc>
        <w:tc>
          <w:tcPr>
            <w:tcW w:type="dxa" w:w="1944"/>
            <w:vAlign w:val="center"/>
            <w:tcMar>
              <w:top w:w="100" w:type="dxa"/>
              <w:start w:w="120" w:type="dxa"/>
              <w:bottom w:w="100" w:type="dxa"/>
              <w:end w:w="120" w:type="dxa"/>
            </w:tcMar>
          </w:tcPr>
          <w:p>
            <w:pPr>
              <w:spacing w:after="0" w:line="240" w:lineRule="auto"/>
            </w:pPr>
            <w:r/>
            <w:r>
              <w:rPr>
                <w:rFonts w:ascii="Arial" w:hAnsi="Arial" w:eastAsia="Arial"/>
                <w:b w:val="0"/>
                <w:i w:val="0"/>
                <w:color w:val="1F2937"/>
                <w:sz w:val="16"/>
              </w:rPr>
              <w:t>MPR</w:t>
            </w:r>
          </w:p>
        </w:tc>
        <w:tc>
          <w:tcPr>
            <w:tcW w:type="dxa" w:w="3528"/>
            <w:vAlign w:val="center"/>
            <w:tcMar>
              <w:top w:w="100" w:type="dxa"/>
              <w:start w:w="120" w:type="dxa"/>
              <w:bottom w:w="100" w:type="dxa"/>
              <w:end w:w="120" w:type="dxa"/>
            </w:tcMar>
          </w:tcPr>
          <w:p>
            <w:pPr>
              <w:spacing w:after="0" w:line="240" w:lineRule="auto"/>
            </w:pPr>
            <w:r/>
            <w:r>
              <w:rPr>
                <w:rFonts w:ascii="Arial" w:hAnsi="Arial" w:eastAsia="Arial"/>
                <w:b w:val="0"/>
                <w:i w:val="0"/>
                <w:color w:val="1F2937"/>
                <w:sz w:val="16"/>
              </w:rPr>
              <w:t>Monetary Policy Rate in per cent</w:t>
            </w:r>
          </w:p>
        </w:tc>
        <w:tc>
          <w:tcPr>
            <w:tcW w:type="dxa" w:w="3672"/>
            <w:vAlign w:val="center"/>
            <w:tcMar>
              <w:top w:w="100" w:type="dxa"/>
              <w:start w:w="120" w:type="dxa"/>
              <w:bottom w:w="100" w:type="dxa"/>
              <w:end w:w="120" w:type="dxa"/>
            </w:tcMar>
          </w:tcPr>
          <w:p>
            <w:pPr>
              <w:spacing w:after="0" w:line="240" w:lineRule="auto"/>
            </w:pPr>
            <w:r/>
            <w:r>
              <w:rPr>
                <w:rFonts w:ascii="Arial" w:hAnsi="Arial" w:eastAsia="Arial"/>
                <w:b w:val="0"/>
                <w:i w:val="0"/>
                <w:color w:val="1F2937"/>
                <w:sz w:val="16"/>
              </w:rPr>
              <w:t>Available to broader candidate models.</w:t>
            </w:r>
          </w:p>
        </w:tc>
      </w:tr>
      <w:tr>
        <w:trPr>
          <w:cantSplit/>
        </w:trPr>
        <w:tc>
          <w:tcPr>
            <w:tcW w:type="dxa" w:w="691"/>
            <w:vAlign w:val="center"/>
            <w:tcMar>
              <w:top w:w="100" w:type="dxa"/>
              <w:start w:w="120" w:type="dxa"/>
              <w:bottom w:w="100" w:type="dxa"/>
              <w:end w:w="120" w:type="dxa"/>
            </w:tcMar>
            <w:shd w:fill="F4F6F8"/>
          </w:tcPr>
          <w:p>
            <w:pPr>
              <w:spacing w:after="0" w:line="240" w:lineRule="auto"/>
            </w:pPr>
            <w:r/>
            <w:r>
              <w:rPr>
                <w:rFonts w:ascii="Arial" w:hAnsi="Arial" w:eastAsia="Arial"/>
                <w:b w:val="0"/>
                <w:i w:val="0"/>
                <w:color w:val="1F2937"/>
                <w:sz w:val="16"/>
              </w:rPr>
              <w:t>F</w:t>
            </w:r>
          </w:p>
        </w:tc>
        <w:tc>
          <w:tcPr>
            <w:tcW w:type="dxa" w:w="1944"/>
            <w:vAlign w:val="center"/>
            <w:tcMar>
              <w:top w:w="100" w:type="dxa"/>
              <w:start w:w="120" w:type="dxa"/>
              <w:bottom w:w="100" w:type="dxa"/>
              <w:end w:w="120" w:type="dxa"/>
            </w:tcMar>
            <w:shd w:fill="F4F6F8"/>
          </w:tcPr>
          <w:p>
            <w:pPr>
              <w:spacing w:after="0" w:line="240" w:lineRule="auto"/>
            </w:pPr>
            <w:r/>
            <w:r>
              <w:rPr>
                <w:rFonts w:ascii="Arial" w:hAnsi="Arial" w:eastAsia="Arial"/>
                <w:b w:val="0"/>
                <w:i w:val="0"/>
                <w:color w:val="1F2937"/>
                <w:sz w:val="16"/>
              </w:rPr>
              <w:t>BDC</w:t>
            </w:r>
          </w:p>
        </w:tc>
        <w:tc>
          <w:tcPr>
            <w:tcW w:type="dxa" w:w="3528"/>
            <w:vAlign w:val="center"/>
            <w:tcMar>
              <w:top w:w="100" w:type="dxa"/>
              <w:start w:w="120" w:type="dxa"/>
              <w:bottom w:w="100" w:type="dxa"/>
              <w:end w:w="120" w:type="dxa"/>
            </w:tcMar>
            <w:shd w:fill="F4F6F8"/>
          </w:tcPr>
          <w:p>
            <w:pPr>
              <w:spacing w:after="0" w:line="240" w:lineRule="auto"/>
            </w:pPr>
            <w:r/>
            <w:r>
              <w:rPr>
                <w:rFonts w:ascii="Arial" w:hAnsi="Arial" w:eastAsia="Arial"/>
                <w:b w:val="0"/>
                <w:i w:val="0"/>
                <w:color w:val="1F2937"/>
                <w:sz w:val="16"/>
              </w:rPr>
              <w:t>Exchange rate level</w:t>
            </w:r>
          </w:p>
        </w:tc>
        <w:tc>
          <w:tcPr>
            <w:tcW w:type="dxa" w:w="3672"/>
            <w:vAlign w:val="center"/>
            <w:tcMar>
              <w:top w:w="100" w:type="dxa"/>
              <w:start w:w="120" w:type="dxa"/>
              <w:bottom w:w="100" w:type="dxa"/>
              <w:end w:w="120" w:type="dxa"/>
            </w:tcMar>
            <w:shd w:fill="F4F6F8"/>
          </w:tcPr>
          <w:p>
            <w:pPr>
              <w:spacing w:after="0" w:line="240" w:lineRule="auto"/>
            </w:pPr>
            <w:r/>
            <w:r>
              <w:rPr>
                <w:rFonts w:ascii="Arial" w:hAnsi="Arial" w:eastAsia="Arial"/>
                <w:b w:val="0"/>
                <w:i w:val="0"/>
                <w:color w:val="1F2937"/>
                <w:sz w:val="16"/>
              </w:rPr>
              <w:t>Converted to year-on-year and quarter-on-quarter changes; required by the publication gate.</w:t>
            </w:r>
          </w:p>
        </w:tc>
      </w:tr>
      <w:tr>
        <w:trPr>
          <w:cantSplit/>
        </w:trPr>
        <w:tc>
          <w:tcPr>
            <w:tcW w:type="dxa" w:w="691"/>
            <w:vAlign w:val="center"/>
            <w:tcMar>
              <w:top w:w="100" w:type="dxa"/>
              <w:start w:w="120" w:type="dxa"/>
              <w:bottom w:w="100" w:type="dxa"/>
              <w:end w:w="120" w:type="dxa"/>
            </w:tcMar>
          </w:tcPr>
          <w:p>
            <w:pPr>
              <w:spacing w:after="0" w:line="240" w:lineRule="auto"/>
            </w:pPr>
            <w:r/>
            <w:r>
              <w:rPr>
                <w:rFonts w:ascii="Arial" w:hAnsi="Arial" w:eastAsia="Arial"/>
                <w:b w:val="0"/>
                <w:i w:val="0"/>
                <w:color w:val="1F2937"/>
                <w:sz w:val="16"/>
              </w:rPr>
              <w:t>G</w:t>
            </w:r>
          </w:p>
        </w:tc>
        <w:tc>
          <w:tcPr>
            <w:tcW w:type="dxa" w:w="1944"/>
            <w:vAlign w:val="center"/>
            <w:tcMar>
              <w:top w:w="100" w:type="dxa"/>
              <w:start w:w="120" w:type="dxa"/>
              <w:bottom w:w="100" w:type="dxa"/>
              <w:end w:w="120" w:type="dxa"/>
            </w:tcMar>
          </w:tcPr>
          <w:p>
            <w:pPr>
              <w:spacing w:after="0" w:line="240" w:lineRule="auto"/>
            </w:pPr>
            <w:r/>
            <w:r>
              <w:rPr>
                <w:rFonts w:ascii="Arial" w:hAnsi="Arial" w:eastAsia="Arial"/>
                <w:b w:val="0"/>
                <w:i w:val="0"/>
                <w:color w:val="1F2937"/>
                <w:sz w:val="16"/>
              </w:rPr>
              <w:t>COP</w:t>
            </w:r>
          </w:p>
        </w:tc>
        <w:tc>
          <w:tcPr>
            <w:tcW w:type="dxa" w:w="3528"/>
            <w:vAlign w:val="center"/>
            <w:tcMar>
              <w:top w:w="100" w:type="dxa"/>
              <w:start w:w="120" w:type="dxa"/>
              <w:bottom w:w="100" w:type="dxa"/>
              <w:end w:w="120" w:type="dxa"/>
            </w:tcMar>
          </w:tcPr>
          <w:p>
            <w:pPr>
              <w:spacing w:after="0" w:line="240" w:lineRule="auto"/>
            </w:pPr>
            <w:r/>
            <w:r>
              <w:rPr>
                <w:rFonts w:ascii="Arial" w:hAnsi="Arial" w:eastAsia="Arial"/>
                <w:b w:val="0"/>
                <w:i w:val="0"/>
                <w:color w:val="1F2937"/>
                <w:sz w:val="16"/>
              </w:rPr>
              <w:t>Crude-oil price level</w:t>
            </w:r>
          </w:p>
        </w:tc>
        <w:tc>
          <w:tcPr>
            <w:tcW w:type="dxa" w:w="3672"/>
            <w:vAlign w:val="center"/>
            <w:tcMar>
              <w:top w:w="100" w:type="dxa"/>
              <w:start w:w="120" w:type="dxa"/>
              <w:bottom w:w="100" w:type="dxa"/>
              <w:end w:w="120" w:type="dxa"/>
            </w:tcMar>
          </w:tcPr>
          <w:p>
            <w:pPr>
              <w:spacing w:after="0" w:line="240" w:lineRule="auto"/>
            </w:pPr>
            <w:r/>
            <w:r>
              <w:rPr>
                <w:rFonts w:ascii="Arial" w:hAnsi="Arial" w:eastAsia="Arial"/>
                <w:b w:val="0"/>
                <w:i w:val="0"/>
                <w:color w:val="1F2937"/>
                <w:sz w:val="16"/>
              </w:rPr>
              <w:t>Converted to year-on-year and quarter-on-quarter changes; required by the publication gate.</w:t>
            </w:r>
          </w:p>
        </w:tc>
      </w:tr>
      <w:tr>
        <w:trPr>
          <w:cantSplit/>
        </w:trPr>
        <w:tc>
          <w:tcPr>
            <w:tcW w:type="dxa" w:w="691"/>
            <w:vAlign w:val="center"/>
            <w:tcMar>
              <w:top w:w="100" w:type="dxa"/>
              <w:start w:w="120" w:type="dxa"/>
              <w:bottom w:w="100" w:type="dxa"/>
              <w:end w:w="120" w:type="dxa"/>
            </w:tcMar>
            <w:shd w:fill="F4F6F8"/>
          </w:tcPr>
          <w:p>
            <w:pPr>
              <w:spacing w:after="0" w:line="240" w:lineRule="auto"/>
            </w:pPr>
            <w:r/>
            <w:r>
              <w:rPr>
                <w:rFonts w:ascii="Arial" w:hAnsi="Arial" w:eastAsia="Arial"/>
                <w:b w:val="0"/>
                <w:i w:val="0"/>
                <w:color w:val="1F2937"/>
                <w:sz w:val="16"/>
              </w:rPr>
              <w:t>H</w:t>
            </w:r>
          </w:p>
        </w:tc>
        <w:tc>
          <w:tcPr>
            <w:tcW w:type="dxa" w:w="1944"/>
            <w:vAlign w:val="center"/>
            <w:tcMar>
              <w:top w:w="100" w:type="dxa"/>
              <w:start w:w="120" w:type="dxa"/>
              <w:bottom w:w="100" w:type="dxa"/>
              <w:end w:w="120" w:type="dxa"/>
            </w:tcMar>
            <w:shd w:fill="F4F6F8"/>
          </w:tcPr>
          <w:p>
            <w:pPr>
              <w:spacing w:after="0" w:line="240" w:lineRule="auto"/>
            </w:pPr>
            <w:r/>
            <w:r>
              <w:rPr>
                <w:rFonts w:ascii="Arial" w:hAnsi="Arial" w:eastAsia="Arial"/>
                <w:b w:val="0"/>
                <w:i w:val="0"/>
                <w:color w:val="1F2937"/>
                <w:sz w:val="16"/>
              </w:rPr>
              <w:t>M2</w:t>
            </w:r>
          </w:p>
        </w:tc>
        <w:tc>
          <w:tcPr>
            <w:tcW w:type="dxa" w:w="3528"/>
            <w:vAlign w:val="center"/>
            <w:tcMar>
              <w:top w:w="100" w:type="dxa"/>
              <w:start w:w="120" w:type="dxa"/>
              <w:bottom w:w="100" w:type="dxa"/>
              <w:end w:w="120" w:type="dxa"/>
            </w:tcMar>
            <w:shd w:fill="F4F6F8"/>
          </w:tcPr>
          <w:p>
            <w:pPr>
              <w:spacing w:after="0" w:line="240" w:lineRule="auto"/>
            </w:pPr>
            <w:r/>
            <w:r>
              <w:rPr>
                <w:rFonts w:ascii="Arial" w:hAnsi="Arial" w:eastAsia="Arial"/>
                <w:b w:val="0"/>
                <w:i w:val="0"/>
                <w:color w:val="1F2937"/>
                <w:sz w:val="16"/>
              </w:rPr>
              <w:t>Broad money level</w:t>
            </w:r>
          </w:p>
        </w:tc>
        <w:tc>
          <w:tcPr>
            <w:tcW w:type="dxa" w:w="3672"/>
            <w:vAlign w:val="center"/>
            <w:tcMar>
              <w:top w:w="100" w:type="dxa"/>
              <w:start w:w="120" w:type="dxa"/>
              <w:bottom w:w="100" w:type="dxa"/>
              <w:end w:w="120" w:type="dxa"/>
            </w:tcMar>
            <w:shd w:fill="F4F6F8"/>
          </w:tcPr>
          <w:p>
            <w:pPr>
              <w:spacing w:after="0" w:line="240" w:lineRule="auto"/>
            </w:pPr>
            <w:r/>
            <w:r>
              <w:rPr>
                <w:rFonts w:ascii="Arial" w:hAnsi="Arial" w:eastAsia="Arial"/>
                <w:b w:val="0"/>
                <w:i w:val="0"/>
                <w:color w:val="1F2937"/>
                <w:sz w:val="16"/>
              </w:rPr>
              <w:t>Converted to year-on-year growth for broader models.</w:t>
            </w:r>
          </w:p>
        </w:tc>
      </w:tr>
      <w:tr>
        <w:trPr>
          <w:cantSplit/>
        </w:trPr>
        <w:tc>
          <w:tcPr>
            <w:tcW w:type="dxa" w:w="691"/>
            <w:vAlign w:val="center"/>
            <w:tcMar>
              <w:top w:w="100" w:type="dxa"/>
              <w:start w:w="120" w:type="dxa"/>
              <w:bottom w:w="100" w:type="dxa"/>
              <w:end w:w="120" w:type="dxa"/>
            </w:tcMar>
          </w:tcPr>
          <w:p>
            <w:pPr>
              <w:spacing w:after="0" w:line="240" w:lineRule="auto"/>
            </w:pPr>
            <w:r/>
            <w:r>
              <w:rPr>
                <w:rFonts w:ascii="Arial" w:hAnsi="Arial" w:eastAsia="Arial"/>
                <w:b w:val="0"/>
                <w:i w:val="0"/>
                <w:color w:val="1F2937"/>
                <w:sz w:val="16"/>
              </w:rPr>
              <w:t>I</w:t>
            </w:r>
          </w:p>
        </w:tc>
        <w:tc>
          <w:tcPr>
            <w:tcW w:type="dxa" w:w="1944"/>
            <w:vAlign w:val="center"/>
            <w:tcMar>
              <w:top w:w="100" w:type="dxa"/>
              <w:start w:w="120" w:type="dxa"/>
              <w:bottom w:w="100" w:type="dxa"/>
              <w:end w:w="120" w:type="dxa"/>
            </w:tcMar>
          </w:tcPr>
          <w:p>
            <w:pPr>
              <w:spacing w:after="0" w:line="240" w:lineRule="auto"/>
            </w:pPr>
            <w:r/>
            <w:r>
              <w:rPr>
                <w:rFonts w:ascii="Arial" w:hAnsi="Arial" w:eastAsia="Arial"/>
                <w:b w:val="0"/>
                <w:i w:val="0"/>
                <w:color w:val="1F2937"/>
                <w:sz w:val="16"/>
              </w:rPr>
              <w:t>CPS</w:t>
            </w:r>
          </w:p>
        </w:tc>
        <w:tc>
          <w:tcPr>
            <w:tcW w:type="dxa" w:w="3528"/>
            <w:vAlign w:val="center"/>
            <w:tcMar>
              <w:top w:w="100" w:type="dxa"/>
              <w:start w:w="120" w:type="dxa"/>
              <w:bottom w:w="100" w:type="dxa"/>
              <w:end w:w="120" w:type="dxa"/>
            </w:tcMar>
          </w:tcPr>
          <w:p>
            <w:pPr>
              <w:spacing w:after="0" w:line="240" w:lineRule="auto"/>
            </w:pPr>
            <w:r/>
            <w:r>
              <w:rPr>
                <w:rFonts w:ascii="Arial" w:hAnsi="Arial" w:eastAsia="Arial"/>
                <w:b w:val="0"/>
                <w:i w:val="0"/>
                <w:color w:val="1F2937"/>
                <w:sz w:val="16"/>
              </w:rPr>
              <w:t>Credit to private sector level</w:t>
            </w:r>
          </w:p>
        </w:tc>
        <w:tc>
          <w:tcPr>
            <w:tcW w:type="dxa" w:w="3672"/>
            <w:vAlign w:val="center"/>
            <w:tcMar>
              <w:top w:w="100" w:type="dxa"/>
              <w:start w:w="120" w:type="dxa"/>
              <w:bottom w:w="100" w:type="dxa"/>
              <w:end w:w="120" w:type="dxa"/>
            </w:tcMar>
          </w:tcPr>
          <w:p>
            <w:pPr>
              <w:spacing w:after="0" w:line="240" w:lineRule="auto"/>
            </w:pPr>
            <w:r/>
            <w:r>
              <w:rPr>
                <w:rFonts w:ascii="Arial" w:hAnsi="Arial" w:eastAsia="Arial"/>
                <w:b w:val="0"/>
                <w:i w:val="0"/>
                <w:color w:val="1F2937"/>
                <w:sz w:val="16"/>
              </w:rPr>
              <w:t>Converted to year-on-year growth for broader models.</w:t>
            </w:r>
          </w:p>
        </w:tc>
      </w:tr>
      <w:tr>
        <w:trPr>
          <w:cantSplit/>
        </w:trPr>
        <w:tc>
          <w:tcPr>
            <w:tcW w:type="dxa" w:w="691"/>
            <w:vAlign w:val="center"/>
            <w:tcMar>
              <w:top w:w="100" w:type="dxa"/>
              <w:start w:w="120" w:type="dxa"/>
              <w:bottom w:w="100" w:type="dxa"/>
              <w:end w:w="120" w:type="dxa"/>
            </w:tcMar>
            <w:shd w:fill="F4F6F8"/>
          </w:tcPr>
          <w:p>
            <w:pPr>
              <w:spacing w:after="0" w:line="240" w:lineRule="auto"/>
            </w:pPr>
            <w:r/>
            <w:r>
              <w:rPr>
                <w:rFonts w:ascii="Arial" w:hAnsi="Arial" w:eastAsia="Arial"/>
                <w:b w:val="0"/>
                <w:i w:val="0"/>
                <w:color w:val="1F2937"/>
                <w:sz w:val="16"/>
              </w:rPr>
              <w:t>J</w:t>
            </w:r>
          </w:p>
        </w:tc>
        <w:tc>
          <w:tcPr>
            <w:tcW w:type="dxa" w:w="1944"/>
            <w:vAlign w:val="center"/>
            <w:tcMar>
              <w:top w:w="100" w:type="dxa"/>
              <w:start w:w="120" w:type="dxa"/>
              <w:bottom w:w="100" w:type="dxa"/>
              <w:end w:w="120" w:type="dxa"/>
            </w:tcMar>
            <w:shd w:fill="F4F6F8"/>
          </w:tcPr>
          <w:p>
            <w:pPr>
              <w:spacing w:after="0" w:line="240" w:lineRule="auto"/>
            </w:pPr>
            <w:r/>
            <w:r>
              <w:rPr>
                <w:rFonts w:ascii="Arial" w:hAnsi="Arial" w:eastAsia="Arial"/>
                <w:b w:val="0"/>
                <w:i w:val="0"/>
                <w:color w:val="1F2937"/>
                <w:sz w:val="16"/>
              </w:rPr>
              <w:t>CPD</w:t>
            </w:r>
          </w:p>
        </w:tc>
        <w:tc>
          <w:tcPr>
            <w:tcW w:type="dxa" w:w="3528"/>
            <w:vAlign w:val="center"/>
            <w:tcMar>
              <w:top w:w="100" w:type="dxa"/>
              <w:start w:w="120" w:type="dxa"/>
              <w:bottom w:w="100" w:type="dxa"/>
              <w:end w:w="120" w:type="dxa"/>
            </w:tcMar>
            <w:shd w:fill="F4F6F8"/>
          </w:tcPr>
          <w:p>
            <w:pPr>
              <w:spacing w:after="0" w:line="240" w:lineRule="auto"/>
            </w:pPr>
            <w:r/>
            <w:r>
              <w:rPr>
                <w:rFonts w:ascii="Arial" w:hAnsi="Arial" w:eastAsia="Arial"/>
                <w:b w:val="0"/>
                <w:i w:val="0"/>
                <w:color w:val="1F2937"/>
                <w:sz w:val="16"/>
              </w:rPr>
              <w:t>Credit or deposit measure used by the source model</w:t>
            </w:r>
          </w:p>
        </w:tc>
        <w:tc>
          <w:tcPr>
            <w:tcW w:type="dxa" w:w="3672"/>
            <w:vAlign w:val="center"/>
            <w:tcMar>
              <w:top w:w="100" w:type="dxa"/>
              <w:start w:w="120" w:type="dxa"/>
              <w:bottom w:w="100" w:type="dxa"/>
              <w:end w:w="120" w:type="dxa"/>
            </w:tcMar>
            <w:shd w:fill="F4F6F8"/>
          </w:tcPr>
          <w:p>
            <w:pPr>
              <w:spacing w:after="0" w:line="240" w:lineRule="auto"/>
            </w:pPr>
            <w:r/>
            <w:r>
              <w:rPr>
                <w:rFonts w:ascii="Arial" w:hAnsi="Arial" w:eastAsia="Arial"/>
                <w:b w:val="0"/>
                <w:i w:val="0"/>
                <w:color w:val="1F2937"/>
                <w:sz w:val="16"/>
              </w:rPr>
              <w:t>Available to the broad model.</w:t>
            </w:r>
          </w:p>
        </w:tc>
      </w:tr>
      <w:tr>
        <w:trPr>
          <w:cantSplit/>
        </w:trPr>
        <w:tc>
          <w:tcPr>
            <w:tcW w:type="dxa" w:w="691"/>
            <w:vAlign w:val="center"/>
            <w:tcMar>
              <w:top w:w="100" w:type="dxa"/>
              <w:start w:w="120" w:type="dxa"/>
              <w:bottom w:w="100" w:type="dxa"/>
              <w:end w:w="120" w:type="dxa"/>
            </w:tcMar>
          </w:tcPr>
          <w:p>
            <w:pPr>
              <w:spacing w:after="0" w:line="240" w:lineRule="auto"/>
            </w:pPr>
            <w:r/>
            <w:r>
              <w:rPr>
                <w:rFonts w:ascii="Arial" w:hAnsi="Arial" w:eastAsia="Arial"/>
                <w:b w:val="0"/>
                <w:i w:val="0"/>
                <w:color w:val="1F2937"/>
                <w:sz w:val="16"/>
              </w:rPr>
              <w:t>K</w:t>
            </w:r>
          </w:p>
        </w:tc>
        <w:tc>
          <w:tcPr>
            <w:tcW w:type="dxa" w:w="1944"/>
            <w:vAlign w:val="center"/>
            <w:tcMar>
              <w:top w:w="100" w:type="dxa"/>
              <w:start w:w="120" w:type="dxa"/>
              <w:bottom w:w="100" w:type="dxa"/>
              <w:end w:w="120" w:type="dxa"/>
            </w:tcMar>
          </w:tcPr>
          <w:p>
            <w:pPr>
              <w:spacing w:after="0" w:line="240" w:lineRule="auto"/>
            </w:pPr>
            <w:r/>
            <w:r>
              <w:rPr>
                <w:rFonts w:ascii="Arial" w:hAnsi="Arial" w:eastAsia="Arial"/>
                <w:b w:val="0"/>
                <w:i w:val="0"/>
                <w:color w:val="1F2937"/>
                <w:sz w:val="16"/>
              </w:rPr>
              <w:t>Inflation Risk Index</w:t>
            </w:r>
          </w:p>
        </w:tc>
        <w:tc>
          <w:tcPr>
            <w:tcW w:type="dxa" w:w="3528"/>
            <w:vAlign w:val="center"/>
            <w:tcMar>
              <w:top w:w="100" w:type="dxa"/>
              <w:start w:w="120" w:type="dxa"/>
              <w:bottom w:w="100" w:type="dxa"/>
              <w:end w:w="120" w:type="dxa"/>
            </w:tcMar>
          </w:tcPr>
          <w:p>
            <w:pPr>
              <w:spacing w:after="0" w:line="240" w:lineRule="auto"/>
            </w:pPr>
            <w:r/>
            <w:r>
              <w:rPr>
                <w:rFonts w:ascii="Arial" w:hAnsi="Arial" w:eastAsia="Arial"/>
                <w:b w:val="0"/>
                <w:i w:val="0"/>
                <w:color w:val="1F2937"/>
                <w:sz w:val="16"/>
              </w:rPr>
              <w:t>CAPE inflation-risk index</w:t>
            </w:r>
          </w:p>
        </w:tc>
        <w:tc>
          <w:tcPr>
            <w:tcW w:type="dxa" w:w="3672"/>
            <w:vAlign w:val="center"/>
            <w:tcMar>
              <w:top w:w="100" w:type="dxa"/>
              <w:start w:w="120" w:type="dxa"/>
              <w:bottom w:w="100" w:type="dxa"/>
              <w:end w:w="120" w:type="dxa"/>
            </w:tcMar>
          </w:tcPr>
          <w:p>
            <w:pPr>
              <w:spacing w:after="0" w:line="240" w:lineRule="auto"/>
            </w:pPr>
            <w:r/>
            <w:r>
              <w:rPr>
                <w:rFonts w:ascii="Arial" w:hAnsi="Arial" w:eastAsia="Arial"/>
                <w:b w:val="0"/>
                <w:i w:val="0"/>
                <w:color w:val="1F2937"/>
                <w:sz w:val="16"/>
              </w:rPr>
              <w:t>Available to the broad model.</w:t>
            </w:r>
          </w:p>
        </w:tc>
      </w:tr>
      <w:tr>
        <w:trPr>
          <w:cantSplit/>
        </w:trPr>
        <w:tc>
          <w:tcPr>
            <w:tcW w:type="dxa" w:w="691"/>
            <w:vAlign w:val="center"/>
            <w:tcMar>
              <w:top w:w="100" w:type="dxa"/>
              <w:start w:w="120" w:type="dxa"/>
              <w:bottom w:w="100" w:type="dxa"/>
              <w:end w:w="120" w:type="dxa"/>
            </w:tcMar>
            <w:shd w:fill="F4F6F8"/>
          </w:tcPr>
          <w:p>
            <w:pPr>
              <w:spacing w:after="0" w:line="240" w:lineRule="auto"/>
            </w:pPr>
            <w:r/>
            <w:r>
              <w:rPr>
                <w:rFonts w:ascii="Arial" w:hAnsi="Arial" w:eastAsia="Arial"/>
                <w:b w:val="0"/>
                <w:i w:val="0"/>
                <w:color w:val="1F2937"/>
                <w:sz w:val="16"/>
              </w:rPr>
              <w:t>L</w:t>
            </w:r>
          </w:p>
        </w:tc>
        <w:tc>
          <w:tcPr>
            <w:tcW w:type="dxa" w:w="1944"/>
            <w:vAlign w:val="center"/>
            <w:tcMar>
              <w:top w:w="100" w:type="dxa"/>
              <w:start w:w="120" w:type="dxa"/>
              <w:bottom w:w="100" w:type="dxa"/>
              <w:end w:w="120" w:type="dxa"/>
            </w:tcMar>
            <w:shd w:fill="F4F6F8"/>
          </w:tcPr>
          <w:p>
            <w:pPr>
              <w:spacing w:after="0" w:line="240" w:lineRule="auto"/>
            </w:pPr>
            <w:r/>
            <w:r>
              <w:rPr>
                <w:rFonts w:ascii="Arial" w:hAnsi="Arial" w:eastAsia="Arial"/>
                <w:b w:val="0"/>
                <w:i w:val="0"/>
                <w:color w:val="1F2937"/>
                <w:sz w:val="16"/>
              </w:rPr>
              <w:t>PMI</w:t>
            </w:r>
          </w:p>
        </w:tc>
        <w:tc>
          <w:tcPr>
            <w:tcW w:type="dxa" w:w="3528"/>
            <w:vAlign w:val="center"/>
            <w:tcMar>
              <w:top w:w="100" w:type="dxa"/>
              <w:start w:w="120" w:type="dxa"/>
              <w:bottom w:w="100" w:type="dxa"/>
              <w:end w:w="120" w:type="dxa"/>
            </w:tcMar>
            <w:shd w:fill="F4F6F8"/>
          </w:tcPr>
          <w:p>
            <w:pPr>
              <w:spacing w:after="0" w:line="240" w:lineRule="auto"/>
            </w:pPr>
            <w:r/>
            <w:r>
              <w:rPr>
                <w:rFonts w:ascii="Arial" w:hAnsi="Arial" w:eastAsia="Arial"/>
                <w:b w:val="0"/>
                <w:i w:val="0"/>
                <w:color w:val="1F2937"/>
                <w:sz w:val="16"/>
              </w:rPr>
              <w:t>Nigeria PMI index level</w:t>
            </w:r>
          </w:p>
        </w:tc>
        <w:tc>
          <w:tcPr>
            <w:tcW w:type="dxa" w:w="3672"/>
            <w:vAlign w:val="center"/>
            <w:tcMar>
              <w:top w:w="100" w:type="dxa"/>
              <w:start w:w="120" w:type="dxa"/>
              <w:bottom w:w="100" w:type="dxa"/>
              <w:end w:w="120" w:type="dxa"/>
            </w:tcMar>
            <w:shd w:fill="F4F6F8"/>
          </w:tcPr>
          <w:p>
            <w:pPr>
              <w:spacing w:after="0" w:line="240" w:lineRule="auto"/>
            </w:pPr>
            <w:r/>
            <w:r>
              <w:rPr>
                <w:rFonts w:ascii="Arial" w:hAnsi="Arial" w:eastAsia="Arial"/>
                <w:b w:val="0"/>
                <w:i w:val="0"/>
                <w:color w:val="1F2937"/>
                <w:sz w:val="16"/>
              </w:rPr>
              <w:t>Activity overlay and required by the publication gate. Always update PMI here.</w:t>
            </w:r>
          </w:p>
        </w:tc>
      </w:tr>
    </w:tbl>
    <w:p>
      <w:pPr>
        <w:spacing w:after="40"/>
      </w:pPr>
    </w:p>
    <w:p>
      <w:pPr>
        <w:keepNext w:val="0"/>
        <w:spacing w:after="120" w:line="259" w:lineRule="auto"/>
      </w:pPr>
      <w:r>
        <w:rPr>
          <w:rFonts w:ascii="Arial" w:hAnsi="Arial" w:eastAsia="Arial"/>
          <w:b/>
          <w:i w:val="0"/>
          <w:color w:val="1F2937"/>
          <w:sz w:val="21"/>
        </w:rPr>
        <w:t>Data-entry rules.</w:t>
      </w:r>
      <w:r>
        <w:rPr>
          <w:rFonts w:ascii="Arial" w:hAnsi="Arial" w:eastAsia="Arial"/>
          <w:b w:val="0"/>
          <w:i w:val="0"/>
          <w:color w:val="1F2937"/>
          <w:sz w:val="21"/>
        </w:rPr>
      </w:r>
    </w:p>
    <w:p>
      <w:pPr>
        <w:pStyle w:val="ListBullet"/>
        <w:spacing w:after="60" w:line="252" w:lineRule="auto"/>
      </w:pPr>
      <w:r>
        <w:rPr>
          <w:rFonts w:ascii="Arial" w:hAnsi="Arial" w:eastAsia="Arial"/>
          <w:b w:val="0"/>
          <w:i w:val="0"/>
          <w:color w:val="1F2937"/>
          <w:sz w:val="21"/>
        </w:rPr>
        <w:t>Enter numbers as numeric values, not text with commas, spaces or percent signs.</w:t>
      </w:r>
    </w:p>
    <w:p>
      <w:pPr>
        <w:pStyle w:val="ListBullet"/>
        <w:spacing w:after="60" w:line="252" w:lineRule="auto"/>
      </w:pPr>
      <w:r>
        <w:rPr>
          <w:rFonts w:ascii="Arial" w:hAnsi="Arial" w:eastAsia="Arial"/>
          <w:b w:val="0"/>
          <w:i w:val="0"/>
          <w:color w:val="1F2937"/>
          <w:sz w:val="21"/>
        </w:rPr>
        <w:t>Do not replace missing observations with zero. Leave unavailable cells blank.</w:t>
      </w:r>
    </w:p>
    <w:p>
      <w:pPr>
        <w:pStyle w:val="ListBullet"/>
        <w:spacing w:after="60" w:line="252" w:lineRule="auto"/>
      </w:pPr>
      <w:r>
        <w:rPr>
          <w:rFonts w:ascii="Arial" w:hAnsi="Arial" w:eastAsia="Arial"/>
          <w:b w:val="0"/>
          <w:i w:val="0"/>
          <w:color w:val="1F2937"/>
          <w:sz w:val="21"/>
        </w:rPr>
        <w:t>Do not insert a second PMI column. The automation reads PMI from column L.</w:t>
      </w:r>
    </w:p>
    <w:p>
      <w:pPr>
        <w:pStyle w:val="ListBullet"/>
        <w:spacing w:after="60" w:line="252" w:lineRule="auto"/>
      </w:pPr>
      <w:r>
        <w:rPr>
          <w:rFonts w:ascii="Arial" w:hAnsi="Arial" w:eastAsia="Arial"/>
          <w:b w:val="0"/>
          <w:i w:val="0"/>
          <w:color w:val="1F2937"/>
          <w:sz w:val="21"/>
        </w:rPr>
        <w:t>Do not sort only one column. Every monthly row must remain aligned across all variables.</w:t>
      </w:r>
    </w:p>
    <w:p>
      <w:pPr>
        <w:pStyle w:val="ListBullet"/>
        <w:spacing w:after="60" w:line="252" w:lineRule="auto"/>
      </w:pPr>
      <w:r>
        <w:rPr>
          <w:rFonts w:ascii="Arial" w:hAnsi="Arial" w:eastAsia="Arial"/>
          <w:b w:val="0"/>
          <w:i w:val="0"/>
          <w:color w:val="1F2937"/>
          <w:sz w:val="21"/>
        </w:rPr>
        <w:t>When a revised official value is received, replace the old value in the same monthly row and record the revision in the team's data log.</w:t>
      </w:r>
    </w:p>
    <w:p>
      <w:pPr>
        <w:pStyle w:val="Heading2"/>
        <w:keepNext/>
        <w:spacing w:before="140" w:after="80"/>
      </w:pPr>
      <w:r>
        <w:rPr>
          <w:rFonts w:ascii="Arial" w:hAnsi="Arial" w:eastAsia="Arial"/>
          <w:b/>
          <w:i w:val="0"/>
          <w:color w:val="000000"/>
          <w:sz w:val="24"/>
        </w:rPr>
        <w:t>Quarterly Data worksheet</w:t>
      </w:r>
    </w:p>
    <w:p>
      <w:pPr>
        <w:keepNext w:val="0"/>
        <w:spacing w:after="120" w:line="259" w:lineRule="auto"/>
      </w:pPr>
      <w:r>
        <w:rPr>
          <w:rFonts w:ascii="Arial" w:hAnsi="Arial" w:eastAsia="Arial"/>
          <w:b w:val="0"/>
          <w:i w:val="0"/>
          <w:color w:val="1F2937"/>
          <w:sz w:val="21"/>
        </w:rPr>
        <w:t>Add a new row only when the National Bureau of Statistics releases an official quarterly real GDP growth figure. Enter the year in column A, the quarter label in column B and real GDP growth in column C. The existing workbook stores growth as a decimal, for example 0.0443 for 4.43 per cent. The estimator also recognises a percentage value such as 4.43, but continuing the existing decimal convention is recommended.</w:t>
      </w:r>
    </w:p>
    <w:p>
      <w:pPr>
        <w:keepNext w:val="0"/>
        <w:spacing w:after="120" w:line="259" w:lineRule="auto"/>
      </w:pPr>
      <w:r>
        <w:rPr>
          <w:rFonts w:ascii="Arial" w:hAnsi="Arial" w:eastAsia="Arial"/>
          <w:b w:val="0"/>
          <w:i w:val="0"/>
          <w:color w:val="1F2937"/>
          <w:sz w:val="21"/>
        </w:rPr>
        <w:t>The target quarter is identified automatically as the quarter immediately after the latest official observation. For example, if the last official row is 2026Q2, the target is 2026Q3. Once official 2026Q3 GDP is added, the next run moves the target to 2026Q4.</w:t>
      </w:r>
    </w:p>
    <w:p>
      <w:pPr>
        <w:pStyle w:val="Heading1"/>
        <w:keepNext/>
        <w:spacing w:before="200" w:after="80"/>
      </w:pPr>
      <w:r>
        <w:rPr>
          <w:rFonts w:ascii="Arial" w:hAnsi="Arial" w:eastAsia="Arial"/>
          <w:b/>
          <w:i w:val="0"/>
          <w:color w:val="000000"/>
          <w:sz w:val="30"/>
        </w:rPr>
        <w:t>Publication rule and data completeness</w:t>
      </w:r>
    </w:p>
    <w:p>
      <w:pPr>
        <w:keepNext w:val="0"/>
        <w:spacing w:after="120" w:line="259" w:lineRule="auto"/>
      </w:pPr>
      <w:r>
        <w:rPr>
          <w:rFonts w:ascii="Arial" w:hAnsi="Arial" w:eastAsia="Arial"/>
          <w:b w:val="0"/>
          <w:i w:val="0"/>
          <w:color w:val="1F2937"/>
          <w:sz w:val="21"/>
        </w:rPr>
        <w:t>For each month in the target quarter, the system checks four fields in the master workbook: headline CPI, exchange rate, crude-oil price and PMI. A month is complete only when all four values are numeric. The public release mode is determined as follows.</w:t>
      </w:r>
    </w:p>
    <w:tbl>
      <w:tblPr>
        <w:tblW w:type="auto" w:w="0"/>
        <w:jc w:val="center"/>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3331"/>
        <w:gridCol w:w="3331"/>
        <w:gridCol w:w="3331"/>
      </w:tblGrid>
      <w:tr>
        <w:trPr>
          <w:tblHeader w:val="true"/>
          <w:cantSplit/>
        </w:trPr>
        <w:tc>
          <w:tcPr>
            <w:tcW w:type="dxa" w:w="2376"/>
            <w:vAlign w:val="center"/>
            <w:shd w:fill="1F4E78"/>
            <w:tcMar>
              <w:top w:w="100" w:type="dxa"/>
              <w:start w:w="120" w:type="dxa"/>
              <w:bottom w:w="100" w:type="dxa"/>
              <w:end w:w="120" w:type="dxa"/>
            </w:tcMar>
          </w:tcPr>
          <w:p>
            <w:pPr>
              <w:spacing w:after="0"/>
            </w:pPr>
            <w:r/>
            <w:r>
              <w:rPr>
                <w:rFonts w:ascii="Arial" w:hAnsi="Arial" w:eastAsia="Arial"/>
                <w:b/>
                <w:i w:val="0"/>
                <w:color w:val="FFFFFF"/>
                <w:sz w:val="17"/>
              </w:rPr>
              <w:t>Condition</w:t>
            </w:r>
          </w:p>
        </w:tc>
        <w:tc>
          <w:tcPr>
            <w:tcW w:type="dxa" w:w="3672"/>
            <w:vAlign w:val="center"/>
            <w:shd w:fill="1F4E78"/>
            <w:tcMar>
              <w:top w:w="100" w:type="dxa"/>
              <w:start w:w="120" w:type="dxa"/>
              <w:bottom w:w="100" w:type="dxa"/>
              <w:end w:w="120" w:type="dxa"/>
            </w:tcMar>
          </w:tcPr>
          <w:p>
            <w:pPr>
              <w:spacing w:after="0"/>
            </w:pPr>
            <w:r/>
            <w:r>
              <w:rPr>
                <w:rFonts w:ascii="Arial" w:hAnsi="Arial" w:eastAsia="Arial"/>
                <w:b/>
                <w:i w:val="0"/>
                <w:color w:val="FFFFFF"/>
                <w:sz w:val="17"/>
              </w:rPr>
              <w:t>Workbook output</w:t>
            </w:r>
          </w:p>
        </w:tc>
        <w:tc>
          <w:tcPr>
            <w:tcW w:type="dxa" w:w="3960"/>
            <w:vAlign w:val="center"/>
            <w:shd w:fill="1F4E78"/>
            <w:tcMar>
              <w:top w:w="100" w:type="dxa"/>
              <w:start w:w="120" w:type="dxa"/>
              <w:bottom w:w="100" w:type="dxa"/>
              <w:end w:w="120" w:type="dxa"/>
            </w:tcMar>
          </w:tcPr>
          <w:p>
            <w:pPr>
              <w:spacing w:after="0"/>
            </w:pPr>
            <w:r/>
            <w:r>
              <w:rPr>
                <w:rFonts w:ascii="Arial" w:hAnsi="Arial" w:eastAsia="Arial"/>
                <w:b/>
                <w:i w:val="0"/>
                <w:color w:val="FFFFFF"/>
                <w:sz w:val="17"/>
              </w:rPr>
              <w:t>Newsletter output</w:t>
            </w:r>
          </w:p>
        </w:tc>
      </w:tr>
      <w:tr>
        <w:trPr>
          <w:cantSplit/>
        </w:trPr>
        <w:tc>
          <w:tcPr>
            <w:tcW w:type="dxa" w:w="2376"/>
            <w:vAlign w:val="center"/>
            <w:tcMar>
              <w:top w:w="100" w:type="dxa"/>
              <w:start w:w="120" w:type="dxa"/>
              <w:bottom w:w="100" w:type="dxa"/>
              <w:end w:w="120" w:type="dxa"/>
            </w:tcMar>
          </w:tcPr>
          <w:p>
            <w:pPr>
              <w:spacing w:after="0" w:line="240" w:lineRule="auto"/>
            </w:pPr>
            <w:r/>
            <w:r>
              <w:rPr>
                <w:rFonts w:ascii="Arial" w:hAnsi="Arial" w:eastAsia="Arial"/>
                <w:b w:val="0"/>
                <w:i w:val="0"/>
                <w:color w:val="1F2937"/>
                <w:sz w:val="17"/>
              </w:rPr>
              <w:t>Fewer than three complete months</w:t>
            </w:r>
          </w:p>
        </w:tc>
        <w:tc>
          <w:tcPr>
            <w:tcW w:type="dxa" w:w="3672"/>
            <w:vAlign w:val="center"/>
            <w:tcMar>
              <w:top w:w="100" w:type="dxa"/>
              <w:start w:w="120" w:type="dxa"/>
              <w:bottom w:w="100" w:type="dxa"/>
              <w:end w:w="120" w:type="dxa"/>
            </w:tcMar>
          </w:tcPr>
          <w:p>
            <w:pPr>
              <w:spacing w:after="0" w:line="240" w:lineRule="auto"/>
            </w:pPr>
            <w:r/>
            <w:r>
              <w:rPr>
                <w:rFonts w:ascii="Arial" w:hAnsi="Arial" w:eastAsia="Arial"/>
                <w:b w:val="0"/>
                <w:i w:val="0"/>
                <w:color w:val="1F2937"/>
                <w:sz w:val="17"/>
              </w:rPr>
              <w:t>Published point remains blank. Published lower and upper values show the approved indicative range.</w:t>
            </w:r>
          </w:p>
        </w:tc>
        <w:tc>
          <w:tcPr>
            <w:tcW w:type="dxa" w:w="3960"/>
            <w:vAlign w:val="center"/>
            <w:tcMar>
              <w:top w:w="100" w:type="dxa"/>
              <w:start w:w="120" w:type="dxa"/>
              <w:bottom w:w="100" w:type="dxa"/>
              <w:end w:w="120" w:type="dxa"/>
            </w:tcMar>
          </w:tcPr>
          <w:p>
            <w:pPr>
              <w:spacing w:after="0" w:line="240" w:lineRule="auto"/>
            </w:pPr>
            <w:r/>
            <w:r>
              <w:rPr>
                <w:rFonts w:ascii="Arial" w:hAnsi="Arial" w:eastAsia="Arial"/>
                <w:b w:val="0"/>
                <w:i w:val="0"/>
                <w:color w:val="1F2937"/>
                <w:sz w:val="17"/>
              </w:rPr>
              <w:t>Uses range language and a range bar. It does not describe the internal estimate as the public point forecast.</w:t>
            </w:r>
          </w:p>
        </w:tc>
      </w:tr>
      <w:tr>
        <w:trPr>
          <w:cantSplit/>
        </w:trPr>
        <w:tc>
          <w:tcPr>
            <w:tcW w:type="dxa" w:w="2376"/>
            <w:vAlign w:val="center"/>
            <w:tcMar>
              <w:top w:w="100" w:type="dxa"/>
              <w:start w:w="120" w:type="dxa"/>
              <w:bottom w:w="100" w:type="dxa"/>
              <w:end w:w="120" w:type="dxa"/>
            </w:tcMar>
            <w:shd w:fill="F4F6F8"/>
          </w:tcPr>
          <w:p>
            <w:pPr>
              <w:spacing w:after="0" w:line="240" w:lineRule="auto"/>
            </w:pPr>
            <w:r/>
            <w:r>
              <w:rPr>
                <w:rFonts w:ascii="Arial" w:hAnsi="Arial" w:eastAsia="Arial"/>
                <w:b w:val="0"/>
                <w:i w:val="0"/>
                <w:color w:val="1F2937"/>
                <w:sz w:val="17"/>
              </w:rPr>
              <w:t>All three months complete</w:t>
            </w:r>
          </w:p>
        </w:tc>
        <w:tc>
          <w:tcPr>
            <w:tcW w:type="dxa" w:w="3672"/>
            <w:vAlign w:val="center"/>
            <w:tcMar>
              <w:top w:w="100" w:type="dxa"/>
              <w:start w:w="120" w:type="dxa"/>
              <w:bottom w:w="100" w:type="dxa"/>
              <w:end w:w="120" w:type="dxa"/>
            </w:tcMar>
            <w:shd w:fill="F4F6F8"/>
          </w:tcPr>
          <w:p>
            <w:pPr>
              <w:spacing w:after="0" w:line="240" w:lineRule="auto"/>
            </w:pPr>
            <w:r/>
            <w:r>
              <w:rPr>
                <w:rFonts w:ascii="Arial" w:hAnsi="Arial" w:eastAsia="Arial"/>
                <w:b w:val="0"/>
                <w:i w:val="0"/>
                <w:color w:val="1F2937"/>
                <w:sz w:val="17"/>
              </w:rPr>
              <w:t>Published point is linked to the internal model estimate. Range cells are left blank for the release row.</w:t>
            </w:r>
          </w:p>
        </w:tc>
        <w:tc>
          <w:tcPr>
            <w:tcW w:type="dxa" w:w="3960"/>
            <w:vAlign w:val="center"/>
            <w:tcMar>
              <w:top w:w="100" w:type="dxa"/>
              <w:start w:w="120" w:type="dxa"/>
              <w:bottom w:w="100" w:type="dxa"/>
              <w:end w:w="120" w:type="dxa"/>
            </w:tcMar>
            <w:shd w:fill="F4F6F8"/>
          </w:tcPr>
          <w:p>
            <w:pPr>
              <w:spacing w:after="0" w:line="240" w:lineRule="auto"/>
            </w:pPr>
            <w:r/>
            <w:r>
              <w:rPr>
                <w:rFonts w:ascii="Arial" w:hAnsi="Arial" w:eastAsia="Arial"/>
                <w:b w:val="0"/>
                <w:i w:val="0"/>
                <w:color w:val="1F2937"/>
                <w:sz w:val="17"/>
              </w:rPr>
              <w:t>Uses point-forecast language and a point marker.</w:t>
            </w:r>
          </w:p>
        </w:tc>
      </w:tr>
    </w:tbl>
    <w:p>
      <w:pPr>
        <w:spacing w:after="40"/>
      </w:pPr>
    </w:p>
    <w:p>
      <w:pPr>
        <w:keepNext w:val="0"/>
        <w:spacing w:after="120" w:line="259" w:lineRule="auto"/>
      </w:pPr>
      <w:r>
        <w:rPr>
          <w:rFonts w:ascii="Arial" w:hAnsi="Arial" w:eastAsia="Arial"/>
          <w:b/>
          <w:i w:val="0"/>
          <w:color w:val="1F2937"/>
          <w:sz w:val="21"/>
        </w:rPr>
        <w:t>2026Q3 setting.</w:t>
      </w:r>
      <w:r>
        <w:rPr>
          <w:rFonts w:ascii="Arial" w:hAnsi="Arial" w:eastAsia="Arial"/>
          <w:b w:val="0"/>
          <w:i w:val="0"/>
          <w:color w:val="1F2937"/>
          <w:sz w:val="21"/>
        </w:rPr>
        <w:t xml:space="preserve"> The approved incomplete-data publication range is 4.34 to 4.50 per cent. It is stored in analyze_nowcast.py as publication_lower and publication_upper. Before using the system for a later incomplete quarter, the responsible analyst must approve and update the new quarter's range. Do not carry the 2026Q3 range into another quarter without review.</w:t>
      </w:r>
    </w:p>
    <w:p>
      <w:pPr>
        <w:keepNext w:val="0"/>
        <w:spacing w:after="120" w:line="259" w:lineRule="auto"/>
      </w:pPr>
      <w:r>
        <w:rPr>
          <w:rFonts w:ascii="Arial" w:hAnsi="Arial" w:eastAsia="Arial"/>
          <w:b/>
          <w:i w:val="0"/>
          <w:color w:val="1F2937"/>
          <w:sz w:val="21"/>
        </w:rPr>
        <w:t>Model versus publication timing.</w:t>
      </w:r>
      <w:r>
        <w:rPr>
          <w:rFonts w:ascii="Arial" w:hAnsi="Arial" w:eastAsia="Arial"/>
          <w:b w:val="0"/>
          <w:i w:val="0"/>
          <w:color w:val="1F2937"/>
          <w:sz w:val="21"/>
        </w:rPr>
        <w:t xml:space="preserve"> The selected bridge model uses the first month of the quarter for comparable macroeconomic features and the first two months for its PMI bridge. Requiring all three months is a publication-control rule: it determines when CAPE is comfortable releasing the model point estimate. The internal estimate remains visible in Model Engine while the public result is a range.</w:t>
      </w:r>
    </w:p>
    <w:p>
      <w:pPr>
        <w:pStyle w:val="Heading1"/>
        <w:keepNext/>
        <w:spacing w:before="200" w:after="80"/>
      </w:pPr>
      <w:r>
        <w:rPr>
          <w:rFonts w:ascii="Arial" w:hAnsi="Arial" w:eastAsia="Arial"/>
          <w:b/>
          <w:i w:val="0"/>
          <w:color w:val="000000"/>
          <w:sz w:val="30"/>
        </w:rPr>
        <w:t>Routine operating procedure</w:t>
      </w:r>
    </w:p>
    <w:p>
      <w:pPr>
        <w:pStyle w:val="Heading2"/>
        <w:keepNext/>
        <w:spacing w:before="140" w:after="80"/>
      </w:pPr>
      <w:r>
        <w:rPr>
          <w:rFonts w:ascii="Arial" w:hAnsi="Arial" w:eastAsia="Arial"/>
          <w:b/>
          <w:i w:val="0"/>
          <w:color w:val="000000"/>
          <w:sz w:val="24"/>
        </w:rPr>
        <w:t>Step 1 Collect and validate source data</w:t>
      </w:r>
    </w:p>
    <w:p>
      <w:pPr>
        <w:spacing w:after="80" w:line="252" w:lineRule="auto"/>
        <w:ind w:left="374" w:hanging="317"/>
      </w:pPr>
      <w:r>
        <w:rPr>
          <w:rFonts w:ascii="Arial" w:hAnsi="Arial" w:eastAsia="Arial"/>
          <w:b w:val="0"/>
          <w:i w:val="0"/>
          <w:color w:val="1F2937"/>
          <w:sz w:val="21"/>
        </w:rPr>
        <w:t xml:space="preserve">1. </w:t>
      </w:r>
      <w:r>
        <w:rPr>
          <w:rFonts w:ascii="Arial" w:hAnsi="Arial" w:eastAsia="Arial"/>
          <w:b w:val="0"/>
          <w:i w:val="0"/>
          <w:color w:val="1F2937"/>
          <w:sz w:val="21"/>
        </w:rPr>
        <w:t>Collect the latest official or approved observations for the monthly variables.</w:t>
      </w:r>
    </w:p>
    <w:p>
      <w:pPr>
        <w:spacing w:after="80" w:line="252" w:lineRule="auto"/>
        <w:ind w:left="374" w:hanging="317"/>
      </w:pPr>
      <w:r>
        <w:rPr>
          <w:rFonts w:ascii="Arial" w:hAnsi="Arial" w:eastAsia="Arial"/>
          <w:b w:val="0"/>
          <w:i w:val="0"/>
          <w:color w:val="1F2937"/>
          <w:sz w:val="21"/>
        </w:rPr>
        <w:t xml:space="preserve">2. </w:t>
      </w:r>
      <w:r>
        <w:rPr>
          <w:rFonts w:ascii="Arial" w:hAnsi="Arial" w:eastAsia="Arial"/>
          <w:b w:val="0"/>
          <w:i w:val="0"/>
          <w:color w:val="1F2937"/>
          <w:sz w:val="21"/>
        </w:rPr>
        <w:t>Check the observation month, unit, source and whether the value is preliminary or revised.</w:t>
      </w:r>
    </w:p>
    <w:p>
      <w:pPr>
        <w:spacing w:after="80" w:line="252" w:lineRule="auto"/>
        <w:ind w:left="374" w:hanging="317"/>
      </w:pPr>
      <w:r>
        <w:rPr>
          <w:rFonts w:ascii="Arial" w:hAnsi="Arial" w:eastAsia="Arial"/>
          <w:b w:val="0"/>
          <w:i w:val="0"/>
          <w:color w:val="1F2937"/>
          <w:sz w:val="21"/>
        </w:rPr>
        <w:t xml:space="preserve">3. </w:t>
      </w:r>
      <w:r>
        <w:rPr>
          <w:rFonts w:ascii="Arial" w:hAnsi="Arial" w:eastAsia="Arial"/>
          <w:b w:val="0"/>
          <w:i w:val="0"/>
          <w:color w:val="1F2937"/>
          <w:sz w:val="21"/>
        </w:rPr>
        <w:t>Confirm that PMI is the survey-month value and not the release-date month.</w:t>
      </w:r>
    </w:p>
    <w:p>
      <w:pPr>
        <w:spacing w:after="80" w:line="252" w:lineRule="auto"/>
        <w:ind w:left="374" w:hanging="317"/>
      </w:pPr>
      <w:r>
        <w:rPr>
          <w:rFonts w:ascii="Arial" w:hAnsi="Arial" w:eastAsia="Arial"/>
          <w:b w:val="0"/>
          <w:i w:val="0"/>
          <w:color w:val="1F2937"/>
          <w:sz w:val="21"/>
        </w:rPr>
        <w:t xml:space="preserve">4. </w:t>
      </w:r>
      <w:r>
        <w:rPr>
          <w:rFonts w:ascii="Arial" w:hAnsi="Arial" w:eastAsia="Arial"/>
          <w:b w:val="0"/>
          <w:i w:val="0"/>
          <w:color w:val="1F2937"/>
          <w:sz w:val="21"/>
        </w:rPr>
        <w:t>Compare unusual changes with the source release before entering them.</w:t>
      </w:r>
    </w:p>
    <w:p>
      <w:pPr>
        <w:pStyle w:val="Heading2"/>
        <w:keepNext/>
        <w:spacing w:before="140" w:after="80"/>
      </w:pPr>
      <w:r>
        <w:rPr>
          <w:rFonts w:ascii="Arial" w:hAnsi="Arial" w:eastAsia="Arial"/>
          <w:b/>
          <w:i w:val="0"/>
          <w:color w:val="000000"/>
          <w:sz w:val="24"/>
        </w:rPr>
        <w:t>Step 2 Update the master workbook</w:t>
      </w:r>
    </w:p>
    <w:p>
      <w:pPr>
        <w:spacing w:after="80" w:line="252" w:lineRule="auto"/>
        <w:ind w:left="374" w:hanging="317"/>
      </w:pPr>
      <w:r>
        <w:rPr>
          <w:rFonts w:ascii="Arial" w:hAnsi="Arial" w:eastAsia="Arial"/>
          <w:b w:val="0"/>
          <w:i w:val="0"/>
          <w:color w:val="1F2937"/>
          <w:sz w:val="21"/>
        </w:rPr>
        <w:t xml:space="preserve">1. </w:t>
      </w:r>
      <w:r>
        <w:rPr>
          <w:rFonts w:ascii="Arial" w:hAnsi="Arial" w:eastAsia="Arial"/>
          <w:b w:val="0"/>
          <w:i w:val="0"/>
          <w:color w:val="1F2937"/>
          <w:sz w:val="21"/>
        </w:rPr>
        <w:t>Open MultipleFrequencyModelData.xlsx.</w:t>
      </w:r>
    </w:p>
    <w:p>
      <w:pPr>
        <w:spacing w:after="80" w:line="252" w:lineRule="auto"/>
        <w:ind w:left="374" w:hanging="317"/>
      </w:pPr>
      <w:r>
        <w:rPr>
          <w:rFonts w:ascii="Arial" w:hAnsi="Arial" w:eastAsia="Arial"/>
          <w:b w:val="0"/>
          <w:i w:val="0"/>
          <w:color w:val="1F2937"/>
          <w:sz w:val="21"/>
        </w:rPr>
        <w:t xml:space="preserve">2. </w:t>
      </w:r>
      <w:r>
        <w:rPr>
          <w:rFonts w:ascii="Arial" w:hAnsi="Arial" w:eastAsia="Arial"/>
          <w:b w:val="0"/>
          <w:i w:val="0"/>
          <w:color w:val="1F2937"/>
          <w:sz w:val="21"/>
        </w:rPr>
        <w:t>Enter new monthly observations on monthly data without changing the headings or column order.</w:t>
      </w:r>
    </w:p>
    <w:p>
      <w:pPr>
        <w:spacing w:after="80" w:line="252" w:lineRule="auto"/>
        <w:ind w:left="374" w:hanging="317"/>
      </w:pPr>
      <w:r>
        <w:rPr>
          <w:rFonts w:ascii="Arial" w:hAnsi="Arial" w:eastAsia="Arial"/>
          <w:b w:val="0"/>
          <w:i w:val="0"/>
          <w:color w:val="1F2937"/>
          <w:sz w:val="21"/>
        </w:rPr>
        <w:t xml:space="preserve">3. </w:t>
      </w:r>
      <w:r>
        <w:rPr>
          <w:rFonts w:ascii="Arial" w:hAnsi="Arial" w:eastAsia="Arial"/>
          <w:b w:val="0"/>
          <w:i w:val="0"/>
          <w:color w:val="1F2937"/>
          <w:sz w:val="21"/>
        </w:rPr>
        <w:t>If a new official GDP release exists, append it to Quarterly Data.</w:t>
      </w:r>
    </w:p>
    <w:p>
      <w:pPr>
        <w:spacing w:after="80" w:line="252" w:lineRule="auto"/>
        <w:ind w:left="374" w:hanging="317"/>
      </w:pPr>
      <w:r>
        <w:rPr>
          <w:rFonts w:ascii="Arial" w:hAnsi="Arial" w:eastAsia="Arial"/>
          <w:b w:val="0"/>
          <w:i w:val="0"/>
          <w:color w:val="1F2937"/>
          <w:sz w:val="21"/>
        </w:rPr>
        <w:t xml:space="preserve">4. </w:t>
      </w:r>
      <w:r>
        <w:rPr>
          <w:rFonts w:ascii="Arial" w:hAnsi="Arial" w:eastAsia="Arial"/>
          <w:b w:val="0"/>
          <w:i w:val="0"/>
          <w:color w:val="1F2937"/>
          <w:sz w:val="21"/>
        </w:rPr>
        <w:t>Save the workbook in its existing location and close Excel.</w:t>
      </w:r>
    </w:p>
    <w:p>
      <w:pPr>
        <w:pStyle w:val="Heading2"/>
        <w:keepNext/>
        <w:spacing w:before="140" w:after="80"/>
      </w:pPr>
      <w:r>
        <w:rPr>
          <w:rFonts w:ascii="Arial" w:hAnsi="Arial" w:eastAsia="Arial"/>
          <w:b/>
          <w:i w:val="0"/>
          <w:color w:val="000000"/>
          <w:sz w:val="24"/>
        </w:rPr>
        <w:t>Step 3 Confirm the intended publication mode</w:t>
      </w:r>
    </w:p>
    <w:p>
      <w:pPr>
        <w:spacing w:after="80" w:line="252" w:lineRule="auto"/>
        <w:ind w:left="374" w:hanging="317"/>
      </w:pPr>
      <w:r>
        <w:rPr>
          <w:rFonts w:ascii="Arial" w:hAnsi="Arial" w:eastAsia="Arial"/>
          <w:b w:val="0"/>
          <w:i w:val="0"/>
          <w:color w:val="1F2937"/>
          <w:sz w:val="21"/>
        </w:rPr>
        <w:t xml:space="preserve">1. </w:t>
      </w:r>
      <w:r>
        <w:rPr>
          <w:rFonts w:ascii="Arial" w:hAnsi="Arial" w:eastAsia="Arial"/>
          <w:b w:val="0"/>
          <w:i w:val="0"/>
          <w:color w:val="1F2937"/>
          <w:sz w:val="21"/>
        </w:rPr>
        <w:t>For the target quarter, check whether columns B, F, G and L are populated for all three months.</w:t>
      </w:r>
    </w:p>
    <w:p>
      <w:pPr>
        <w:spacing w:after="80" w:line="252" w:lineRule="auto"/>
        <w:ind w:left="374" w:hanging="317"/>
      </w:pPr>
      <w:r>
        <w:rPr>
          <w:rFonts w:ascii="Arial" w:hAnsi="Arial" w:eastAsia="Arial"/>
          <w:b w:val="0"/>
          <w:i w:val="0"/>
          <w:color w:val="1F2937"/>
          <w:sz w:val="21"/>
        </w:rPr>
        <w:t xml:space="preserve">2. </w:t>
      </w:r>
      <w:r>
        <w:rPr>
          <w:rFonts w:ascii="Arial" w:hAnsi="Arial" w:eastAsia="Arial"/>
          <w:b w:val="0"/>
          <w:i w:val="0"/>
          <w:color w:val="1F2937"/>
          <w:sz w:val="21"/>
        </w:rPr>
        <w:t>If any required observation is missing, confirm that the approved indicative range is current.</w:t>
      </w:r>
    </w:p>
    <w:p>
      <w:pPr>
        <w:spacing w:after="80" w:line="252" w:lineRule="auto"/>
        <w:ind w:left="374" w:hanging="317"/>
      </w:pPr>
      <w:r>
        <w:rPr>
          <w:rFonts w:ascii="Arial" w:hAnsi="Arial" w:eastAsia="Arial"/>
          <w:b w:val="0"/>
          <w:i w:val="0"/>
          <w:color w:val="1F2937"/>
          <w:sz w:val="21"/>
        </w:rPr>
        <w:t xml:space="preserve">3. </w:t>
      </w:r>
      <w:r>
        <w:rPr>
          <w:rFonts w:ascii="Arial" w:hAnsi="Arial" w:eastAsia="Arial"/>
          <w:b w:val="0"/>
          <w:i w:val="0"/>
          <w:color w:val="1F2937"/>
          <w:sz w:val="21"/>
        </w:rPr>
        <w:t>If all required observations are present, expect the output to switch to Point forecast.</w:t>
      </w:r>
    </w:p>
    <w:p>
      <w:r>
        <w:br w:type="page"/>
      </w:r>
    </w:p>
    <w:p>
      <w:pPr>
        <w:pStyle w:val="Heading1"/>
        <w:keepNext/>
        <w:spacing w:before="200" w:after="80"/>
      </w:pPr>
      <w:r>
        <w:rPr>
          <w:rFonts w:ascii="Arial" w:hAnsi="Arial" w:eastAsia="Arial"/>
          <w:b/>
          <w:i w:val="0"/>
          <w:color w:val="000000"/>
          <w:sz w:val="30"/>
        </w:rPr>
        <w:t>Running the refresh</w:t>
      </w:r>
    </w:p>
    <w:p>
      <w:pPr>
        <w:pStyle w:val="Heading2"/>
        <w:keepNext/>
        <w:spacing w:before="140" w:after="80"/>
      </w:pPr>
      <w:r>
        <w:rPr>
          <w:rFonts w:ascii="Arial" w:hAnsi="Arial" w:eastAsia="Arial"/>
          <w:b/>
          <w:i w:val="0"/>
          <w:color w:val="000000"/>
          <w:sz w:val="24"/>
        </w:rPr>
        <w:t>Recommended method</w:t>
      </w:r>
    </w:p>
    <w:p>
      <w:pPr>
        <w:spacing w:after="80" w:line="252" w:lineRule="auto"/>
        <w:ind w:left="374" w:hanging="317"/>
      </w:pPr>
      <w:r>
        <w:rPr>
          <w:rFonts w:ascii="Arial" w:hAnsi="Arial" w:eastAsia="Arial"/>
          <w:b w:val="0"/>
          <w:i w:val="0"/>
          <w:color w:val="1F2937"/>
          <w:sz w:val="21"/>
        </w:rPr>
        <w:t xml:space="preserve">1. </w:t>
      </w:r>
      <w:r>
        <w:rPr>
          <w:rFonts w:ascii="Arial" w:hAnsi="Arial" w:eastAsia="Arial"/>
          <w:b w:val="0"/>
          <w:i w:val="0"/>
          <w:color w:val="1F2937"/>
          <w:sz w:val="21"/>
        </w:rPr>
        <w:t>Open File Explorer and go to the Nigeria GDP Nowcasting folder.</w:t>
      </w:r>
    </w:p>
    <w:p>
      <w:pPr>
        <w:spacing w:after="80" w:line="252" w:lineRule="auto"/>
        <w:ind w:left="374" w:hanging="317"/>
      </w:pPr>
      <w:r>
        <w:rPr>
          <w:rFonts w:ascii="Arial" w:hAnsi="Arial" w:eastAsia="Arial"/>
          <w:b w:val="0"/>
          <w:i w:val="0"/>
          <w:color w:val="1F2937"/>
          <w:sz w:val="21"/>
        </w:rPr>
        <w:t xml:space="preserve">2. </w:t>
      </w:r>
      <w:r>
        <w:rPr>
          <w:rFonts w:ascii="Arial" w:hAnsi="Arial" w:eastAsia="Arial"/>
          <w:b w:val="0"/>
          <w:i w:val="0"/>
          <w:color w:val="1F2937"/>
          <w:sz w:val="21"/>
        </w:rPr>
        <w:t>Click the address bar, type powershell and press Enter, or open PowerShell and use the change-directory command below.</w:t>
      </w:r>
    </w:p>
    <w:p>
      <w:pPr>
        <w:spacing w:before="60" w:after="120"/>
        <w:ind w:left="360" w:right="216"/>
        <w:shd w:fill="F4F6F8"/>
      </w:pPr>
      <w:r>
        <w:rPr>
          <w:rFonts w:ascii="Consolas" w:hAnsi="Consolas" w:eastAsia="Consolas"/>
          <w:b w:val="0"/>
          <w:i w:val="0"/>
          <w:color w:val="000000"/>
          <w:sz w:val="18"/>
        </w:rPr>
        <w:t>cd "C:\Users\eakan\Documents\CAPE-ERC\CAPE Inflation Forecasting Model\Nigeria GDP Nowcasting"</w:t>
      </w:r>
    </w:p>
    <w:p>
      <w:pPr>
        <w:spacing w:after="80" w:line="252" w:lineRule="auto"/>
        <w:ind w:left="374" w:hanging="317"/>
      </w:pPr>
      <w:r>
        <w:rPr>
          <w:rFonts w:ascii="Arial" w:hAnsi="Arial" w:eastAsia="Arial"/>
          <w:b w:val="0"/>
          <w:i w:val="0"/>
          <w:color w:val="1F2937"/>
          <w:sz w:val="21"/>
        </w:rPr>
        <w:t xml:space="preserve">3. </w:t>
      </w:r>
      <w:r>
        <w:rPr>
          <w:rFonts w:ascii="Arial" w:hAnsi="Arial" w:eastAsia="Arial"/>
          <w:b w:val="0"/>
          <w:i w:val="0"/>
          <w:color w:val="1F2937"/>
          <w:sz w:val="21"/>
        </w:rPr>
        <w:t>Run the launcher with the PowerShell call operator and current-directory prefix.</w:t>
      </w:r>
    </w:p>
    <w:p>
      <w:pPr>
        <w:spacing w:before="60" w:after="120"/>
        <w:ind w:left="360" w:right="216"/>
        <w:shd w:fill="F4F6F8"/>
      </w:pPr>
      <w:r>
        <w:rPr>
          <w:rFonts w:ascii="Consolas" w:hAnsi="Consolas" w:eastAsia="Consolas"/>
          <w:b w:val="0"/>
          <w:i w:val="0"/>
          <w:color w:val="000000"/>
          <w:sz w:val="18"/>
        </w:rPr>
        <w:t>&amp; ".\Refresh Nigeria GDP Nowcast.ps1"</w:t>
      </w:r>
    </w:p>
    <w:p>
      <w:pPr>
        <w:keepNext w:val="0"/>
        <w:spacing w:after="120" w:line="259" w:lineRule="auto"/>
      </w:pPr>
      <w:r>
        <w:rPr>
          <w:rFonts w:ascii="Arial" w:hAnsi="Arial" w:eastAsia="Arial"/>
          <w:b w:val="0"/>
          <w:i w:val="0"/>
          <w:color w:val="1F2937"/>
          <w:sz w:val="21"/>
        </w:rPr>
        <w:t>Do not type only Refresh Nigeria GDP Nowcast.ps1. PowerShell treats the first word as a command and does not search the current directory automatically. The ampersand invokes the quoted path and .\ identifies the current folder.</w:t>
      </w:r>
    </w:p>
    <w:p>
      <w:pPr>
        <w:pStyle w:val="Heading2"/>
        <w:keepNext/>
        <w:spacing w:before="140" w:after="80"/>
      </w:pPr>
      <w:r>
        <w:rPr>
          <w:rFonts w:ascii="Arial" w:hAnsi="Arial" w:eastAsia="Arial"/>
          <w:b/>
          <w:i w:val="0"/>
          <w:color w:val="000000"/>
          <w:sz w:val="24"/>
        </w:rPr>
        <w:t>Run from any folder</w:t>
      </w:r>
    </w:p>
    <w:p>
      <w:pPr>
        <w:spacing w:before="60" w:after="120"/>
        <w:ind w:left="360" w:right="216"/>
        <w:shd w:fill="F4F6F8"/>
      </w:pPr>
      <w:r>
        <w:rPr>
          <w:rFonts w:ascii="Consolas" w:hAnsi="Consolas" w:eastAsia="Consolas"/>
          <w:b w:val="0"/>
          <w:i w:val="0"/>
          <w:color w:val="000000"/>
          <w:sz w:val="18"/>
        </w:rPr>
        <w:t>&amp; "C:\Users\eakan\Documents\CAPE-ERC\CAPE Inflation Forecasting Model\Nigeria GDP Nowcasting\Refresh Nigeria GDP Nowcast.ps1"</w:t>
      </w:r>
    </w:p>
    <w:p>
      <w:pPr>
        <w:pStyle w:val="Heading2"/>
        <w:keepNext/>
        <w:spacing w:before="140" w:after="80"/>
      </w:pPr>
      <w:r>
        <w:rPr>
          <w:rFonts w:ascii="Arial" w:hAnsi="Arial" w:eastAsia="Arial"/>
          <w:b/>
          <w:i w:val="0"/>
          <w:color w:val="000000"/>
          <w:sz w:val="24"/>
        </w:rPr>
        <w:t>If script execution is blocked</w:t>
      </w:r>
    </w:p>
    <w:p>
      <w:pPr>
        <w:keepNext w:val="0"/>
        <w:spacing w:after="120" w:line="259" w:lineRule="auto"/>
      </w:pPr>
      <w:r>
        <w:rPr>
          <w:rFonts w:ascii="Arial" w:hAnsi="Arial" w:eastAsia="Arial"/>
          <w:b w:val="0"/>
          <w:i w:val="0"/>
          <w:color w:val="1F2937"/>
          <w:sz w:val="21"/>
        </w:rPr>
        <w:t>Use the following temporary process-level setting, then run the launcher again. This setting ends when that PowerShell window closes.</w:t>
      </w:r>
    </w:p>
    <w:p>
      <w:pPr>
        <w:spacing w:before="60" w:after="120"/>
        <w:ind w:left="360" w:right="216"/>
        <w:shd w:fill="F4F6F8"/>
      </w:pPr>
      <w:r>
        <w:rPr>
          <w:rFonts w:ascii="Consolas" w:hAnsi="Consolas" w:eastAsia="Consolas"/>
          <w:b w:val="0"/>
          <w:i w:val="0"/>
          <w:color w:val="000000"/>
          <w:sz w:val="18"/>
        </w:rPr>
        <w:t>Set-ExecutionPolicy -Scope Process -ExecutionPolicy Bypass</w:t>
        <w:br/>
        <w:t>&amp; ".\Refresh Nigeria GDP Nowcast.ps1"</w:t>
      </w:r>
    </w:p>
    <w:p>
      <w:pPr>
        <w:pStyle w:val="Heading2"/>
        <w:keepNext/>
        <w:spacing w:before="140" w:after="80"/>
      </w:pPr>
      <w:r>
        <w:rPr>
          <w:rFonts w:ascii="Arial" w:hAnsi="Arial" w:eastAsia="Arial"/>
          <w:b/>
          <w:i w:val="0"/>
          <w:color w:val="000000"/>
          <w:sz w:val="24"/>
        </w:rPr>
        <w:t>Expected completion messages</w:t>
      </w:r>
    </w:p>
    <w:p>
      <w:pPr>
        <w:pStyle w:val="ListBullet"/>
        <w:spacing w:after="60" w:line="252" w:lineRule="auto"/>
      </w:pPr>
      <w:r>
        <w:rPr>
          <w:rFonts w:ascii="Arial" w:hAnsi="Arial" w:eastAsia="Arial"/>
          <w:b w:val="0"/>
          <w:i w:val="0"/>
          <w:color w:val="1F2937"/>
          <w:sz w:val="21"/>
        </w:rPr>
        <w:t>refresh artifacts verified</w:t>
      </w:r>
    </w:p>
    <w:p>
      <w:pPr>
        <w:pStyle w:val="ListBullet"/>
        <w:spacing w:after="60" w:line="252" w:lineRule="auto"/>
      </w:pPr>
      <w:r>
        <w:rPr>
          <w:rFonts w:ascii="Arial" w:hAnsi="Arial" w:eastAsia="Arial"/>
          <w:b w:val="0"/>
          <w:i w:val="0"/>
          <w:color w:val="1F2937"/>
          <w:sz w:val="21"/>
        </w:rPr>
        <w:t>Master workbook updated; backup: followed by the backup file path</w:t>
      </w:r>
    </w:p>
    <w:p>
      <w:pPr>
        <w:pStyle w:val="ListBullet"/>
        <w:spacing w:after="60" w:line="252" w:lineRule="auto"/>
      </w:pPr>
      <w:r>
        <w:rPr>
          <w:rFonts w:ascii="Arial" w:hAnsi="Arial" w:eastAsia="Arial"/>
          <w:b w:val="0"/>
          <w:i w:val="0"/>
          <w:color w:val="1F2937"/>
          <w:sz w:val="21"/>
        </w:rPr>
        <w:t>newsletter published</w:t>
      </w:r>
    </w:p>
    <w:p>
      <w:pPr>
        <w:pStyle w:val="ListBullet"/>
        <w:spacing w:after="60" w:line="252" w:lineRule="auto"/>
      </w:pPr>
      <w:r>
        <w:rPr>
          <w:rFonts w:ascii="Arial" w:hAnsi="Arial" w:eastAsia="Arial"/>
          <w:b w:val="0"/>
          <w:i w:val="0"/>
          <w:color w:val="1F2937"/>
          <w:sz w:val="21"/>
        </w:rPr>
        <w:t>Nigeria GDP nowcast refreshed</w:t>
      </w:r>
    </w:p>
    <w:p>
      <w:pPr>
        <w:pStyle w:val="ListBullet"/>
        <w:spacing w:after="60" w:line="252" w:lineRule="auto"/>
      </w:pPr>
      <w:r>
        <w:rPr>
          <w:rFonts w:ascii="Arial" w:hAnsi="Arial" w:eastAsia="Arial"/>
          <w:b w:val="0"/>
          <w:i w:val="0"/>
          <w:color w:val="1F2937"/>
          <w:sz w:val="21"/>
        </w:rPr>
        <w:t>Economic newsletter refreshed</w:t>
      </w:r>
    </w:p>
    <w:p>
      <w:pPr>
        <w:keepNext w:val="0"/>
        <w:spacing w:after="120" w:line="259" w:lineRule="auto"/>
      </w:pPr>
      <w:r>
        <w:rPr>
          <w:rFonts w:ascii="Arial" w:hAnsi="Arial" w:eastAsia="Arial"/>
          <w:b w:val="0"/>
          <w:i w:val="0"/>
          <w:color w:val="1F2937"/>
          <w:sz w:val="21"/>
        </w:rPr>
        <w:t>Treat the run as unsuccessful if PowerShell displays a red exception and does not print the final two refreshed messages.</w:t>
      </w:r>
    </w:p>
    <w:p>
      <w:pPr>
        <w:pStyle w:val="Heading1"/>
        <w:keepNext/>
        <w:spacing w:before="200" w:after="80"/>
      </w:pPr>
      <w:r>
        <w:rPr>
          <w:rFonts w:ascii="Arial" w:hAnsi="Arial" w:eastAsia="Arial"/>
          <w:b/>
          <w:i w:val="0"/>
          <w:color w:val="000000"/>
          <w:sz w:val="30"/>
        </w:rPr>
        <w:t>What the launcher does</w:t>
      </w:r>
    </w:p>
    <w:tbl>
      <w:tblPr>
        <w:tblW w:type="auto" w:w="0"/>
        <w:jc w:val="center"/>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3331"/>
        <w:gridCol w:w="3331"/>
        <w:gridCol w:w="3331"/>
      </w:tblGrid>
      <w:tr>
        <w:trPr>
          <w:tblHeader w:val="true"/>
          <w:cantSplit/>
        </w:trPr>
        <w:tc>
          <w:tcPr>
            <w:tcW w:type="dxa" w:w="792"/>
            <w:vAlign w:val="center"/>
            <w:shd w:fill="1F4E78"/>
            <w:tcMar>
              <w:top w:w="100" w:type="dxa"/>
              <w:start w:w="120" w:type="dxa"/>
              <w:bottom w:w="100" w:type="dxa"/>
              <w:end w:w="120" w:type="dxa"/>
            </w:tcMar>
          </w:tcPr>
          <w:p>
            <w:pPr>
              <w:spacing w:after="0"/>
            </w:pPr>
            <w:r/>
            <w:r>
              <w:rPr>
                <w:rFonts w:ascii="Arial" w:hAnsi="Arial" w:eastAsia="Arial"/>
                <w:b/>
                <w:i w:val="0"/>
                <w:color w:val="FFFFFF"/>
                <w:sz w:val="17"/>
              </w:rPr>
              <w:t>Stage</w:t>
            </w:r>
          </w:p>
        </w:tc>
        <w:tc>
          <w:tcPr>
            <w:tcW w:type="dxa" w:w="2232"/>
            <w:vAlign w:val="center"/>
            <w:shd w:fill="1F4E78"/>
            <w:tcMar>
              <w:top w:w="100" w:type="dxa"/>
              <w:start w:w="120" w:type="dxa"/>
              <w:bottom w:w="100" w:type="dxa"/>
              <w:end w:w="120" w:type="dxa"/>
            </w:tcMar>
          </w:tcPr>
          <w:p>
            <w:pPr>
              <w:spacing w:after="0"/>
            </w:pPr>
            <w:r/>
            <w:r>
              <w:rPr>
                <w:rFonts w:ascii="Arial" w:hAnsi="Arial" w:eastAsia="Arial"/>
                <w:b/>
                <w:i w:val="0"/>
                <w:color w:val="FFFFFF"/>
                <w:sz w:val="17"/>
              </w:rPr>
              <w:t>Component</w:t>
            </w:r>
          </w:p>
        </w:tc>
        <w:tc>
          <w:tcPr>
            <w:tcW w:type="dxa" w:w="6912"/>
            <w:vAlign w:val="center"/>
            <w:shd w:fill="1F4E78"/>
            <w:tcMar>
              <w:top w:w="100" w:type="dxa"/>
              <w:start w:w="120" w:type="dxa"/>
              <w:bottom w:w="100" w:type="dxa"/>
              <w:end w:w="120" w:type="dxa"/>
            </w:tcMar>
          </w:tcPr>
          <w:p>
            <w:pPr>
              <w:spacing w:after="0"/>
            </w:pPr>
            <w:r/>
            <w:r>
              <w:rPr>
                <w:rFonts w:ascii="Arial" w:hAnsi="Arial" w:eastAsia="Arial"/>
                <w:b/>
                <w:i w:val="0"/>
                <w:color w:val="FFFFFF"/>
                <w:sz w:val="17"/>
              </w:rPr>
              <w:t>Operation</w:t>
            </w:r>
          </w:p>
        </w:tc>
      </w:tr>
      <w:tr>
        <w:trPr>
          <w:cantSplit/>
        </w:trPr>
        <w:tc>
          <w:tcPr>
            <w:tcW w:type="dxa" w:w="792"/>
            <w:vAlign w:val="center"/>
            <w:tcMar>
              <w:top w:w="100" w:type="dxa"/>
              <w:start w:w="120" w:type="dxa"/>
              <w:bottom w:w="100" w:type="dxa"/>
              <w:end w:w="120" w:type="dxa"/>
            </w:tcMar>
          </w:tcPr>
          <w:p>
            <w:pPr>
              <w:spacing w:after="0" w:line="240" w:lineRule="auto"/>
            </w:pPr>
            <w:r/>
            <w:r>
              <w:rPr>
                <w:rFonts w:ascii="Arial" w:hAnsi="Arial" w:eastAsia="Arial"/>
                <w:b w:val="0"/>
                <w:i w:val="0"/>
                <w:color w:val="1F2937"/>
                <w:sz w:val="17"/>
              </w:rPr>
              <w:t>1</w:t>
            </w:r>
          </w:p>
        </w:tc>
        <w:tc>
          <w:tcPr>
            <w:tcW w:type="dxa" w:w="2232"/>
            <w:vAlign w:val="center"/>
            <w:tcMar>
              <w:top w:w="100" w:type="dxa"/>
              <w:start w:w="120" w:type="dxa"/>
              <w:bottom w:w="100" w:type="dxa"/>
              <w:end w:w="120" w:type="dxa"/>
            </w:tcMar>
          </w:tcPr>
          <w:p>
            <w:pPr>
              <w:spacing w:after="0" w:line="240" w:lineRule="auto"/>
            </w:pPr>
            <w:r/>
            <w:r>
              <w:rPr>
                <w:rFonts w:ascii="Arial" w:hAnsi="Arial" w:eastAsia="Arial"/>
                <w:b w:val="0"/>
                <w:i w:val="0"/>
                <w:color w:val="1F2937"/>
                <w:sz w:val="17"/>
              </w:rPr>
              <w:t>analyze_nowcast.py</w:t>
            </w:r>
          </w:p>
        </w:tc>
        <w:tc>
          <w:tcPr>
            <w:tcW w:type="dxa" w:w="6912"/>
            <w:vAlign w:val="center"/>
            <w:tcMar>
              <w:top w:w="100" w:type="dxa"/>
              <w:start w:w="120" w:type="dxa"/>
              <w:bottom w:w="100" w:type="dxa"/>
              <w:end w:w="120" w:type="dxa"/>
            </w:tcMar>
          </w:tcPr>
          <w:p>
            <w:pPr>
              <w:spacing w:after="0" w:line="240" w:lineRule="auto"/>
            </w:pPr>
            <w:r/>
            <w:r>
              <w:rPr>
                <w:rFonts w:ascii="Arial" w:hAnsi="Arial" w:eastAsia="Arial"/>
                <w:b w:val="0"/>
                <w:i w:val="0"/>
                <w:color w:val="1F2937"/>
                <w:sz w:val="17"/>
              </w:rPr>
              <w:t>Reads the master workbook, creates quarterly model features, runs expanding-window model comparisons, selects the lowest-RMSE bridge model and applies the PMI overlay.</w:t>
            </w:r>
          </w:p>
        </w:tc>
      </w:tr>
      <w:tr>
        <w:trPr>
          <w:cantSplit/>
        </w:trPr>
        <w:tc>
          <w:tcPr>
            <w:tcW w:type="dxa" w:w="792"/>
            <w:vAlign w:val="center"/>
            <w:tcMar>
              <w:top w:w="100" w:type="dxa"/>
              <w:start w:w="120" w:type="dxa"/>
              <w:bottom w:w="100" w:type="dxa"/>
              <w:end w:w="120" w:type="dxa"/>
            </w:tcMar>
            <w:shd w:fill="F4F6F8"/>
          </w:tcPr>
          <w:p>
            <w:pPr>
              <w:spacing w:after="0" w:line="240" w:lineRule="auto"/>
            </w:pPr>
            <w:r/>
            <w:r>
              <w:rPr>
                <w:rFonts w:ascii="Arial" w:hAnsi="Arial" w:eastAsia="Arial"/>
                <w:b w:val="0"/>
                <w:i w:val="0"/>
                <w:color w:val="1F2937"/>
                <w:sz w:val="17"/>
              </w:rPr>
              <w:t>2</w:t>
            </w:r>
          </w:p>
        </w:tc>
        <w:tc>
          <w:tcPr>
            <w:tcW w:type="dxa" w:w="2232"/>
            <w:vAlign w:val="center"/>
            <w:tcMar>
              <w:top w:w="100" w:type="dxa"/>
              <w:start w:w="120" w:type="dxa"/>
              <w:bottom w:w="100" w:type="dxa"/>
              <w:end w:w="120" w:type="dxa"/>
            </w:tcMar>
            <w:shd w:fill="F4F6F8"/>
          </w:tcPr>
          <w:p>
            <w:pPr>
              <w:spacing w:after="0" w:line="240" w:lineRule="auto"/>
            </w:pPr>
            <w:r/>
            <w:r>
              <w:rPr>
                <w:rFonts w:ascii="Arial" w:hAnsi="Arial" w:eastAsia="Arial"/>
                <w:b w:val="0"/>
                <w:i w:val="0"/>
                <w:color w:val="1F2937"/>
                <w:sz w:val="17"/>
              </w:rPr>
              <w:t>Release gate</w:t>
            </w:r>
          </w:p>
        </w:tc>
        <w:tc>
          <w:tcPr>
            <w:tcW w:type="dxa" w:w="6912"/>
            <w:vAlign w:val="center"/>
            <w:tcMar>
              <w:top w:w="100" w:type="dxa"/>
              <w:start w:w="120" w:type="dxa"/>
              <w:bottom w:w="100" w:type="dxa"/>
              <w:end w:w="120" w:type="dxa"/>
            </w:tcMar>
            <w:shd w:fill="F4F6F8"/>
          </w:tcPr>
          <w:p>
            <w:pPr>
              <w:spacing w:after="0" w:line="240" w:lineRule="auto"/>
            </w:pPr>
            <w:r/>
            <w:r>
              <w:rPr>
                <w:rFonts w:ascii="Arial" w:hAnsi="Arial" w:eastAsia="Arial"/>
                <w:b w:val="0"/>
                <w:i w:val="0"/>
                <w:color w:val="1F2937"/>
                <w:sz w:val="17"/>
              </w:rPr>
              <w:t>Counts complete target-quarter months and chooses Indicative range or Point forecast.</w:t>
            </w:r>
          </w:p>
        </w:tc>
      </w:tr>
      <w:tr>
        <w:trPr>
          <w:cantSplit/>
        </w:trPr>
        <w:tc>
          <w:tcPr>
            <w:tcW w:type="dxa" w:w="792"/>
            <w:vAlign w:val="center"/>
            <w:tcMar>
              <w:top w:w="100" w:type="dxa"/>
              <w:start w:w="120" w:type="dxa"/>
              <w:bottom w:w="100" w:type="dxa"/>
              <w:end w:w="120" w:type="dxa"/>
            </w:tcMar>
          </w:tcPr>
          <w:p>
            <w:pPr>
              <w:spacing w:after="0" w:line="240" w:lineRule="auto"/>
            </w:pPr>
            <w:r/>
            <w:r>
              <w:rPr>
                <w:rFonts w:ascii="Arial" w:hAnsi="Arial" w:eastAsia="Arial"/>
                <w:b w:val="0"/>
                <w:i w:val="0"/>
                <w:color w:val="1F2937"/>
                <w:sz w:val="17"/>
              </w:rPr>
              <w:t>3</w:t>
            </w:r>
          </w:p>
        </w:tc>
        <w:tc>
          <w:tcPr>
            <w:tcW w:type="dxa" w:w="2232"/>
            <w:vAlign w:val="center"/>
            <w:tcMar>
              <w:top w:w="100" w:type="dxa"/>
              <w:start w:w="120" w:type="dxa"/>
              <w:bottom w:w="100" w:type="dxa"/>
              <w:end w:w="120" w:type="dxa"/>
            </w:tcMar>
          </w:tcPr>
          <w:p>
            <w:pPr>
              <w:spacing w:after="0" w:line="240" w:lineRule="auto"/>
            </w:pPr>
            <w:r/>
            <w:r>
              <w:rPr>
                <w:rFonts w:ascii="Arial" w:hAnsi="Arial" w:eastAsia="Arial"/>
                <w:b w:val="0"/>
                <w:i w:val="0"/>
                <w:color w:val="1F2937"/>
                <w:sz w:val="17"/>
              </w:rPr>
              <w:t>build_workbooks.mjs</w:t>
            </w:r>
          </w:p>
        </w:tc>
        <w:tc>
          <w:tcPr>
            <w:tcW w:type="dxa" w:w="6912"/>
            <w:vAlign w:val="center"/>
            <w:tcMar>
              <w:top w:w="100" w:type="dxa"/>
              <w:start w:w="120" w:type="dxa"/>
              <w:bottom w:w="100" w:type="dxa"/>
              <w:end w:w="120" w:type="dxa"/>
            </w:tcMar>
          </w:tcPr>
          <w:p>
            <w:pPr>
              <w:spacing w:after="0" w:line="240" w:lineRule="auto"/>
            </w:pPr>
            <w:r/>
            <w:r>
              <w:rPr>
                <w:rFonts w:ascii="Arial" w:hAnsi="Arial" w:eastAsia="Arial"/>
                <w:b w:val="0"/>
                <w:i w:val="0"/>
                <w:color w:val="1F2937"/>
                <w:sz w:val="17"/>
              </w:rPr>
              <w:t>Rebuilds the formatted Nigeria forecast workbook and the GDP Interpolation sheet.</w:t>
            </w:r>
          </w:p>
        </w:tc>
      </w:tr>
      <w:tr>
        <w:trPr>
          <w:cantSplit/>
        </w:trPr>
        <w:tc>
          <w:tcPr>
            <w:tcW w:type="dxa" w:w="792"/>
            <w:vAlign w:val="center"/>
            <w:tcMar>
              <w:top w:w="100" w:type="dxa"/>
              <w:start w:w="120" w:type="dxa"/>
              <w:bottom w:w="100" w:type="dxa"/>
              <w:end w:w="120" w:type="dxa"/>
            </w:tcMar>
            <w:shd w:fill="F4F6F8"/>
          </w:tcPr>
          <w:p>
            <w:pPr>
              <w:spacing w:after="0" w:line="240" w:lineRule="auto"/>
            </w:pPr>
            <w:r/>
            <w:r>
              <w:rPr>
                <w:rFonts w:ascii="Arial" w:hAnsi="Arial" w:eastAsia="Arial"/>
                <w:b w:val="0"/>
                <w:i w:val="0"/>
                <w:color w:val="1F2937"/>
                <w:sz w:val="17"/>
              </w:rPr>
              <w:t>4</w:t>
            </w:r>
          </w:p>
        </w:tc>
        <w:tc>
          <w:tcPr>
            <w:tcW w:type="dxa" w:w="2232"/>
            <w:vAlign w:val="center"/>
            <w:tcMar>
              <w:top w:w="100" w:type="dxa"/>
              <w:start w:w="120" w:type="dxa"/>
              <w:bottom w:w="100" w:type="dxa"/>
              <w:end w:w="120" w:type="dxa"/>
            </w:tcMar>
            <w:shd w:fill="F4F6F8"/>
          </w:tcPr>
          <w:p>
            <w:pPr>
              <w:spacing w:after="0" w:line="240" w:lineRule="auto"/>
            </w:pPr>
            <w:r/>
            <w:r>
              <w:rPr>
                <w:rFonts w:ascii="Arial" w:hAnsi="Arial" w:eastAsia="Arial"/>
                <w:b w:val="0"/>
                <w:i w:val="0"/>
                <w:color w:val="1F2937"/>
                <w:sz w:val="17"/>
              </w:rPr>
              <w:t>verify_refresh.py</w:t>
            </w:r>
          </w:p>
        </w:tc>
        <w:tc>
          <w:tcPr>
            <w:tcW w:type="dxa" w:w="6912"/>
            <w:vAlign w:val="center"/>
            <w:tcMar>
              <w:top w:w="100" w:type="dxa"/>
              <w:start w:w="120" w:type="dxa"/>
              <w:bottom w:w="100" w:type="dxa"/>
              <w:end w:w="120" w:type="dxa"/>
            </w:tcMar>
            <w:shd w:fill="F4F6F8"/>
          </w:tcPr>
          <w:p>
            <w:pPr>
              <w:spacing w:after="0" w:line="240" w:lineRule="auto"/>
            </w:pPr>
            <w:r/>
            <w:r>
              <w:rPr>
                <w:rFonts w:ascii="Arial" w:hAnsi="Arial" w:eastAsia="Arial"/>
                <w:b w:val="0"/>
                <w:i w:val="0"/>
                <w:color w:val="1F2937"/>
                <w:sz w:val="17"/>
              </w:rPr>
              <w:t>Checks that the files exist, the release mode is consistent with coverage and the public values are valid.</w:t>
            </w:r>
          </w:p>
        </w:tc>
      </w:tr>
      <w:tr>
        <w:trPr>
          <w:cantSplit/>
        </w:trPr>
        <w:tc>
          <w:tcPr>
            <w:tcW w:type="dxa" w:w="792"/>
            <w:vAlign w:val="center"/>
            <w:tcMar>
              <w:top w:w="100" w:type="dxa"/>
              <w:start w:w="120" w:type="dxa"/>
              <w:bottom w:w="100" w:type="dxa"/>
              <w:end w:w="120" w:type="dxa"/>
            </w:tcMar>
          </w:tcPr>
          <w:p>
            <w:pPr>
              <w:spacing w:after="0" w:line="240" w:lineRule="auto"/>
            </w:pPr>
            <w:r/>
            <w:r>
              <w:rPr>
                <w:rFonts w:ascii="Arial" w:hAnsi="Arial" w:eastAsia="Arial"/>
                <w:b w:val="0"/>
                <w:i w:val="0"/>
                <w:color w:val="1F2937"/>
                <w:sz w:val="17"/>
              </w:rPr>
              <w:t>5</w:t>
            </w:r>
          </w:p>
        </w:tc>
        <w:tc>
          <w:tcPr>
            <w:tcW w:type="dxa" w:w="2232"/>
            <w:vAlign w:val="center"/>
            <w:tcMar>
              <w:top w:w="100" w:type="dxa"/>
              <w:start w:w="120" w:type="dxa"/>
              <w:bottom w:w="100" w:type="dxa"/>
              <w:end w:w="120" w:type="dxa"/>
            </w:tcMar>
          </w:tcPr>
          <w:p>
            <w:pPr>
              <w:spacing w:after="0" w:line="240" w:lineRule="auto"/>
            </w:pPr>
            <w:r/>
            <w:r>
              <w:rPr>
                <w:rFonts w:ascii="Arial" w:hAnsi="Arial" w:eastAsia="Arial"/>
                <w:b w:val="0"/>
                <w:i w:val="0"/>
                <w:color w:val="1F2937"/>
                <w:sz w:val="17"/>
              </w:rPr>
              <w:t>Backup and replace</w:t>
            </w:r>
          </w:p>
        </w:tc>
        <w:tc>
          <w:tcPr>
            <w:tcW w:type="dxa" w:w="6912"/>
            <w:vAlign w:val="center"/>
            <w:tcMar>
              <w:top w:w="100" w:type="dxa"/>
              <w:start w:w="120" w:type="dxa"/>
              <w:bottom w:w="100" w:type="dxa"/>
              <w:end w:w="120" w:type="dxa"/>
            </w:tcMar>
          </w:tcPr>
          <w:p>
            <w:pPr>
              <w:spacing w:after="0" w:line="240" w:lineRule="auto"/>
            </w:pPr>
            <w:r/>
            <w:r>
              <w:rPr>
                <w:rFonts w:ascii="Arial" w:hAnsi="Arial" w:eastAsia="Arial"/>
                <w:b w:val="0"/>
                <w:i w:val="0"/>
                <w:color w:val="1F2937"/>
                <w:sz w:val="17"/>
              </w:rPr>
              <w:t>Creates a timestamped backup of the master workbook, then installs the refreshed master copy.</w:t>
            </w:r>
          </w:p>
        </w:tc>
      </w:tr>
      <w:tr>
        <w:trPr>
          <w:cantSplit/>
        </w:trPr>
        <w:tc>
          <w:tcPr>
            <w:tcW w:type="dxa" w:w="792"/>
            <w:vAlign w:val="center"/>
            <w:tcMar>
              <w:top w:w="100" w:type="dxa"/>
              <w:start w:w="120" w:type="dxa"/>
              <w:bottom w:w="100" w:type="dxa"/>
              <w:end w:w="120" w:type="dxa"/>
            </w:tcMar>
            <w:shd w:fill="F4F6F8"/>
          </w:tcPr>
          <w:p>
            <w:pPr>
              <w:spacing w:after="0" w:line="240" w:lineRule="auto"/>
            </w:pPr>
            <w:r/>
            <w:r>
              <w:rPr>
                <w:rFonts w:ascii="Arial" w:hAnsi="Arial" w:eastAsia="Arial"/>
                <w:b w:val="0"/>
                <w:i w:val="0"/>
                <w:color w:val="1F2937"/>
                <w:sz w:val="17"/>
              </w:rPr>
              <w:t>6</w:t>
            </w:r>
          </w:p>
        </w:tc>
        <w:tc>
          <w:tcPr>
            <w:tcW w:type="dxa" w:w="2232"/>
            <w:vAlign w:val="center"/>
            <w:tcMar>
              <w:top w:w="100" w:type="dxa"/>
              <w:start w:w="120" w:type="dxa"/>
              <w:bottom w:w="100" w:type="dxa"/>
              <w:end w:w="120" w:type="dxa"/>
            </w:tcMar>
            <w:shd w:fill="F4F6F8"/>
          </w:tcPr>
          <w:p>
            <w:pPr>
              <w:spacing w:after="0" w:line="240" w:lineRule="auto"/>
            </w:pPr>
            <w:r/>
            <w:r>
              <w:rPr>
                <w:rFonts w:ascii="Arial" w:hAnsi="Arial" w:eastAsia="Arial"/>
                <w:b w:val="0"/>
                <w:i w:val="0"/>
                <w:color w:val="1F2937"/>
                <w:sz w:val="17"/>
              </w:rPr>
              <w:t>publish_newsletter.py</w:t>
            </w:r>
          </w:p>
        </w:tc>
        <w:tc>
          <w:tcPr>
            <w:tcW w:type="dxa" w:w="6912"/>
            <w:vAlign w:val="center"/>
            <w:tcMar>
              <w:top w:w="100" w:type="dxa"/>
              <w:start w:w="120" w:type="dxa"/>
              <w:bottom w:w="100" w:type="dxa"/>
              <w:end w:w="120" w:type="dxa"/>
            </w:tcMar>
            <w:shd w:fill="F4F6F8"/>
          </w:tcPr>
          <w:p>
            <w:pPr>
              <w:spacing w:after="0" w:line="240" w:lineRule="auto"/>
            </w:pPr>
            <w:r/>
            <w:r>
              <w:rPr>
                <w:rFonts w:ascii="Arial" w:hAnsi="Arial" w:eastAsia="Arial"/>
                <w:b w:val="0"/>
                <w:i w:val="0"/>
                <w:color w:val="1F2937"/>
                <w:sz w:val="17"/>
              </w:rPr>
              <w:t>Creates the GDP chart and updates the connected newsletter from the untouched template.</w:t>
            </w:r>
          </w:p>
        </w:tc>
      </w:tr>
    </w:tbl>
    <w:p>
      <w:pPr>
        <w:spacing w:after="40"/>
      </w:pPr>
    </w:p>
    <w:p>
      <w:r>
        <w:br w:type="page"/>
      </w:r>
    </w:p>
    <w:p>
      <w:pPr>
        <w:pStyle w:val="Heading1"/>
        <w:keepNext/>
        <w:spacing w:before="200" w:after="80"/>
      </w:pPr>
      <w:r>
        <w:rPr>
          <w:rFonts w:ascii="Arial" w:hAnsi="Arial" w:eastAsia="Arial"/>
          <w:b/>
          <w:i w:val="0"/>
          <w:color w:val="000000"/>
          <w:sz w:val="30"/>
        </w:rPr>
        <w:t>Model methodology</w:t>
      </w:r>
    </w:p>
    <w:p>
      <w:pPr>
        <w:pStyle w:val="Heading2"/>
        <w:keepNext/>
        <w:spacing w:before="140" w:after="80"/>
      </w:pPr>
      <w:r>
        <w:rPr>
          <w:rFonts w:ascii="Arial" w:hAnsi="Arial" w:eastAsia="Arial"/>
          <w:b/>
          <w:i w:val="0"/>
          <w:color w:val="000000"/>
          <w:sz w:val="24"/>
        </w:rPr>
        <w:t>Variables in the selected model</w:t>
      </w:r>
    </w:p>
    <w:p>
      <w:pPr>
        <w:keepNext w:val="0"/>
        <w:spacing w:after="120" w:line="259" w:lineRule="auto"/>
      </w:pPr>
      <w:r>
        <w:rPr>
          <w:rFonts w:ascii="Arial" w:hAnsi="Arial" w:eastAsia="Arial"/>
          <w:b w:val="0"/>
          <w:i w:val="0"/>
          <w:color w:val="1F2937"/>
          <w:sz w:val="21"/>
        </w:rPr>
        <w:t>The current winning specification is the Ridge AR bridge with a ridge penalty of 20. It uses five core predictors and one PMI overlay, giving six signals in the final internal nowcast.</w:t>
      </w:r>
    </w:p>
    <w:tbl>
      <w:tblPr>
        <w:tblW w:type="auto" w:w="0"/>
        <w:jc w:val="center"/>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3331"/>
        <w:gridCol w:w="3331"/>
        <w:gridCol w:w="3331"/>
      </w:tblGrid>
      <w:tr>
        <w:trPr>
          <w:tblHeader w:val="true"/>
          <w:cantSplit/>
        </w:trPr>
        <w:tc>
          <w:tcPr>
            <w:tcW w:type="dxa" w:w="1800"/>
            <w:vAlign w:val="center"/>
            <w:shd w:fill="1F4E78"/>
            <w:tcMar>
              <w:top w:w="100" w:type="dxa"/>
              <w:start w:w="120" w:type="dxa"/>
              <w:bottom w:w="100" w:type="dxa"/>
              <w:end w:w="120" w:type="dxa"/>
            </w:tcMar>
          </w:tcPr>
          <w:p>
            <w:pPr>
              <w:spacing w:after="0"/>
            </w:pPr>
            <w:r/>
            <w:r>
              <w:rPr>
                <w:rFonts w:ascii="Arial" w:hAnsi="Arial" w:eastAsia="Arial"/>
                <w:b/>
                <w:i w:val="0"/>
                <w:color w:val="FFFFFF"/>
                <w:sz w:val="17"/>
              </w:rPr>
              <w:t>Signal</w:t>
            </w:r>
          </w:p>
        </w:tc>
        <w:tc>
          <w:tcPr>
            <w:tcW w:type="dxa" w:w="3960"/>
            <w:vAlign w:val="center"/>
            <w:shd w:fill="1F4E78"/>
            <w:tcMar>
              <w:top w:w="100" w:type="dxa"/>
              <w:start w:w="120" w:type="dxa"/>
              <w:bottom w:w="100" w:type="dxa"/>
              <w:end w:w="120" w:type="dxa"/>
            </w:tcMar>
          </w:tcPr>
          <w:p>
            <w:pPr>
              <w:spacing w:after="0"/>
            </w:pPr>
            <w:r/>
            <w:r>
              <w:rPr>
                <w:rFonts w:ascii="Arial" w:hAnsi="Arial" w:eastAsia="Arial"/>
                <w:b/>
                <w:i w:val="0"/>
                <w:color w:val="FFFFFF"/>
                <w:sz w:val="17"/>
              </w:rPr>
              <w:t>Meaning</w:t>
            </w:r>
          </w:p>
        </w:tc>
        <w:tc>
          <w:tcPr>
            <w:tcW w:type="dxa" w:w="4176"/>
            <w:vAlign w:val="center"/>
            <w:shd w:fill="1F4E78"/>
            <w:tcMar>
              <w:top w:w="100" w:type="dxa"/>
              <w:start w:w="120" w:type="dxa"/>
              <w:bottom w:w="100" w:type="dxa"/>
              <w:end w:w="120" w:type="dxa"/>
            </w:tcMar>
          </w:tcPr>
          <w:p>
            <w:pPr>
              <w:spacing w:after="0"/>
            </w:pPr>
            <w:r/>
            <w:r>
              <w:rPr>
                <w:rFonts w:ascii="Arial" w:hAnsi="Arial" w:eastAsia="Arial"/>
                <w:b/>
                <w:i w:val="0"/>
                <w:color w:val="FFFFFF"/>
                <w:sz w:val="17"/>
              </w:rPr>
              <w:t>Role</w:t>
            </w:r>
          </w:p>
        </w:tc>
      </w:tr>
      <w:tr>
        <w:trPr>
          <w:cantSplit/>
        </w:trPr>
        <w:tc>
          <w:tcPr>
            <w:tcW w:type="dxa" w:w="1800"/>
            <w:vAlign w:val="center"/>
            <w:tcMar>
              <w:top w:w="100" w:type="dxa"/>
              <w:start w:w="120" w:type="dxa"/>
              <w:bottom w:w="100" w:type="dxa"/>
              <w:end w:w="120" w:type="dxa"/>
            </w:tcMar>
          </w:tcPr>
          <w:p>
            <w:pPr>
              <w:spacing w:after="0" w:line="240" w:lineRule="auto"/>
            </w:pPr>
            <w:r/>
            <w:r>
              <w:rPr>
                <w:rFonts w:ascii="Arial" w:hAnsi="Arial" w:eastAsia="Arial"/>
                <w:b w:val="0"/>
                <w:i w:val="0"/>
                <w:color w:val="1F2937"/>
                <w:sz w:val="17"/>
              </w:rPr>
              <w:t>GDP lag 1</w:t>
            </w:r>
          </w:p>
        </w:tc>
        <w:tc>
          <w:tcPr>
            <w:tcW w:type="dxa" w:w="3960"/>
            <w:vAlign w:val="center"/>
            <w:tcMar>
              <w:top w:w="100" w:type="dxa"/>
              <w:start w:w="120" w:type="dxa"/>
              <w:bottom w:w="100" w:type="dxa"/>
              <w:end w:w="120" w:type="dxa"/>
            </w:tcMar>
          </w:tcPr>
          <w:p>
            <w:pPr>
              <w:spacing w:after="0" w:line="240" w:lineRule="auto"/>
            </w:pPr>
            <w:r/>
            <w:r>
              <w:rPr>
                <w:rFonts w:ascii="Arial" w:hAnsi="Arial" w:eastAsia="Arial"/>
                <w:b w:val="0"/>
                <w:i w:val="0"/>
                <w:color w:val="1F2937"/>
                <w:sz w:val="17"/>
              </w:rPr>
              <w:t>Official real GDP growth in the immediately preceding quarter</w:t>
            </w:r>
          </w:p>
        </w:tc>
        <w:tc>
          <w:tcPr>
            <w:tcW w:type="dxa" w:w="4176"/>
            <w:vAlign w:val="center"/>
            <w:tcMar>
              <w:top w:w="100" w:type="dxa"/>
              <w:start w:w="120" w:type="dxa"/>
              <w:bottom w:w="100" w:type="dxa"/>
              <w:end w:w="120" w:type="dxa"/>
            </w:tcMar>
          </w:tcPr>
          <w:p>
            <w:pPr>
              <w:spacing w:after="0" w:line="240" w:lineRule="auto"/>
            </w:pPr>
            <w:r/>
            <w:r>
              <w:rPr>
                <w:rFonts w:ascii="Arial" w:hAnsi="Arial" w:eastAsia="Arial"/>
                <w:b w:val="0"/>
                <w:i w:val="0"/>
                <w:color w:val="1F2937"/>
                <w:sz w:val="17"/>
              </w:rPr>
              <w:t>Captures recent growth momentum.</w:t>
            </w:r>
          </w:p>
        </w:tc>
      </w:tr>
      <w:tr>
        <w:trPr>
          <w:cantSplit/>
        </w:trPr>
        <w:tc>
          <w:tcPr>
            <w:tcW w:type="dxa" w:w="1800"/>
            <w:vAlign w:val="center"/>
            <w:tcMar>
              <w:top w:w="100" w:type="dxa"/>
              <w:start w:w="120" w:type="dxa"/>
              <w:bottom w:w="100" w:type="dxa"/>
              <w:end w:w="120" w:type="dxa"/>
            </w:tcMar>
            <w:shd w:fill="F4F6F8"/>
          </w:tcPr>
          <w:p>
            <w:pPr>
              <w:spacing w:after="0" w:line="240" w:lineRule="auto"/>
            </w:pPr>
            <w:r/>
            <w:r>
              <w:rPr>
                <w:rFonts w:ascii="Arial" w:hAnsi="Arial" w:eastAsia="Arial"/>
                <w:b w:val="0"/>
                <w:i w:val="0"/>
                <w:color w:val="1F2937"/>
                <w:sz w:val="17"/>
              </w:rPr>
              <w:t>GDP lag 4</w:t>
            </w:r>
          </w:p>
        </w:tc>
        <w:tc>
          <w:tcPr>
            <w:tcW w:type="dxa" w:w="3960"/>
            <w:vAlign w:val="center"/>
            <w:tcMar>
              <w:top w:w="100" w:type="dxa"/>
              <w:start w:w="120" w:type="dxa"/>
              <w:bottom w:w="100" w:type="dxa"/>
              <w:end w:w="120" w:type="dxa"/>
            </w:tcMar>
            <w:shd w:fill="F4F6F8"/>
          </w:tcPr>
          <w:p>
            <w:pPr>
              <w:spacing w:after="0" w:line="240" w:lineRule="auto"/>
            </w:pPr>
            <w:r/>
            <w:r>
              <w:rPr>
                <w:rFonts w:ascii="Arial" w:hAnsi="Arial" w:eastAsia="Arial"/>
                <w:b w:val="0"/>
                <w:i w:val="0"/>
                <w:color w:val="1F2937"/>
                <w:sz w:val="17"/>
              </w:rPr>
              <w:t>Official real GDP growth in the same quarter one year earlier</w:t>
            </w:r>
          </w:p>
        </w:tc>
        <w:tc>
          <w:tcPr>
            <w:tcW w:type="dxa" w:w="4176"/>
            <w:vAlign w:val="center"/>
            <w:tcMar>
              <w:top w:w="100" w:type="dxa"/>
              <w:start w:w="120" w:type="dxa"/>
              <w:bottom w:w="100" w:type="dxa"/>
              <w:end w:w="120" w:type="dxa"/>
            </w:tcMar>
            <w:shd w:fill="F4F6F8"/>
          </w:tcPr>
          <w:p>
            <w:pPr>
              <w:spacing w:after="0" w:line="240" w:lineRule="auto"/>
            </w:pPr>
            <w:r/>
            <w:r>
              <w:rPr>
                <w:rFonts w:ascii="Arial" w:hAnsi="Arial" w:eastAsia="Arial"/>
                <w:b w:val="0"/>
                <w:i w:val="0"/>
                <w:color w:val="1F2937"/>
                <w:sz w:val="17"/>
              </w:rPr>
              <w:t>Captures seasonal persistence.</w:t>
            </w:r>
          </w:p>
        </w:tc>
      </w:tr>
      <w:tr>
        <w:trPr>
          <w:cantSplit/>
        </w:trPr>
        <w:tc>
          <w:tcPr>
            <w:tcW w:type="dxa" w:w="1800"/>
            <w:vAlign w:val="center"/>
            <w:tcMar>
              <w:top w:w="100" w:type="dxa"/>
              <w:start w:w="120" w:type="dxa"/>
              <w:bottom w:w="100" w:type="dxa"/>
              <w:end w:w="120" w:type="dxa"/>
            </w:tcMar>
          </w:tcPr>
          <w:p>
            <w:pPr>
              <w:spacing w:after="0" w:line="240" w:lineRule="auto"/>
            </w:pPr>
            <w:r/>
            <w:r>
              <w:rPr>
                <w:rFonts w:ascii="Arial" w:hAnsi="Arial" w:eastAsia="Arial"/>
                <w:b w:val="0"/>
                <w:i w:val="0"/>
                <w:color w:val="1F2937"/>
                <w:sz w:val="17"/>
              </w:rPr>
              <w:t>Headline inflation</w:t>
            </w:r>
          </w:p>
        </w:tc>
        <w:tc>
          <w:tcPr>
            <w:tcW w:type="dxa" w:w="3960"/>
            <w:vAlign w:val="center"/>
            <w:tcMar>
              <w:top w:w="100" w:type="dxa"/>
              <w:start w:w="120" w:type="dxa"/>
              <w:bottom w:w="100" w:type="dxa"/>
              <w:end w:w="120" w:type="dxa"/>
            </w:tcMar>
          </w:tcPr>
          <w:p>
            <w:pPr>
              <w:spacing w:after="0" w:line="240" w:lineRule="auto"/>
            </w:pPr>
            <w:r/>
            <w:r>
              <w:rPr>
                <w:rFonts w:ascii="Arial" w:hAnsi="Arial" w:eastAsia="Arial"/>
                <w:b w:val="0"/>
                <w:i w:val="0"/>
                <w:color w:val="1F2937"/>
                <w:sz w:val="17"/>
              </w:rPr>
              <w:t>Year-on-year change in HCPI</w:t>
            </w:r>
          </w:p>
        </w:tc>
        <w:tc>
          <w:tcPr>
            <w:tcW w:type="dxa" w:w="4176"/>
            <w:vAlign w:val="center"/>
            <w:tcMar>
              <w:top w:w="100" w:type="dxa"/>
              <w:start w:w="120" w:type="dxa"/>
              <w:bottom w:w="100" w:type="dxa"/>
              <w:end w:w="120" w:type="dxa"/>
            </w:tcMar>
          </w:tcPr>
          <w:p>
            <w:pPr>
              <w:spacing w:after="0" w:line="240" w:lineRule="auto"/>
            </w:pPr>
            <w:r/>
            <w:r>
              <w:rPr>
                <w:rFonts w:ascii="Arial" w:hAnsi="Arial" w:eastAsia="Arial"/>
                <w:b w:val="0"/>
                <w:i w:val="0"/>
                <w:color w:val="1F2937"/>
                <w:sz w:val="17"/>
              </w:rPr>
              <w:t>Represents the price and household-demand environment.</w:t>
            </w:r>
          </w:p>
        </w:tc>
      </w:tr>
      <w:tr>
        <w:trPr>
          <w:cantSplit/>
        </w:trPr>
        <w:tc>
          <w:tcPr>
            <w:tcW w:type="dxa" w:w="1800"/>
            <w:vAlign w:val="center"/>
            <w:tcMar>
              <w:top w:w="100" w:type="dxa"/>
              <w:start w:w="120" w:type="dxa"/>
              <w:bottom w:w="100" w:type="dxa"/>
              <w:end w:w="120" w:type="dxa"/>
            </w:tcMar>
            <w:shd w:fill="F4F6F8"/>
          </w:tcPr>
          <w:p>
            <w:pPr>
              <w:spacing w:after="0" w:line="240" w:lineRule="auto"/>
            </w:pPr>
            <w:r/>
            <w:r>
              <w:rPr>
                <w:rFonts w:ascii="Arial" w:hAnsi="Arial" w:eastAsia="Arial"/>
                <w:b w:val="0"/>
                <w:i w:val="0"/>
                <w:color w:val="1F2937"/>
                <w:sz w:val="17"/>
              </w:rPr>
              <w:t>Exchange rate</w:t>
            </w:r>
          </w:p>
        </w:tc>
        <w:tc>
          <w:tcPr>
            <w:tcW w:type="dxa" w:w="3960"/>
            <w:vAlign w:val="center"/>
            <w:tcMar>
              <w:top w:w="100" w:type="dxa"/>
              <w:start w:w="120" w:type="dxa"/>
              <w:bottom w:w="100" w:type="dxa"/>
              <w:end w:w="120" w:type="dxa"/>
            </w:tcMar>
            <w:shd w:fill="F4F6F8"/>
          </w:tcPr>
          <w:p>
            <w:pPr>
              <w:spacing w:after="0" w:line="240" w:lineRule="auto"/>
            </w:pPr>
            <w:r/>
            <w:r>
              <w:rPr>
                <w:rFonts w:ascii="Arial" w:hAnsi="Arial" w:eastAsia="Arial"/>
                <w:b w:val="0"/>
                <w:i w:val="0"/>
                <w:color w:val="1F2937"/>
                <w:sz w:val="17"/>
              </w:rPr>
              <w:t>Year-on-year change in BDC exchange rate</w:t>
            </w:r>
          </w:p>
        </w:tc>
        <w:tc>
          <w:tcPr>
            <w:tcW w:type="dxa" w:w="4176"/>
            <w:vAlign w:val="center"/>
            <w:tcMar>
              <w:top w:w="100" w:type="dxa"/>
              <w:start w:w="120" w:type="dxa"/>
              <w:bottom w:w="100" w:type="dxa"/>
              <w:end w:w="120" w:type="dxa"/>
            </w:tcMar>
            <w:shd w:fill="F4F6F8"/>
          </w:tcPr>
          <w:p>
            <w:pPr>
              <w:spacing w:after="0" w:line="240" w:lineRule="auto"/>
            </w:pPr>
            <w:r/>
            <w:r>
              <w:rPr>
                <w:rFonts w:ascii="Arial" w:hAnsi="Arial" w:eastAsia="Arial"/>
                <w:b w:val="0"/>
                <w:i w:val="0"/>
                <w:color w:val="1F2937"/>
                <w:sz w:val="17"/>
              </w:rPr>
              <w:t>Represents imported costs and external adjustment.</w:t>
            </w:r>
          </w:p>
        </w:tc>
      </w:tr>
      <w:tr>
        <w:trPr>
          <w:cantSplit/>
        </w:trPr>
        <w:tc>
          <w:tcPr>
            <w:tcW w:type="dxa" w:w="1800"/>
            <w:vAlign w:val="center"/>
            <w:tcMar>
              <w:top w:w="100" w:type="dxa"/>
              <w:start w:w="120" w:type="dxa"/>
              <w:bottom w:w="100" w:type="dxa"/>
              <w:end w:w="120" w:type="dxa"/>
            </w:tcMar>
          </w:tcPr>
          <w:p>
            <w:pPr>
              <w:spacing w:after="0" w:line="240" w:lineRule="auto"/>
            </w:pPr>
            <w:r/>
            <w:r>
              <w:rPr>
                <w:rFonts w:ascii="Arial" w:hAnsi="Arial" w:eastAsia="Arial"/>
                <w:b w:val="0"/>
                <w:i w:val="0"/>
                <w:color w:val="1F2937"/>
                <w:sz w:val="17"/>
              </w:rPr>
              <w:t>Crude oil</w:t>
            </w:r>
          </w:p>
        </w:tc>
        <w:tc>
          <w:tcPr>
            <w:tcW w:type="dxa" w:w="3960"/>
            <w:vAlign w:val="center"/>
            <w:tcMar>
              <w:top w:w="100" w:type="dxa"/>
              <w:start w:w="120" w:type="dxa"/>
              <w:bottom w:w="100" w:type="dxa"/>
              <w:end w:w="120" w:type="dxa"/>
            </w:tcMar>
          </w:tcPr>
          <w:p>
            <w:pPr>
              <w:spacing w:after="0" w:line="240" w:lineRule="auto"/>
            </w:pPr>
            <w:r/>
            <w:r>
              <w:rPr>
                <w:rFonts w:ascii="Arial" w:hAnsi="Arial" w:eastAsia="Arial"/>
                <w:b w:val="0"/>
                <w:i w:val="0"/>
                <w:color w:val="1F2937"/>
                <w:sz w:val="17"/>
              </w:rPr>
              <w:t>Year-on-year change in crude-oil price</w:t>
            </w:r>
          </w:p>
        </w:tc>
        <w:tc>
          <w:tcPr>
            <w:tcW w:type="dxa" w:w="4176"/>
            <w:vAlign w:val="center"/>
            <w:tcMar>
              <w:top w:w="100" w:type="dxa"/>
              <w:start w:w="120" w:type="dxa"/>
              <w:bottom w:w="100" w:type="dxa"/>
              <w:end w:w="120" w:type="dxa"/>
            </w:tcMar>
          </w:tcPr>
          <w:p>
            <w:pPr>
              <w:spacing w:after="0" w:line="240" w:lineRule="auto"/>
            </w:pPr>
            <w:r/>
            <w:r>
              <w:rPr>
                <w:rFonts w:ascii="Arial" w:hAnsi="Arial" w:eastAsia="Arial"/>
                <w:b w:val="0"/>
                <w:i w:val="0"/>
                <w:color w:val="1F2937"/>
                <w:sz w:val="17"/>
              </w:rPr>
              <w:t>Represents export, fiscal and oil-sector conditions.</w:t>
            </w:r>
          </w:p>
        </w:tc>
      </w:tr>
      <w:tr>
        <w:trPr>
          <w:cantSplit/>
        </w:trPr>
        <w:tc>
          <w:tcPr>
            <w:tcW w:type="dxa" w:w="1800"/>
            <w:vAlign w:val="center"/>
            <w:tcMar>
              <w:top w:w="100" w:type="dxa"/>
              <w:start w:w="120" w:type="dxa"/>
              <w:bottom w:w="100" w:type="dxa"/>
              <w:end w:w="120" w:type="dxa"/>
            </w:tcMar>
            <w:shd w:fill="F4F6F8"/>
          </w:tcPr>
          <w:p>
            <w:pPr>
              <w:spacing w:after="0" w:line="240" w:lineRule="auto"/>
            </w:pPr>
            <w:r/>
            <w:r>
              <w:rPr>
                <w:rFonts w:ascii="Arial" w:hAnsi="Arial" w:eastAsia="Arial"/>
                <w:b w:val="0"/>
                <w:i w:val="0"/>
                <w:color w:val="1F2937"/>
                <w:sz w:val="17"/>
              </w:rPr>
              <w:t>PMI overlay</w:t>
            </w:r>
          </w:p>
        </w:tc>
        <w:tc>
          <w:tcPr>
            <w:tcW w:type="dxa" w:w="3960"/>
            <w:vAlign w:val="center"/>
            <w:tcMar>
              <w:top w:w="100" w:type="dxa"/>
              <w:start w:w="120" w:type="dxa"/>
              <w:bottom w:w="100" w:type="dxa"/>
              <w:end w:w="120" w:type="dxa"/>
            </w:tcMar>
            <w:shd w:fill="F4F6F8"/>
          </w:tcPr>
          <w:p>
            <w:pPr>
              <w:spacing w:after="0" w:line="240" w:lineRule="auto"/>
            </w:pPr>
            <w:r/>
            <w:r>
              <w:rPr>
                <w:rFonts w:ascii="Arial" w:hAnsi="Arial" w:eastAsia="Arial"/>
                <w:b w:val="0"/>
                <w:i w:val="0"/>
                <w:color w:val="1F2937"/>
                <w:sz w:val="17"/>
              </w:rPr>
              <w:t>Reliability-weighted Nigeria PMI activity signal</w:t>
            </w:r>
          </w:p>
        </w:tc>
        <w:tc>
          <w:tcPr>
            <w:tcW w:type="dxa" w:w="4176"/>
            <w:vAlign w:val="center"/>
            <w:tcMar>
              <w:top w:w="100" w:type="dxa"/>
              <w:start w:w="120" w:type="dxa"/>
              <w:bottom w:w="100" w:type="dxa"/>
              <w:end w:w="120" w:type="dxa"/>
            </w:tcMar>
            <w:shd w:fill="F4F6F8"/>
          </w:tcPr>
          <w:p>
            <w:pPr>
              <w:spacing w:after="0" w:line="240" w:lineRule="auto"/>
            </w:pPr>
            <w:r/>
            <w:r>
              <w:rPr>
                <w:rFonts w:ascii="Arial" w:hAnsi="Arial" w:eastAsia="Arial"/>
                <w:b w:val="0"/>
                <w:i w:val="0"/>
                <w:color w:val="1F2937"/>
                <w:sz w:val="17"/>
              </w:rPr>
              <w:t>Adds timely information on private-sector activity.</w:t>
            </w:r>
          </w:p>
        </w:tc>
      </w:tr>
    </w:tbl>
    <w:p>
      <w:pPr>
        <w:spacing w:after="40"/>
      </w:pPr>
    </w:p>
    <w:p>
      <w:pPr>
        <w:keepNext w:val="0"/>
        <w:spacing w:after="120" w:line="259" w:lineRule="auto"/>
      </w:pPr>
      <w:r>
        <w:rPr>
          <w:rFonts w:ascii="Arial" w:hAnsi="Arial" w:eastAsia="Arial"/>
          <w:b w:val="0"/>
          <w:i w:val="0"/>
          <w:color w:val="1F2937"/>
          <w:sz w:val="21"/>
        </w:rPr>
        <w:t>The model-selection exercise also tests larger macro and broad bridge specifications with as many as 14 predictors, together with persistence benchmarks. The selected specification is the lowest-RMSE regularised model in an expanding-window comparison beginning in 2018Q1. At the current vintage, the selected model has an RMSE of about 1.70 percentage points and an MAE of about 1.14 percentage points over 34 validation quarters.</w:t>
      </w:r>
    </w:p>
    <w:p>
      <w:pPr>
        <w:pStyle w:val="Heading2"/>
        <w:keepNext/>
        <w:spacing w:before="140" w:after="80"/>
      </w:pPr>
      <w:r>
        <w:rPr>
          <w:rFonts w:ascii="Arial" w:hAnsi="Arial" w:eastAsia="Arial"/>
          <w:b/>
          <w:i w:val="0"/>
          <w:color w:val="000000"/>
          <w:sz w:val="24"/>
        </w:rPr>
        <w:t>PMI treatment</w:t>
      </w:r>
    </w:p>
    <w:p>
      <w:pPr>
        <w:keepNext w:val="0"/>
        <w:spacing w:after="120" w:line="259" w:lineRule="auto"/>
      </w:pPr>
      <w:r>
        <w:rPr>
          <w:rFonts w:ascii="Arial" w:hAnsi="Arial" w:eastAsia="Arial"/>
          <w:b w:val="0"/>
          <w:i w:val="0"/>
          <w:color w:val="1F2937"/>
          <w:sz w:val="21"/>
        </w:rPr>
        <w:t>PMI is always read from column L of the master workbook for the current target quarter. The first two available months form the current activity signal. Because the calibration history is short, the PMI contribution is reliability-weighted rather than allowed to dominate the core bridge. The current weight is approximately 16.7 per cent and can change as the available history expands.</w:t>
      </w:r>
    </w:p>
    <w:p>
      <w:pPr>
        <w:pStyle w:val="Heading2"/>
        <w:keepNext/>
        <w:spacing w:before="140" w:after="80"/>
      </w:pPr>
      <w:r>
        <w:rPr>
          <w:rFonts w:ascii="Arial" w:hAnsi="Arial" w:eastAsia="Arial"/>
          <w:b/>
          <w:i w:val="0"/>
          <w:color w:val="000000"/>
          <w:sz w:val="24"/>
        </w:rPr>
        <w:t>Internal point and public forecast</w:t>
      </w:r>
    </w:p>
    <w:p>
      <w:pPr>
        <w:keepNext w:val="0"/>
        <w:spacing w:after="120" w:line="259" w:lineRule="auto"/>
      </w:pPr>
      <w:r>
        <w:rPr>
          <w:rFonts w:ascii="Arial" w:hAnsi="Arial" w:eastAsia="Arial"/>
          <w:b w:val="0"/>
          <w:i w:val="0"/>
          <w:color w:val="1F2937"/>
          <w:sz w:val="21"/>
        </w:rPr>
        <w:t>The Model Engine retains an internal point estimate even during range mode. This supports monitoring, diagnostics and GDP interpolation. It is not the public point forecast until the release gate changes to Point forecast. The public result must always be taken from Executive Summary or the published columns in Quarterly Forecast, not directly from the internal estimate cell.</w:t>
      </w:r>
    </w:p>
    <w:p>
      <w:pPr>
        <w:pStyle w:val="Heading1"/>
        <w:keepNext/>
        <w:spacing w:before="200" w:after="80"/>
      </w:pPr>
      <w:r>
        <w:rPr>
          <w:rFonts w:ascii="Arial" w:hAnsi="Arial" w:eastAsia="Arial"/>
          <w:b/>
          <w:i w:val="0"/>
          <w:color w:val="000000"/>
          <w:sz w:val="30"/>
        </w:rPr>
        <w:t>Understanding the forecast workbook</w:t>
      </w:r>
    </w:p>
    <w:tbl>
      <w:tblPr>
        <w:tblW w:type="auto" w:w="0"/>
        <w:jc w:val="center"/>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4997"/>
        <w:gridCol w:w="4997"/>
      </w:tblGrid>
      <w:tr>
        <w:trPr>
          <w:tblHeader w:val="true"/>
          <w:cantSplit/>
        </w:trPr>
        <w:tc>
          <w:tcPr>
            <w:tcW w:type="dxa" w:w="2376"/>
            <w:vAlign w:val="center"/>
            <w:shd w:fill="1F4E78"/>
            <w:tcMar>
              <w:top w:w="100" w:type="dxa"/>
              <w:start w:w="120" w:type="dxa"/>
              <w:bottom w:w="100" w:type="dxa"/>
              <w:end w:w="120" w:type="dxa"/>
            </w:tcMar>
          </w:tcPr>
          <w:p>
            <w:pPr>
              <w:spacing w:after="0"/>
            </w:pPr>
            <w:r/>
            <w:r>
              <w:rPr>
                <w:rFonts w:ascii="Arial" w:hAnsi="Arial" w:eastAsia="Arial"/>
                <w:b/>
                <w:i w:val="0"/>
                <w:color w:val="FFFFFF"/>
                <w:sz w:val="17"/>
              </w:rPr>
              <w:t>Worksheet</w:t>
            </w:r>
          </w:p>
        </w:tc>
        <w:tc>
          <w:tcPr>
            <w:tcW w:type="dxa" w:w="7560"/>
            <w:vAlign w:val="center"/>
            <w:shd w:fill="1F4E78"/>
            <w:tcMar>
              <w:top w:w="100" w:type="dxa"/>
              <w:start w:w="120" w:type="dxa"/>
              <w:bottom w:w="100" w:type="dxa"/>
              <w:end w:w="120" w:type="dxa"/>
            </w:tcMar>
          </w:tcPr>
          <w:p>
            <w:pPr>
              <w:spacing w:after="0"/>
            </w:pPr>
            <w:r/>
            <w:r>
              <w:rPr>
                <w:rFonts w:ascii="Arial" w:hAnsi="Arial" w:eastAsia="Arial"/>
                <w:b/>
                <w:i w:val="0"/>
                <w:color w:val="FFFFFF"/>
                <w:sz w:val="17"/>
              </w:rPr>
              <w:t>What to review</w:t>
            </w:r>
          </w:p>
        </w:tc>
      </w:tr>
      <w:tr>
        <w:trPr>
          <w:cantSplit/>
        </w:trPr>
        <w:tc>
          <w:tcPr>
            <w:tcW w:type="dxa" w:w="2376"/>
            <w:vAlign w:val="center"/>
            <w:tcMar>
              <w:top w:w="100" w:type="dxa"/>
              <w:start w:w="120" w:type="dxa"/>
              <w:bottom w:w="100" w:type="dxa"/>
              <w:end w:w="120" w:type="dxa"/>
            </w:tcMar>
          </w:tcPr>
          <w:p>
            <w:pPr>
              <w:spacing w:after="0" w:line="240" w:lineRule="auto"/>
            </w:pPr>
            <w:r/>
            <w:r>
              <w:rPr>
                <w:rFonts w:ascii="Arial" w:hAnsi="Arial" w:eastAsia="Arial"/>
                <w:b w:val="0"/>
                <w:i w:val="0"/>
                <w:color w:val="1F2937"/>
                <w:sz w:val="17"/>
              </w:rPr>
              <w:t>Executive Summary</w:t>
            </w:r>
          </w:p>
        </w:tc>
        <w:tc>
          <w:tcPr>
            <w:tcW w:type="dxa" w:w="7560"/>
            <w:vAlign w:val="center"/>
            <w:tcMar>
              <w:top w:w="100" w:type="dxa"/>
              <w:start w:w="120" w:type="dxa"/>
              <w:bottom w:w="100" w:type="dxa"/>
              <w:end w:w="120" w:type="dxa"/>
            </w:tcMar>
          </w:tcPr>
          <w:p>
            <w:pPr>
              <w:spacing w:after="0" w:line="240" w:lineRule="auto"/>
            </w:pPr>
            <w:r/>
            <w:r>
              <w:rPr>
                <w:rFonts w:ascii="Arial" w:hAnsi="Arial" w:eastAsia="Arial"/>
                <w:b w:val="0"/>
                <w:i w:val="0"/>
                <w:color w:val="1F2937"/>
                <w:sz w:val="17"/>
              </w:rPr>
              <w:t>Published range or point, release mode, complete-month count, current PMI, selected model and headline chart.</w:t>
            </w:r>
          </w:p>
        </w:tc>
      </w:tr>
      <w:tr>
        <w:trPr>
          <w:cantSplit/>
        </w:trPr>
        <w:tc>
          <w:tcPr>
            <w:tcW w:type="dxa" w:w="2376"/>
            <w:vAlign w:val="center"/>
            <w:tcMar>
              <w:top w:w="100" w:type="dxa"/>
              <w:start w:w="120" w:type="dxa"/>
              <w:bottom w:w="100" w:type="dxa"/>
              <w:end w:w="120" w:type="dxa"/>
            </w:tcMar>
            <w:shd w:fill="F4F6F8"/>
          </w:tcPr>
          <w:p>
            <w:pPr>
              <w:spacing w:after="0" w:line="240" w:lineRule="auto"/>
            </w:pPr>
            <w:r/>
            <w:r>
              <w:rPr>
                <w:rFonts w:ascii="Arial" w:hAnsi="Arial" w:eastAsia="Arial"/>
                <w:b w:val="0"/>
                <w:i w:val="0"/>
                <w:color w:val="1F2937"/>
                <w:sz w:val="17"/>
              </w:rPr>
              <w:t>Quarterly Forecast</w:t>
            </w:r>
          </w:p>
        </w:tc>
        <w:tc>
          <w:tcPr>
            <w:tcW w:type="dxa" w:w="7560"/>
            <w:vAlign w:val="center"/>
            <w:tcMar>
              <w:top w:w="100" w:type="dxa"/>
              <w:start w:w="120" w:type="dxa"/>
              <w:bottom w:w="100" w:type="dxa"/>
              <w:end w:w="120" w:type="dxa"/>
            </w:tcMar>
            <w:shd w:fill="F4F6F8"/>
          </w:tcPr>
          <w:p>
            <w:pPr>
              <w:spacing w:after="0" w:line="240" w:lineRule="auto"/>
            </w:pPr>
            <w:r/>
            <w:r>
              <w:rPr>
                <w:rFonts w:ascii="Arial" w:hAnsi="Arial" w:eastAsia="Arial"/>
                <w:b w:val="0"/>
                <w:i w:val="0"/>
                <w:color w:val="1F2937"/>
                <w:sz w:val="17"/>
              </w:rPr>
              <w:t>Official history and target-quarter row. Columns F to H contain the public point or public range.</w:t>
            </w:r>
          </w:p>
        </w:tc>
      </w:tr>
      <w:tr>
        <w:trPr>
          <w:cantSplit/>
        </w:trPr>
        <w:tc>
          <w:tcPr>
            <w:tcW w:type="dxa" w:w="2376"/>
            <w:vAlign w:val="center"/>
            <w:tcMar>
              <w:top w:w="100" w:type="dxa"/>
              <w:start w:w="120" w:type="dxa"/>
              <w:bottom w:w="100" w:type="dxa"/>
              <w:end w:w="120" w:type="dxa"/>
            </w:tcMar>
          </w:tcPr>
          <w:p>
            <w:pPr>
              <w:spacing w:after="0" w:line="240" w:lineRule="auto"/>
            </w:pPr>
            <w:r/>
            <w:r>
              <w:rPr>
                <w:rFonts w:ascii="Arial" w:hAnsi="Arial" w:eastAsia="Arial"/>
                <w:b w:val="0"/>
                <w:i w:val="0"/>
                <w:color w:val="1F2937"/>
                <w:sz w:val="17"/>
              </w:rPr>
              <w:t>Model Comparison</w:t>
            </w:r>
          </w:p>
        </w:tc>
        <w:tc>
          <w:tcPr>
            <w:tcW w:type="dxa" w:w="7560"/>
            <w:vAlign w:val="center"/>
            <w:tcMar>
              <w:top w:w="100" w:type="dxa"/>
              <w:start w:w="120" w:type="dxa"/>
              <w:bottom w:w="100" w:type="dxa"/>
              <w:end w:w="120" w:type="dxa"/>
            </w:tcMar>
          </w:tcPr>
          <w:p>
            <w:pPr>
              <w:spacing w:after="0" w:line="240" w:lineRule="auto"/>
            </w:pPr>
            <w:r/>
            <w:r>
              <w:rPr>
                <w:rFonts w:ascii="Arial" w:hAnsi="Arial" w:eastAsia="Arial"/>
                <w:b w:val="0"/>
                <w:i w:val="0"/>
                <w:color w:val="1F2937"/>
                <w:sz w:val="17"/>
              </w:rPr>
              <w:t>Ranking of candidate specifications using out-of-sample error metrics.</w:t>
            </w:r>
          </w:p>
        </w:tc>
      </w:tr>
      <w:tr>
        <w:trPr>
          <w:cantSplit/>
        </w:trPr>
        <w:tc>
          <w:tcPr>
            <w:tcW w:type="dxa" w:w="2376"/>
            <w:vAlign w:val="center"/>
            <w:tcMar>
              <w:top w:w="100" w:type="dxa"/>
              <w:start w:w="120" w:type="dxa"/>
              <w:bottom w:w="100" w:type="dxa"/>
              <w:end w:w="120" w:type="dxa"/>
            </w:tcMar>
            <w:shd w:fill="F4F6F8"/>
          </w:tcPr>
          <w:p>
            <w:pPr>
              <w:spacing w:after="0" w:line="240" w:lineRule="auto"/>
            </w:pPr>
            <w:r/>
            <w:r>
              <w:rPr>
                <w:rFonts w:ascii="Arial" w:hAnsi="Arial" w:eastAsia="Arial"/>
                <w:b w:val="0"/>
                <w:i w:val="0"/>
                <w:color w:val="1F2937"/>
                <w:sz w:val="17"/>
              </w:rPr>
              <w:t>Backtest</w:t>
            </w:r>
          </w:p>
        </w:tc>
        <w:tc>
          <w:tcPr>
            <w:tcW w:type="dxa" w:w="7560"/>
            <w:vAlign w:val="center"/>
            <w:tcMar>
              <w:top w:w="100" w:type="dxa"/>
              <w:start w:w="120" w:type="dxa"/>
              <w:bottom w:w="100" w:type="dxa"/>
              <w:end w:w="120" w:type="dxa"/>
            </w:tcMar>
            <w:shd w:fill="F4F6F8"/>
          </w:tcPr>
          <w:p>
            <w:pPr>
              <w:spacing w:after="0" w:line="240" w:lineRule="auto"/>
            </w:pPr>
            <w:r/>
            <w:r>
              <w:rPr>
                <w:rFonts w:ascii="Arial" w:hAnsi="Arial" w:eastAsia="Arial"/>
                <w:b w:val="0"/>
                <w:i w:val="0"/>
                <w:color w:val="1F2937"/>
                <w:sz w:val="17"/>
              </w:rPr>
              <w:t>Actual versus expanding-window predictions and forecast errors.</w:t>
            </w:r>
          </w:p>
        </w:tc>
      </w:tr>
      <w:tr>
        <w:trPr>
          <w:cantSplit/>
        </w:trPr>
        <w:tc>
          <w:tcPr>
            <w:tcW w:type="dxa" w:w="2376"/>
            <w:vAlign w:val="center"/>
            <w:tcMar>
              <w:top w:w="100" w:type="dxa"/>
              <w:start w:w="120" w:type="dxa"/>
              <w:bottom w:w="100" w:type="dxa"/>
              <w:end w:w="120" w:type="dxa"/>
            </w:tcMar>
          </w:tcPr>
          <w:p>
            <w:pPr>
              <w:spacing w:after="0" w:line="240" w:lineRule="auto"/>
            </w:pPr>
            <w:r/>
            <w:r>
              <w:rPr>
                <w:rFonts w:ascii="Arial" w:hAnsi="Arial" w:eastAsia="Arial"/>
                <w:b w:val="0"/>
                <w:i w:val="0"/>
                <w:color w:val="1F2937"/>
                <w:sz w:val="17"/>
              </w:rPr>
              <w:t>Model Engine</w:t>
            </w:r>
          </w:p>
        </w:tc>
        <w:tc>
          <w:tcPr>
            <w:tcW w:type="dxa" w:w="7560"/>
            <w:vAlign w:val="center"/>
            <w:tcMar>
              <w:top w:w="100" w:type="dxa"/>
              <w:start w:w="120" w:type="dxa"/>
              <w:bottom w:w="100" w:type="dxa"/>
              <w:end w:w="120" w:type="dxa"/>
            </w:tcMar>
          </w:tcPr>
          <w:p>
            <w:pPr>
              <w:spacing w:after="0" w:line="240" w:lineRule="auto"/>
            </w:pPr>
            <w:r/>
            <w:r>
              <w:rPr>
                <w:rFonts w:ascii="Arial" w:hAnsi="Arial" w:eastAsia="Arial"/>
                <w:b w:val="0"/>
                <w:i w:val="0"/>
                <w:color w:val="1F2937"/>
                <w:sz w:val="17"/>
              </w:rPr>
              <w:t>Feature values, coefficients, contributions, internal point estimate, publication range and release-control fields.</w:t>
            </w:r>
          </w:p>
        </w:tc>
      </w:tr>
      <w:tr>
        <w:trPr>
          <w:cantSplit/>
        </w:trPr>
        <w:tc>
          <w:tcPr>
            <w:tcW w:type="dxa" w:w="2376"/>
            <w:vAlign w:val="center"/>
            <w:tcMar>
              <w:top w:w="100" w:type="dxa"/>
              <w:start w:w="120" w:type="dxa"/>
              <w:bottom w:w="100" w:type="dxa"/>
              <w:end w:w="120" w:type="dxa"/>
            </w:tcMar>
            <w:shd w:fill="F4F6F8"/>
          </w:tcPr>
          <w:p>
            <w:pPr>
              <w:spacing w:after="0" w:line="240" w:lineRule="auto"/>
            </w:pPr>
            <w:r/>
            <w:r>
              <w:rPr>
                <w:rFonts w:ascii="Arial" w:hAnsi="Arial" w:eastAsia="Arial"/>
                <w:b w:val="0"/>
                <w:i w:val="0"/>
                <w:color w:val="1F2937"/>
                <w:sz w:val="17"/>
              </w:rPr>
              <w:t>Monthly Inputs</w:t>
            </w:r>
          </w:p>
        </w:tc>
        <w:tc>
          <w:tcPr>
            <w:tcW w:type="dxa" w:w="7560"/>
            <w:vAlign w:val="center"/>
            <w:tcMar>
              <w:top w:w="100" w:type="dxa"/>
              <w:start w:w="120" w:type="dxa"/>
              <w:bottom w:w="100" w:type="dxa"/>
              <w:end w:w="120" w:type="dxa"/>
            </w:tcMar>
            <w:shd w:fill="F4F6F8"/>
          </w:tcPr>
          <w:p>
            <w:pPr>
              <w:spacing w:after="0" w:line="240" w:lineRule="auto"/>
            </w:pPr>
            <w:r/>
            <w:r>
              <w:rPr>
                <w:rFonts w:ascii="Arial" w:hAnsi="Arial" w:eastAsia="Arial"/>
                <w:b w:val="0"/>
                <w:i w:val="0"/>
                <w:color w:val="1F2937"/>
                <w:sz w:val="17"/>
              </w:rPr>
              <w:t>Data imported from the master workbook and PMI availability status.</w:t>
            </w:r>
          </w:p>
        </w:tc>
      </w:tr>
      <w:tr>
        <w:trPr>
          <w:cantSplit/>
        </w:trPr>
        <w:tc>
          <w:tcPr>
            <w:tcW w:type="dxa" w:w="2376"/>
            <w:vAlign w:val="center"/>
            <w:tcMar>
              <w:top w:w="100" w:type="dxa"/>
              <w:start w:w="120" w:type="dxa"/>
              <w:bottom w:w="100" w:type="dxa"/>
              <w:end w:w="120" w:type="dxa"/>
            </w:tcMar>
          </w:tcPr>
          <w:p>
            <w:pPr>
              <w:spacing w:after="0" w:line="240" w:lineRule="auto"/>
            </w:pPr>
            <w:r/>
            <w:r>
              <w:rPr>
                <w:rFonts w:ascii="Arial" w:hAnsi="Arial" w:eastAsia="Arial"/>
                <w:b w:val="0"/>
                <w:i w:val="0"/>
                <w:color w:val="1F2937"/>
                <w:sz w:val="17"/>
              </w:rPr>
              <w:t>Quarterly Features</w:t>
            </w:r>
          </w:p>
        </w:tc>
        <w:tc>
          <w:tcPr>
            <w:tcW w:type="dxa" w:w="7560"/>
            <w:vAlign w:val="center"/>
            <w:tcMar>
              <w:top w:w="100" w:type="dxa"/>
              <w:start w:w="120" w:type="dxa"/>
              <w:bottom w:w="100" w:type="dxa"/>
              <w:end w:w="120" w:type="dxa"/>
            </w:tcMar>
          </w:tcPr>
          <w:p>
            <w:pPr>
              <w:spacing w:after="0" w:line="240" w:lineRule="auto"/>
            </w:pPr>
            <w:r/>
            <w:r>
              <w:rPr>
                <w:rFonts w:ascii="Arial" w:hAnsi="Arial" w:eastAsia="Arial"/>
                <w:b w:val="0"/>
                <w:i w:val="0"/>
                <w:color w:val="1F2937"/>
                <w:sz w:val="17"/>
              </w:rPr>
              <w:t>Transformed variables used in model estimation.</w:t>
            </w:r>
          </w:p>
        </w:tc>
      </w:tr>
      <w:tr>
        <w:trPr>
          <w:cantSplit/>
        </w:trPr>
        <w:tc>
          <w:tcPr>
            <w:tcW w:type="dxa" w:w="2376"/>
            <w:vAlign w:val="center"/>
            <w:tcMar>
              <w:top w:w="100" w:type="dxa"/>
              <w:start w:w="120" w:type="dxa"/>
              <w:bottom w:w="100" w:type="dxa"/>
              <w:end w:w="120" w:type="dxa"/>
            </w:tcMar>
            <w:shd w:fill="F4F6F8"/>
          </w:tcPr>
          <w:p>
            <w:pPr>
              <w:spacing w:after="0" w:line="240" w:lineRule="auto"/>
            </w:pPr>
            <w:r/>
            <w:r>
              <w:rPr>
                <w:rFonts w:ascii="Arial" w:hAnsi="Arial" w:eastAsia="Arial"/>
                <w:b w:val="0"/>
                <w:i w:val="0"/>
                <w:color w:val="1F2937"/>
                <w:sz w:val="17"/>
              </w:rPr>
              <w:t>GDP Interpolation</w:t>
            </w:r>
          </w:p>
        </w:tc>
        <w:tc>
          <w:tcPr>
            <w:tcW w:type="dxa" w:w="7560"/>
            <w:vAlign w:val="center"/>
            <w:tcMar>
              <w:top w:w="100" w:type="dxa"/>
              <w:start w:w="120" w:type="dxa"/>
              <w:bottom w:w="100" w:type="dxa"/>
              <w:end w:w="120" w:type="dxa"/>
            </w:tcMar>
            <w:shd w:fill="F4F6F8"/>
          </w:tcPr>
          <w:p>
            <w:pPr>
              <w:spacing w:after="0" w:line="240" w:lineRule="auto"/>
            </w:pPr>
            <w:r/>
            <w:r>
              <w:rPr>
                <w:rFonts w:ascii="Arial" w:hAnsi="Arial" w:eastAsia="Arial"/>
                <w:b w:val="0"/>
                <w:i w:val="0"/>
                <w:color w:val="1F2937"/>
                <w:sz w:val="17"/>
              </w:rPr>
              <w:t>Monthly interpolation of quarterly official GDP and the internal target-quarter estimate.</w:t>
            </w:r>
          </w:p>
        </w:tc>
      </w:tr>
      <w:tr>
        <w:trPr>
          <w:cantSplit/>
        </w:trPr>
        <w:tc>
          <w:tcPr>
            <w:tcW w:type="dxa" w:w="2376"/>
            <w:vAlign w:val="center"/>
            <w:tcMar>
              <w:top w:w="100" w:type="dxa"/>
              <w:start w:w="120" w:type="dxa"/>
              <w:bottom w:w="100" w:type="dxa"/>
              <w:end w:w="120" w:type="dxa"/>
            </w:tcMar>
          </w:tcPr>
          <w:p>
            <w:pPr>
              <w:spacing w:after="0" w:line="240" w:lineRule="auto"/>
            </w:pPr>
            <w:r/>
            <w:r>
              <w:rPr>
                <w:rFonts w:ascii="Arial" w:hAnsi="Arial" w:eastAsia="Arial"/>
                <w:b w:val="0"/>
                <w:i w:val="0"/>
                <w:color w:val="1F2937"/>
                <w:sz w:val="17"/>
              </w:rPr>
              <w:t>Methodology</w:t>
            </w:r>
          </w:p>
        </w:tc>
        <w:tc>
          <w:tcPr>
            <w:tcW w:type="dxa" w:w="7560"/>
            <w:vAlign w:val="center"/>
            <w:tcMar>
              <w:top w:w="100" w:type="dxa"/>
              <w:start w:w="120" w:type="dxa"/>
              <w:bottom w:w="100" w:type="dxa"/>
              <w:end w:w="120" w:type="dxa"/>
            </w:tcMar>
          </w:tcPr>
          <w:p>
            <w:pPr>
              <w:spacing w:after="0" w:line="240" w:lineRule="auto"/>
            </w:pPr>
            <w:r/>
            <w:r>
              <w:rPr>
                <w:rFonts w:ascii="Arial" w:hAnsi="Arial" w:eastAsia="Arial"/>
                <w:b w:val="0"/>
                <w:i w:val="0"/>
                <w:color w:val="1F2937"/>
                <w:sz w:val="17"/>
              </w:rPr>
              <w:t>Model selection, variables, publication rule and refresh instructions.</w:t>
            </w:r>
          </w:p>
        </w:tc>
      </w:tr>
      <w:tr>
        <w:trPr>
          <w:cantSplit/>
        </w:trPr>
        <w:tc>
          <w:tcPr>
            <w:tcW w:type="dxa" w:w="2376"/>
            <w:vAlign w:val="center"/>
            <w:tcMar>
              <w:top w:w="100" w:type="dxa"/>
              <w:start w:w="120" w:type="dxa"/>
              <w:bottom w:w="100" w:type="dxa"/>
              <w:end w:w="120" w:type="dxa"/>
            </w:tcMar>
            <w:shd w:fill="F4F6F8"/>
          </w:tcPr>
          <w:p>
            <w:pPr>
              <w:spacing w:after="0" w:line="240" w:lineRule="auto"/>
            </w:pPr>
            <w:r/>
            <w:r>
              <w:rPr>
                <w:rFonts w:ascii="Arial" w:hAnsi="Arial" w:eastAsia="Arial"/>
                <w:b w:val="0"/>
                <w:i w:val="0"/>
                <w:color w:val="1F2937"/>
                <w:sz w:val="17"/>
              </w:rPr>
              <w:t>Sources</w:t>
            </w:r>
          </w:p>
        </w:tc>
        <w:tc>
          <w:tcPr>
            <w:tcW w:type="dxa" w:w="7560"/>
            <w:vAlign w:val="center"/>
            <w:tcMar>
              <w:top w:w="100" w:type="dxa"/>
              <w:start w:w="120" w:type="dxa"/>
              <w:bottom w:w="100" w:type="dxa"/>
              <w:end w:w="120" w:type="dxa"/>
            </w:tcMar>
            <w:shd w:fill="F4F6F8"/>
          </w:tcPr>
          <w:p>
            <w:pPr>
              <w:spacing w:after="0" w:line="240" w:lineRule="auto"/>
            </w:pPr>
            <w:r/>
            <w:r>
              <w:rPr>
                <w:rFonts w:ascii="Arial" w:hAnsi="Arial" w:eastAsia="Arial"/>
                <w:b w:val="0"/>
                <w:i w:val="0"/>
                <w:color w:val="1F2937"/>
                <w:sz w:val="17"/>
              </w:rPr>
              <w:t>Data and model provenance.</w:t>
            </w:r>
          </w:p>
        </w:tc>
      </w:tr>
    </w:tbl>
    <w:p>
      <w:pPr>
        <w:spacing w:after="40"/>
      </w:pPr>
    </w:p>
    <w:p>
      <w:pPr>
        <w:pStyle w:val="Heading1"/>
        <w:keepNext/>
        <w:spacing w:before="200" w:after="80"/>
      </w:pPr>
      <w:r>
        <w:rPr>
          <w:rFonts w:ascii="Arial" w:hAnsi="Arial" w:eastAsia="Arial"/>
          <w:b/>
          <w:i w:val="0"/>
          <w:color w:val="000000"/>
          <w:sz w:val="30"/>
        </w:rPr>
        <w:t>Newsletter publication</w:t>
      </w:r>
    </w:p>
    <w:p>
      <w:pPr>
        <w:keepNext w:val="0"/>
        <w:spacing w:after="120" w:line="259" w:lineRule="auto"/>
      </w:pPr>
      <w:r>
        <w:rPr>
          <w:rFonts w:ascii="Arial" w:hAnsi="Arial" w:eastAsia="Arial"/>
          <w:b w:val="0"/>
          <w:i w:val="0"/>
          <w:color w:val="1F2937"/>
          <w:sz w:val="21"/>
        </w:rPr>
        <w:t>The refresh uses the original September newsletter as a template and writes a separate connected copy. The original template remains available for recovery and comparison. The connected copy is the file to review and circulate after approval.</w:t>
      </w:r>
    </w:p>
    <w:tbl>
      <w:tblPr>
        <w:tblW w:type="auto" w:w="0"/>
        <w:jc w:val="center"/>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4997"/>
        <w:gridCol w:w="4997"/>
      </w:tblGrid>
      <w:tr>
        <w:trPr>
          <w:tblHeader w:val="true"/>
          <w:cantSplit/>
        </w:trPr>
        <w:tc>
          <w:tcPr>
            <w:tcW w:type="dxa" w:w="2448"/>
            <w:vAlign w:val="center"/>
            <w:shd w:fill="1F4E78"/>
            <w:tcMar>
              <w:top w:w="100" w:type="dxa"/>
              <w:start w:w="120" w:type="dxa"/>
              <w:bottom w:w="100" w:type="dxa"/>
              <w:end w:w="120" w:type="dxa"/>
            </w:tcMar>
          </w:tcPr>
          <w:p>
            <w:pPr>
              <w:spacing w:after="0"/>
            </w:pPr>
            <w:r/>
            <w:r>
              <w:rPr>
                <w:rFonts w:ascii="Arial" w:hAnsi="Arial" w:eastAsia="Arial"/>
                <w:b/>
                <w:i w:val="0"/>
                <w:color w:val="FFFFFF"/>
                <w:sz w:val="17"/>
              </w:rPr>
              <w:t>Newsletter element</w:t>
            </w:r>
          </w:p>
        </w:tc>
        <w:tc>
          <w:tcPr>
            <w:tcW w:type="dxa" w:w="7488"/>
            <w:vAlign w:val="center"/>
            <w:shd w:fill="1F4E78"/>
            <w:tcMar>
              <w:top w:w="100" w:type="dxa"/>
              <w:start w:w="120" w:type="dxa"/>
              <w:bottom w:w="100" w:type="dxa"/>
              <w:end w:w="120" w:type="dxa"/>
            </w:tcMar>
          </w:tcPr>
          <w:p>
            <w:pPr>
              <w:spacing w:after="0"/>
            </w:pPr>
            <w:r/>
            <w:r>
              <w:rPr>
                <w:rFonts w:ascii="Arial" w:hAnsi="Arial" w:eastAsia="Arial"/>
                <w:b/>
                <w:i w:val="0"/>
                <w:color w:val="FFFFFF"/>
                <w:sz w:val="17"/>
              </w:rPr>
              <w:t>Automated update</w:t>
            </w:r>
          </w:p>
        </w:tc>
      </w:tr>
      <w:tr>
        <w:trPr>
          <w:cantSplit/>
        </w:trPr>
        <w:tc>
          <w:tcPr>
            <w:tcW w:type="dxa" w:w="2448"/>
            <w:vAlign w:val="center"/>
            <w:tcMar>
              <w:top w:w="100" w:type="dxa"/>
              <w:start w:w="120" w:type="dxa"/>
              <w:bottom w:w="100" w:type="dxa"/>
              <w:end w:w="120" w:type="dxa"/>
            </w:tcMar>
          </w:tcPr>
          <w:p>
            <w:pPr>
              <w:spacing w:after="0" w:line="240" w:lineRule="auto"/>
            </w:pPr>
            <w:r/>
            <w:r>
              <w:rPr>
                <w:rFonts w:ascii="Arial" w:hAnsi="Arial" w:eastAsia="Arial"/>
                <w:b w:val="0"/>
                <w:i w:val="0"/>
                <w:color w:val="1F2937"/>
                <w:sz w:val="17"/>
              </w:rPr>
              <w:t>Highlights</w:t>
            </w:r>
          </w:p>
        </w:tc>
        <w:tc>
          <w:tcPr>
            <w:tcW w:type="dxa" w:w="7488"/>
            <w:vAlign w:val="center"/>
            <w:tcMar>
              <w:top w:w="100" w:type="dxa"/>
              <w:start w:w="120" w:type="dxa"/>
              <w:bottom w:w="100" w:type="dxa"/>
              <w:end w:w="120" w:type="dxa"/>
            </w:tcMar>
          </w:tcPr>
          <w:p>
            <w:pPr>
              <w:spacing w:after="0" w:line="240" w:lineRule="auto"/>
            </w:pPr>
            <w:r/>
            <w:r>
              <w:rPr>
                <w:rFonts w:ascii="Arial" w:hAnsi="Arial" w:eastAsia="Arial"/>
                <w:b w:val="0"/>
                <w:i w:val="0"/>
                <w:color w:val="1F2937"/>
                <w:sz w:val="17"/>
              </w:rPr>
              <w:t>Latest official GDP result, public range or point, completeness statement and PMI signal.</w:t>
            </w:r>
          </w:p>
        </w:tc>
      </w:tr>
      <w:tr>
        <w:trPr>
          <w:cantSplit/>
        </w:trPr>
        <w:tc>
          <w:tcPr>
            <w:tcW w:type="dxa" w:w="2448"/>
            <w:vAlign w:val="center"/>
            <w:tcMar>
              <w:top w:w="100" w:type="dxa"/>
              <w:start w:w="120" w:type="dxa"/>
              <w:bottom w:w="100" w:type="dxa"/>
              <w:end w:w="120" w:type="dxa"/>
            </w:tcMar>
            <w:shd w:fill="F4F6F8"/>
          </w:tcPr>
          <w:p>
            <w:pPr>
              <w:spacing w:after="0" w:line="240" w:lineRule="auto"/>
            </w:pPr>
            <w:r/>
            <w:r>
              <w:rPr>
                <w:rFonts w:ascii="Arial" w:hAnsi="Arial" w:eastAsia="Arial"/>
                <w:b w:val="0"/>
                <w:i w:val="0"/>
                <w:color w:val="1F2937"/>
                <w:sz w:val="17"/>
              </w:rPr>
              <w:t>Figure 3</w:t>
            </w:r>
          </w:p>
        </w:tc>
        <w:tc>
          <w:tcPr>
            <w:tcW w:type="dxa" w:w="7488"/>
            <w:vAlign w:val="center"/>
            <w:tcMar>
              <w:top w:w="100" w:type="dxa"/>
              <w:start w:w="120" w:type="dxa"/>
              <w:bottom w:w="100" w:type="dxa"/>
              <w:end w:w="120" w:type="dxa"/>
            </w:tcMar>
            <w:shd w:fill="F4F6F8"/>
          </w:tcPr>
          <w:p>
            <w:pPr>
              <w:spacing w:after="0" w:line="240" w:lineRule="auto"/>
            </w:pPr>
            <w:r/>
            <w:r>
              <w:rPr>
                <w:rFonts w:ascii="Arial" w:hAnsi="Arial" w:eastAsia="Arial"/>
                <w:b w:val="0"/>
                <w:i w:val="0"/>
                <w:color w:val="1F2937"/>
                <w:sz w:val="17"/>
              </w:rPr>
              <w:t>Recent official GDP history plus a range bar during incomplete-data mode or a point marker after three complete months.</w:t>
            </w:r>
          </w:p>
        </w:tc>
      </w:tr>
      <w:tr>
        <w:trPr>
          <w:cantSplit/>
        </w:trPr>
        <w:tc>
          <w:tcPr>
            <w:tcW w:type="dxa" w:w="2448"/>
            <w:vAlign w:val="center"/>
            <w:tcMar>
              <w:top w:w="100" w:type="dxa"/>
              <w:start w:w="120" w:type="dxa"/>
              <w:bottom w:w="100" w:type="dxa"/>
              <w:end w:w="120" w:type="dxa"/>
            </w:tcMar>
          </w:tcPr>
          <w:p>
            <w:pPr>
              <w:spacing w:after="0" w:line="240" w:lineRule="auto"/>
            </w:pPr>
            <w:r/>
            <w:r>
              <w:rPr>
                <w:rFonts w:ascii="Arial" w:hAnsi="Arial" w:eastAsia="Arial"/>
                <w:b w:val="0"/>
                <w:i w:val="0"/>
                <w:color w:val="1F2937"/>
                <w:sz w:val="17"/>
              </w:rPr>
              <w:t>Figure 3 source</w:t>
            </w:r>
          </w:p>
        </w:tc>
        <w:tc>
          <w:tcPr>
            <w:tcW w:type="dxa" w:w="7488"/>
            <w:vAlign w:val="center"/>
            <w:tcMar>
              <w:top w:w="100" w:type="dxa"/>
              <w:start w:w="120" w:type="dxa"/>
              <w:bottom w:w="100" w:type="dxa"/>
              <w:end w:w="120" w:type="dxa"/>
            </w:tcMar>
          </w:tcPr>
          <w:p>
            <w:pPr>
              <w:spacing w:after="0" w:line="240" w:lineRule="auto"/>
            </w:pPr>
            <w:r/>
            <w:r>
              <w:rPr>
                <w:rFonts w:ascii="Arial" w:hAnsi="Arial" w:eastAsia="Arial"/>
                <w:b w:val="0"/>
                <w:i w:val="0"/>
                <w:color w:val="1F2937"/>
                <w:sz w:val="17"/>
              </w:rPr>
              <w:t>National Bureau of Statistics and CAPE Economic Research and Consulting.</w:t>
            </w:r>
          </w:p>
        </w:tc>
      </w:tr>
      <w:tr>
        <w:trPr>
          <w:cantSplit/>
        </w:trPr>
        <w:tc>
          <w:tcPr>
            <w:tcW w:type="dxa" w:w="2448"/>
            <w:vAlign w:val="center"/>
            <w:tcMar>
              <w:top w:w="100" w:type="dxa"/>
              <w:start w:w="120" w:type="dxa"/>
              <w:bottom w:w="100" w:type="dxa"/>
              <w:end w:w="120" w:type="dxa"/>
            </w:tcMar>
            <w:shd w:fill="F4F6F8"/>
          </w:tcPr>
          <w:p>
            <w:pPr>
              <w:spacing w:after="0" w:line="240" w:lineRule="auto"/>
            </w:pPr>
            <w:r/>
            <w:r>
              <w:rPr>
                <w:rFonts w:ascii="Arial" w:hAnsi="Arial" w:eastAsia="Arial"/>
                <w:b w:val="0"/>
                <w:i w:val="0"/>
                <w:color w:val="1F2937"/>
                <w:sz w:val="17"/>
              </w:rPr>
              <w:t>Output Growth Outlook</w:t>
            </w:r>
          </w:p>
        </w:tc>
        <w:tc>
          <w:tcPr>
            <w:tcW w:type="dxa" w:w="7488"/>
            <w:vAlign w:val="center"/>
            <w:tcMar>
              <w:top w:w="100" w:type="dxa"/>
              <w:start w:w="120" w:type="dxa"/>
              <w:bottom w:w="100" w:type="dxa"/>
              <w:end w:w="120" w:type="dxa"/>
            </w:tcMar>
            <w:shd w:fill="F4F6F8"/>
          </w:tcPr>
          <w:p>
            <w:pPr>
              <w:spacing w:after="0" w:line="240" w:lineRule="auto"/>
            </w:pPr>
            <w:r/>
            <w:r>
              <w:rPr>
                <w:rFonts w:ascii="Arial" w:hAnsi="Arial" w:eastAsia="Arial"/>
                <w:b w:val="0"/>
                <w:i w:val="0"/>
                <w:color w:val="1F2937"/>
                <w:sz w:val="17"/>
              </w:rPr>
              <w:t>Public forecast interpretation, model description, PMI reading, supporting factors and downside risks.</w:t>
            </w:r>
          </w:p>
        </w:tc>
      </w:tr>
      <w:tr>
        <w:trPr>
          <w:cantSplit/>
        </w:trPr>
        <w:tc>
          <w:tcPr>
            <w:tcW w:type="dxa" w:w="2448"/>
            <w:vAlign w:val="center"/>
            <w:tcMar>
              <w:top w:w="100" w:type="dxa"/>
              <w:start w:w="120" w:type="dxa"/>
              <w:bottom w:w="100" w:type="dxa"/>
              <w:end w:w="120" w:type="dxa"/>
            </w:tcMar>
          </w:tcPr>
          <w:p>
            <w:pPr>
              <w:spacing w:after="0" w:line="240" w:lineRule="auto"/>
            </w:pPr>
            <w:r/>
            <w:r>
              <w:rPr>
                <w:rFonts w:ascii="Arial" w:hAnsi="Arial" w:eastAsia="Arial"/>
                <w:b w:val="0"/>
                <w:i w:val="0"/>
                <w:color w:val="1F2937"/>
                <w:sz w:val="17"/>
              </w:rPr>
              <w:t>Conclusion</w:t>
            </w:r>
          </w:p>
        </w:tc>
        <w:tc>
          <w:tcPr>
            <w:tcW w:type="dxa" w:w="7488"/>
            <w:vAlign w:val="center"/>
            <w:tcMar>
              <w:top w:w="100" w:type="dxa"/>
              <w:start w:w="120" w:type="dxa"/>
              <w:bottom w:w="100" w:type="dxa"/>
              <w:end w:w="120" w:type="dxa"/>
            </w:tcMar>
          </w:tcPr>
          <w:p>
            <w:pPr>
              <w:spacing w:after="0" w:line="240" w:lineRule="auto"/>
            </w:pPr>
            <w:r/>
            <w:r>
              <w:rPr>
                <w:rFonts w:ascii="Arial" w:hAnsi="Arial" w:eastAsia="Arial"/>
                <w:b w:val="0"/>
                <w:i w:val="0"/>
                <w:color w:val="1F2937"/>
                <w:sz w:val="17"/>
              </w:rPr>
              <w:t>Consistent summary of the GDP release mode together with the newsletter's inflation outlook.</w:t>
            </w:r>
          </w:p>
        </w:tc>
      </w:tr>
    </w:tbl>
    <w:p>
      <w:pPr>
        <w:spacing w:after="40"/>
      </w:pPr>
    </w:p>
    <w:p>
      <w:pPr>
        <w:pStyle w:val="Heading1"/>
        <w:keepNext/>
        <w:spacing w:before="200" w:after="80"/>
      </w:pPr>
      <w:r>
        <w:rPr>
          <w:rFonts w:ascii="Arial" w:hAnsi="Arial" w:eastAsia="Arial"/>
          <w:b/>
          <w:i w:val="0"/>
          <w:color w:val="000000"/>
          <w:sz w:val="30"/>
        </w:rPr>
        <w:t>Post-run validation checklist</w:t>
      </w:r>
    </w:p>
    <w:p>
      <w:pPr>
        <w:keepNext w:val="0"/>
        <w:spacing w:after="120" w:line="259" w:lineRule="auto"/>
      </w:pPr>
      <w:r>
        <w:rPr>
          <w:rFonts w:ascii="Arial" w:hAnsi="Arial" w:eastAsia="Arial"/>
          <w:b w:val="0"/>
          <w:i w:val="0"/>
          <w:color w:val="1F2937"/>
          <w:sz w:val="21"/>
        </w:rPr>
        <w:t>Complete these checks before sending the newsletter or using the forecast externally.</w:t>
      </w:r>
    </w:p>
    <w:p>
      <w:pPr>
        <w:pStyle w:val="ListBullet"/>
        <w:spacing w:after="60" w:line="252" w:lineRule="auto"/>
      </w:pPr>
      <w:r>
        <w:rPr>
          <w:rFonts w:ascii="Arial" w:hAnsi="Arial" w:eastAsia="Arial"/>
          <w:b w:val="0"/>
          <w:i w:val="0"/>
          <w:color w:val="1F2937"/>
          <w:sz w:val="21"/>
        </w:rPr>
        <w:t>[ ] PowerShell ended without a red exception and printed both final refreshed messages.</w:t>
      </w:r>
    </w:p>
    <w:p>
      <w:pPr>
        <w:pStyle w:val="ListBullet"/>
        <w:spacing w:after="60" w:line="252" w:lineRule="auto"/>
      </w:pPr>
      <w:r>
        <w:rPr>
          <w:rFonts w:ascii="Arial" w:hAnsi="Arial" w:eastAsia="Arial"/>
          <w:b w:val="0"/>
          <w:i w:val="0"/>
          <w:color w:val="1F2937"/>
          <w:sz w:val="21"/>
        </w:rPr>
        <w:t>[ ] Executive Summary shows the correct target quarter.</w:t>
      </w:r>
    </w:p>
    <w:p>
      <w:pPr>
        <w:pStyle w:val="ListBullet"/>
        <w:spacing w:after="60" w:line="252" w:lineRule="auto"/>
      </w:pPr>
      <w:r>
        <w:rPr>
          <w:rFonts w:ascii="Arial" w:hAnsi="Arial" w:eastAsia="Arial"/>
          <w:b w:val="0"/>
          <w:i w:val="0"/>
          <w:color w:val="1F2937"/>
          <w:sz w:val="21"/>
        </w:rPr>
        <w:t>[ ] Complete months agrees with the master workbook.</w:t>
      </w:r>
    </w:p>
    <w:p>
      <w:pPr>
        <w:pStyle w:val="ListBullet"/>
        <w:spacing w:after="60" w:line="252" w:lineRule="auto"/>
      </w:pPr>
      <w:r>
        <w:rPr>
          <w:rFonts w:ascii="Arial" w:hAnsi="Arial" w:eastAsia="Arial"/>
          <w:b w:val="0"/>
          <w:i w:val="0"/>
          <w:color w:val="1F2937"/>
          <w:sz w:val="21"/>
        </w:rPr>
        <w:t>[ ] If fewer than three months are complete, the point forecast says Pending and the published range is 4.34 to 4.50 per cent for 2026Q3.</w:t>
      </w:r>
    </w:p>
    <w:p>
      <w:pPr>
        <w:pStyle w:val="ListBullet"/>
        <w:spacing w:after="60" w:line="252" w:lineRule="auto"/>
      </w:pPr>
      <w:r>
        <w:rPr>
          <w:rFonts w:ascii="Arial" w:hAnsi="Arial" w:eastAsia="Arial"/>
          <w:b w:val="0"/>
          <w:i w:val="0"/>
          <w:color w:val="1F2937"/>
          <w:sz w:val="21"/>
        </w:rPr>
        <w:t>[ ] If all three months are complete, the release mode says Point forecast and the public point cell contains a numeric value.</w:t>
      </w:r>
    </w:p>
    <w:p>
      <w:pPr>
        <w:pStyle w:val="ListBullet"/>
        <w:spacing w:after="60" w:line="252" w:lineRule="auto"/>
      </w:pPr>
      <w:r>
        <w:rPr>
          <w:rFonts w:ascii="Arial" w:hAnsi="Arial" w:eastAsia="Arial"/>
          <w:b w:val="0"/>
          <w:i w:val="0"/>
          <w:color w:val="1F2937"/>
          <w:sz w:val="21"/>
        </w:rPr>
        <w:t>[ ] Quarterly Forecast shows the same public result as Executive Summary.</w:t>
      </w:r>
    </w:p>
    <w:p>
      <w:pPr>
        <w:pStyle w:val="ListBullet"/>
        <w:spacing w:after="60" w:line="252" w:lineRule="auto"/>
      </w:pPr>
      <w:r>
        <w:rPr>
          <w:rFonts w:ascii="Arial" w:hAnsi="Arial" w:eastAsia="Arial"/>
          <w:b w:val="0"/>
          <w:i w:val="0"/>
          <w:color w:val="1F2937"/>
          <w:sz w:val="21"/>
        </w:rPr>
        <w:t>[ ] The latest official GDP value and quarter agree with Quarterly Data.</w:t>
      </w:r>
    </w:p>
    <w:p>
      <w:pPr>
        <w:pStyle w:val="ListBullet"/>
        <w:spacing w:after="60" w:line="252" w:lineRule="auto"/>
      </w:pPr>
      <w:r>
        <w:rPr>
          <w:rFonts w:ascii="Arial" w:hAnsi="Arial" w:eastAsia="Arial"/>
          <w:b w:val="0"/>
          <w:i w:val="0"/>
          <w:color w:val="1F2937"/>
          <w:sz w:val="21"/>
        </w:rPr>
        <w:t>[ ] Current PMI agrees with column L of monthly data.</w:t>
      </w:r>
    </w:p>
    <w:p>
      <w:pPr>
        <w:pStyle w:val="ListBullet"/>
        <w:spacing w:after="60" w:line="252" w:lineRule="auto"/>
      </w:pPr>
      <w:r>
        <w:rPr>
          <w:rFonts w:ascii="Arial" w:hAnsi="Arial" w:eastAsia="Arial"/>
          <w:b w:val="0"/>
          <w:i w:val="0"/>
          <w:color w:val="1F2937"/>
          <w:sz w:val="21"/>
        </w:rPr>
        <w:t>[ ] Figure 3 is present, legible and uses the same range or point as the workbook.</w:t>
      </w:r>
    </w:p>
    <w:p>
      <w:pPr>
        <w:pStyle w:val="ListBullet"/>
        <w:spacing w:after="60" w:line="252" w:lineRule="auto"/>
      </w:pPr>
      <w:r>
        <w:rPr>
          <w:rFonts w:ascii="Arial" w:hAnsi="Arial" w:eastAsia="Arial"/>
          <w:b w:val="0"/>
          <w:i w:val="0"/>
          <w:color w:val="1F2937"/>
          <w:sz w:val="21"/>
        </w:rPr>
        <w:t>[ ] Highlights, Output Growth Outlook and Conclusion use consistent GDP language.</w:t>
      </w:r>
    </w:p>
    <w:p>
      <w:pPr>
        <w:pStyle w:val="ListBullet"/>
        <w:spacing w:after="60" w:line="252" w:lineRule="auto"/>
      </w:pPr>
      <w:r>
        <w:rPr>
          <w:rFonts w:ascii="Arial" w:hAnsi="Arial" w:eastAsia="Arial"/>
          <w:b w:val="0"/>
          <w:i w:val="0"/>
          <w:color w:val="1F2937"/>
          <w:sz w:val="21"/>
        </w:rPr>
        <w:t>[ ] The connected newsletter, not the original template, is selected for circulation.</w:t>
      </w:r>
    </w:p>
    <w:p>
      <w:pPr>
        <w:pStyle w:val="Heading1"/>
        <w:keepNext/>
        <w:spacing w:before="200" w:after="80"/>
      </w:pPr>
      <w:r>
        <w:rPr>
          <w:rFonts w:ascii="Arial" w:hAnsi="Arial" w:eastAsia="Arial"/>
          <w:b/>
          <w:i w:val="0"/>
          <w:color w:val="000000"/>
          <w:sz w:val="30"/>
        </w:rPr>
        <w:t>Normal operating frequency</w:t>
      </w:r>
    </w:p>
    <w:p>
      <w:pPr>
        <w:pStyle w:val="ListBullet"/>
        <w:spacing w:after="60" w:line="252" w:lineRule="auto"/>
      </w:pPr>
      <w:r>
        <w:rPr>
          <w:rFonts w:ascii="Arial" w:hAnsi="Arial" w:eastAsia="Arial"/>
          <w:b w:val="0"/>
          <w:i w:val="0"/>
          <w:color w:val="1F2937"/>
          <w:sz w:val="21"/>
        </w:rPr>
        <w:t>Run after each material monthly-data update if an internal monitoring refresh is useful.</w:t>
      </w:r>
    </w:p>
    <w:p>
      <w:pPr>
        <w:pStyle w:val="ListBullet"/>
        <w:spacing w:after="60" w:line="252" w:lineRule="auto"/>
      </w:pPr>
      <w:r>
        <w:rPr>
          <w:rFonts w:ascii="Arial" w:hAnsi="Arial" w:eastAsia="Arial"/>
          <w:b w:val="0"/>
          <w:i w:val="0"/>
          <w:color w:val="1F2937"/>
          <w:sz w:val="21"/>
        </w:rPr>
        <w:t>Run after every PMI release once the master workbook has been updated.</w:t>
      </w:r>
    </w:p>
    <w:p>
      <w:pPr>
        <w:pStyle w:val="ListBullet"/>
        <w:spacing w:after="60" w:line="252" w:lineRule="auto"/>
      </w:pPr>
      <w:r>
        <w:rPr>
          <w:rFonts w:ascii="Arial" w:hAnsi="Arial" w:eastAsia="Arial"/>
          <w:b w:val="0"/>
          <w:i w:val="0"/>
          <w:color w:val="1F2937"/>
          <w:sz w:val="21"/>
        </w:rPr>
        <w:t>Run after the final month of the target quarter is complete to activate the point-forecast check.</w:t>
      </w:r>
    </w:p>
    <w:p>
      <w:pPr>
        <w:pStyle w:val="ListBullet"/>
        <w:spacing w:after="60" w:line="252" w:lineRule="auto"/>
      </w:pPr>
      <w:r>
        <w:rPr>
          <w:rFonts w:ascii="Arial" w:hAnsi="Arial" w:eastAsia="Arial"/>
          <w:b w:val="0"/>
          <w:i w:val="0"/>
          <w:color w:val="1F2937"/>
          <w:sz w:val="21"/>
        </w:rPr>
        <w:t>Run after every official quarterly GDP release so the target quarter advances automatically.</w:t>
      </w:r>
    </w:p>
    <w:p>
      <w:r>
        <w:br w:type="page"/>
      </w:r>
    </w:p>
    <w:p>
      <w:pPr>
        <w:pStyle w:val="Heading1"/>
        <w:keepNext/>
        <w:spacing w:before="200" w:after="80"/>
      </w:pPr>
      <w:r>
        <w:rPr>
          <w:rFonts w:ascii="Arial" w:hAnsi="Arial" w:eastAsia="Arial"/>
          <w:b/>
          <w:i w:val="0"/>
          <w:color w:val="000000"/>
          <w:sz w:val="30"/>
        </w:rPr>
        <w:t>Troubleshooting</w:t>
      </w:r>
    </w:p>
    <w:tbl>
      <w:tblPr>
        <w:tblW w:type="auto" w:w="0"/>
        <w:jc w:val="center"/>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3331"/>
        <w:gridCol w:w="3331"/>
        <w:gridCol w:w="3331"/>
      </w:tblGrid>
      <w:tr>
        <w:trPr>
          <w:tblHeader w:val="true"/>
          <w:cantSplit/>
        </w:trPr>
        <w:tc>
          <w:tcPr>
            <w:tcW w:type="dxa" w:w="2088"/>
            <w:vAlign w:val="center"/>
            <w:shd w:fill="1F4E78"/>
            <w:tcMar>
              <w:top w:w="100" w:type="dxa"/>
              <w:start w:w="120" w:type="dxa"/>
              <w:bottom w:w="100" w:type="dxa"/>
              <w:end w:w="120" w:type="dxa"/>
            </w:tcMar>
          </w:tcPr>
          <w:p>
            <w:pPr>
              <w:spacing w:after="0"/>
            </w:pPr>
            <w:r/>
            <w:r>
              <w:rPr>
                <w:rFonts w:ascii="Arial" w:hAnsi="Arial" w:eastAsia="Arial"/>
                <w:b/>
                <w:i w:val="0"/>
                <w:color w:val="FFFFFF"/>
                <w:sz w:val="16"/>
              </w:rPr>
              <w:t>Symptom</w:t>
            </w:r>
          </w:p>
        </w:tc>
        <w:tc>
          <w:tcPr>
            <w:tcW w:type="dxa" w:w="3240"/>
            <w:vAlign w:val="center"/>
            <w:shd w:fill="1F4E78"/>
            <w:tcMar>
              <w:top w:w="100" w:type="dxa"/>
              <w:start w:w="120" w:type="dxa"/>
              <w:bottom w:w="100" w:type="dxa"/>
              <w:end w:w="120" w:type="dxa"/>
            </w:tcMar>
          </w:tcPr>
          <w:p>
            <w:pPr>
              <w:spacing w:after="0"/>
            </w:pPr>
            <w:r/>
            <w:r>
              <w:rPr>
                <w:rFonts w:ascii="Arial" w:hAnsi="Arial" w:eastAsia="Arial"/>
                <w:b/>
                <w:i w:val="0"/>
                <w:color w:val="FFFFFF"/>
                <w:sz w:val="16"/>
              </w:rPr>
              <w:t>Likely cause</w:t>
            </w:r>
          </w:p>
        </w:tc>
        <w:tc>
          <w:tcPr>
            <w:tcW w:type="dxa" w:w="4680"/>
            <w:vAlign w:val="center"/>
            <w:shd w:fill="1F4E78"/>
            <w:tcMar>
              <w:top w:w="100" w:type="dxa"/>
              <w:start w:w="120" w:type="dxa"/>
              <w:bottom w:w="100" w:type="dxa"/>
              <w:end w:w="120" w:type="dxa"/>
            </w:tcMar>
          </w:tcPr>
          <w:p>
            <w:pPr>
              <w:spacing w:after="0"/>
            </w:pPr>
            <w:r/>
            <w:r>
              <w:rPr>
                <w:rFonts w:ascii="Arial" w:hAnsi="Arial" w:eastAsia="Arial"/>
                <w:b/>
                <w:i w:val="0"/>
                <w:color w:val="FFFFFF"/>
                <w:sz w:val="16"/>
              </w:rPr>
              <w:t>Action</w:t>
            </w:r>
          </w:p>
        </w:tc>
      </w:tr>
      <w:tr>
        <w:trPr>
          <w:cantSplit/>
        </w:trPr>
        <w:tc>
          <w:tcPr>
            <w:tcW w:type="dxa" w:w="2088"/>
            <w:vAlign w:val="center"/>
            <w:tcMar>
              <w:top w:w="100" w:type="dxa"/>
              <w:start w:w="120" w:type="dxa"/>
              <w:bottom w:w="100" w:type="dxa"/>
              <w:end w:w="120" w:type="dxa"/>
            </w:tcMar>
          </w:tcPr>
          <w:p>
            <w:pPr>
              <w:spacing w:after="0" w:line="240" w:lineRule="auto"/>
            </w:pPr>
            <w:r/>
            <w:r>
              <w:rPr>
                <w:rFonts w:ascii="Arial" w:hAnsi="Arial" w:eastAsia="Arial"/>
                <w:b w:val="0"/>
                <w:i w:val="0"/>
                <w:color w:val="1F2937"/>
                <w:sz w:val="16"/>
              </w:rPr>
              <w:t>Refresh is not recognized</w:t>
            </w:r>
          </w:p>
        </w:tc>
        <w:tc>
          <w:tcPr>
            <w:tcW w:type="dxa" w:w="3240"/>
            <w:vAlign w:val="center"/>
            <w:tcMar>
              <w:top w:w="100" w:type="dxa"/>
              <w:start w:w="120" w:type="dxa"/>
              <w:bottom w:w="100" w:type="dxa"/>
              <w:end w:w="120" w:type="dxa"/>
            </w:tcMar>
          </w:tcPr>
          <w:p>
            <w:pPr>
              <w:spacing w:after="0" w:line="240" w:lineRule="auto"/>
            </w:pPr>
            <w:r/>
            <w:r>
              <w:rPr>
                <w:rFonts w:ascii="Arial" w:hAnsi="Arial" w:eastAsia="Arial"/>
                <w:b w:val="0"/>
                <w:i w:val="0"/>
                <w:color w:val="1F2937"/>
                <w:sz w:val="16"/>
              </w:rPr>
              <w:t>The script name was entered without an invocation operator or current-directory prefix.</w:t>
            </w:r>
          </w:p>
        </w:tc>
        <w:tc>
          <w:tcPr>
            <w:tcW w:type="dxa" w:w="4680"/>
            <w:vAlign w:val="center"/>
            <w:tcMar>
              <w:top w:w="100" w:type="dxa"/>
              <w:start w:w="120" w:type="dxa"/>
              <w:bottom w:w="100" w:type="dxa"/>
              <w:end w:w="120" w:type="dxa"/>
            </w:tcMar>
          </w:tcPr>
          <w:p>
            <w:pPr>
              <w:spacing w:after="0" w:line="240" w:lineRule="auto"/>
            </w:pPr>
            <w:r/>
            <w:r>
              <w:rPr>
                <w:rFonts w:ascii="Arial" w:hAnsi="Arial" w:eastAsia="Arial"/>
                <w:b w:val="0"/>
                <w:i w:val="0"/>
                <w:color w:val="1F2937"/>
                <w:sz w:val="16"/>
              </w:rPr>
              <w:t>Run &amp; ".\Refresh Nigeria GDP Nowcast.ps1" from the nowcasting folder.</w:t>
            </w:r>
          </w:p>
        </w:tc>
      </w:tr>
      <w:tr>
        <w:trPr>
          <w:cantSplit/>
        </w:trPr>
        <w:tc>
          <w:tcPr>
            <w:tcW w:type="dxa" w:w="2088"/>
            <w:vAlign w:val="center"/>
            <w:tcMar>
              <w:top w:w="100" w:type="dxa"/>
              <w:start w:w="120" w:type="dxa"/>
              <w:bottom w:w="100" w:type="dxa"/>
              <w:end w:w="120" w:type="dxa"/>
            </w:tcMar>
            <w:shd w:fill="F4F6F8"/>
          </w:tcPr>
          <w:p>
            <w:pPr>
              <w:spacing w:after="0" w:line="240" w:lineRule="auto"/>
            </w:pPr>
            <w:r/>
            <w:r>
              <w:rPr>
                <w:rFonts w:ascii="Arial" w:hAnsi="Arial" w:eastAsia="Arial"/>
                <w:b w:val="0"/>
                <w:i w:val="0"/>
                <w:color w:val="1F2937"/>
                <w:sz w:val="16"/>
              </w:rPr>
              <w:t>Running scripts is disabled</w:t>
            </w:r>
          </w:p>
        </w:tc>
        <w:tc>
          <w:tcPr>
            <w:tcW w:type="dxa" w:w="3240"/>
            <w:vAlign w:val="center"/>
            <w:tcMar>
              <w:top w:w="100" w:type="dxa"/>
              <w:start w:w="120" w:type="dxa"/>
              <w:bottom w:w="100" w:type="dxa"/>
              <w:end w:w="120" w:type="dxa"/>
            </w:tcMar>
            <w:shd w:fill="F4F6F8"/>
          </w:tcPr>
          <w:p>
            <w:pPr>
              <w:spacing w:after="0" w:line="240" w:lineRule="auto"/>
            </w:pPr>
            <w:r/>
            <w:r>
              <w:rPr>
                <w:rFonts w:ascii="Arial" w:hAnsi="Arial" w:eastAsia="Arial"/>
                <w:b w:val="0"/>
                <w:i w:val="0"/>
                <w:color w:val="1F2937"/>
                <w:sz w:val="16"/>
              </w:rPr>
              <w:t>PowerShell execution policy blocks local scripts.</w:t>
            </w:r>
          </w:p>
        </w:tc>
        <w:tc>
          <w:tcPr>
            <w:tcW w:type="dxa" w:w="4680"/>
            <w:vAlign w:val="center"/>
            <w:tcMar>
              <w:top w:w="100" w:type="dxa"/>
              <w:start w:w="120" w:type="dxa"/>
              <w:bottom w:w="100" w:type="dxa"/>
              <w:end w:w="120" w:type="dxa"/>
            </w:tcMar>
            <w:shd w:fill="F4F6F8"/>
          </w:tcPr>
          <w:p>
            <w:pPr>
              <w:spacing w:after="0" w:line="240" w:lineRule="auto"/>
            </w:pPr>
            <w:r/>
            <w:r>
              <w:rPr>
                <w:rFonts w:ascii="Arial" w:hAnsi="Arial" w:eastAsia="Arial"/>
                <w:b w:val="0"/>
                <w:i w:val="0"/>
                <w:color w:val="1F2937"/>
                <w:sz w:val="16"/>
              </w:rPr>
              <w:t>Use the temporary process-level bypass command in this manual, then rerun.</w:t>
            </w:r>
          </w:p>
        </w:tc>
      </w:tr>
      <w:tr>
        <w:trPr>
          <w:cantSplit/>
        </w:trPr>
        <w:tc>
          <w:tcPr>
            <w:tcW w:type="dxa" w:w="2088"/>
            <w:vAlign w:val="center"/>
            <w:tcMar>
              <w:top w:w="100" w:type="dxa"/>
              <w:start w:w="120" w:type="dxa"/>
              <w:bottom w:w="100" w:type="dxa"/>
              <w:end w:w="120" w:type="dxa"/>
            </w:tcMar>
          </w:tcPr>
          <w:p>
            <w:pPr>
              <w:spacing w:after="0" w:line="240" w:lineRule="auto"/>
            </w:pPr>
            <w:r/>
            <w:r>
              <w:rPr>
                <w:rFonts w:ascii="Arial" w:hAnsi="Arial" w:eastAsia="Arial"/>
                <w:b w:val="0"/>
                <w:i w:val="0"/>
                <w:color w:val="1F2937"/>
                <w:sz w:val="16"/>
              </w:rPr>
              <w:t>Permission denied or file in use</w:t>
            </w:r>
          </w:p>
        </w:tc>
        <w:tc>
          <w:tcPr>
            <w:tcW w:type="dxa" w:w="3240"/>
            <w:vAlign w:val="center"/>
            <w:tcMar>
              <w:top w:w="100" w:type="dxa"/>
              <w:start w:w="120" w:type="dxa"/>
              <w:bottom w:w="100" w:type="dxa"/>
              <w:end w:w="120" w:type="dxa"/>
            </w:tcMar>
          </w:tcPr>
          <w:p>
            <w:pPr>
              <w:spacing w:after="0" w:line="240" w:lineRule="auto"/>
            </w:pPr>
            <w:r/>
            <w:r>
              <w:rPr>
                <w:rFonts w:ascii="Arial" w:hAnsi="Arial" w:eastAsia="Arial"/>
                <w:b w:val="0"/>
                <w:i w:val="0"/>
                <w:color w:val="1F2937"/>
                <w:sz w:val="16"/>
              </w:rPr>
              <w:t>Excel or Word has locked an input or output file.</w:t>
            </w:r>
          </w:p>
        </w:tc>
        <w:tc>
          <w:tcPr>
            <w:tcW w:type="dxa" w:w="4680"/>
            <w:vAlign w:val="center"/>
            <w:tcMar>
              <w:top w:w="100" w:type="dxa"/>
              <w:start w:w="120" w:type="dxa"/>
              <w:bottom w:w="100" w:type="dxa"/>
              <w:end w:w="120" w:type="dxa"/>
            </w:tcMar>
          </w:tcPr>
          <w:p>
            <w:pPr>
              <w:spacing w:after="0" w:line="240" w:lineRule="auto"/>
            </w:pPr>
            <w:r/>
            <w:r>
              <w:rPr>
                <w:rFonts w:ascii="Arial" w:hAnsi="Arial" w:eastAsia="Arial"/>
                <w:b w:val="0"/>
                <w:i w:val="0"/>
                <w:color w:val="1F2937"/>
                <w:sz w:val="16"/>
              </w:rPr>
              <w:t>Close the master workbook, forecast workbook and both newsletter documents, then rerun.</w:t>
            </w:r>
          </w:p>
        </w:tc>
      </w:tr>
      <w:tr>
        <w:trPr>
          <w:cantSplit/>
        </w:trPr>
        <w:tc>
          <w:tcPr>
            <w:tcW w:type="dxa" w:w="2088"/>
            <w:vAlign w:val="center"/>
            <w:tcMar>
              <w:top w:w="100" w:type="dxa"/>
              <w:start w:w="120" w:type="dxa"/>
              <w:bottom w:w="100" w:type="dxa"/>
              <w:end w:w="120" w:type="dxa"/>
            </w:tcMar>
            <w:shd w:fill="F4F6F8"/>
          </w:tcPr>
          <w:p>
            <w:pPr>
              <w:spacing w:after="0" w:line="240" w:lineRule="auto"/>
            </w:pPr>
            <w:r/>
            <w:r>
              <w:rPr>
                <w:rFonts w:ascii="Arial" w:hAnsi="Arial" w:eastAsia="Arial"/>
                <w:b w:val="0"/>
                <w:i w:val="0"/>
                <w:color w:val="1F2937"/>
                <w:sz w:val="16"/>
              </w:rPr>
              <w:t>Worksheet not found</w:t>
            </w:r>
          </w:p>
        </w:tc>
        <w:tc>
          <w:tcPr>
            <w:tcW w:type="dxa" w:w="3240"/>
            <w:vAlign w:val="center"/>
            <w:tcMar>
              <w:top w:w="100" w:type="dxa"/>
              <w:start w:w="120" w:type="dxa"/>
              <w:bottom w:w="100" w:type="dxa"/>
              <w:end w:w="120" w:type="dxa"/>
            </w:tcMar>
            <w:shd w:fill="F4F6F8"/>
          </w:tcPr>
          <w:p>
            <w:pPr>
              <w:spacing w:after="0" w:line="240" w:lineRule="auto"/>
            </w:pPr>
            <w:r/>
            <w:r>
              <w:rPr>
                <w:rFonts w:ascii="Arial" w:hAnsi="Arial" w:eastAsia="Arial"/>
                <w:b w:val="0"/>
                <w:i w:val="0"/>
                <w:color w:val="1F2937"/>
                <w:sz w:val="16"/>
              </w:rPr>
              <w:t>A required worksheet was renamed or deleted.</w:t>
            </w:r>
          </w:p>
        </w:tc>
        <w:tc>
          <w:tcPr>
            <w:tcW w:type="dxa" w:w="4680"/>
            <w:vAlign w:val="center"/>
            <w:tcMar>
              <w:top w:w="100" w:type="dxa"/>
              <w:start w:w="120" w:type="dxa"/>
              <w:bottom w:w="100" w:type="dxa"/>
              <w:end w:w="120" w:type="dxa"/>
            </w:tcMar>
            <w:shd w:fill="F4F6F8"/>
          </w:tcPr>
          <w:p>
            <w:pPr>
              <w:spacing w:after="0" w:line="240" w:lineRule="auto"/>
            </w:pPr>
            <w:r/>
            <w:r>
              <w:rPr>
                <w:rFonts w:ascii="Arial" w:hAnsi="Arial" w:eastAsia="Arial"/>
                <w:b w:val="0"/>
                <w:i w:val="0"/>
                <w:color w:val="1F2937"/>
                <w:sz w:val="16"/>
              </w:rPr>
              <w:t>Restore the exact names monthly data, Quarterly Data and GDP Interpolation.</w:t>
            </w:r>
          </w:p>
        </w:tc>
      </w:tr>
      <w:tr>
        <w:trPr>
          <w:cantSplit/>
        </w:trPr>
        <w:tc>
          <w:tcPr>
            <w:tcW w:type="dxa" w:w="2088"/>
            <w:vAlign w:val="center"/>
            <w:tcMar>
              <w:top w:w="100" w:type="dxa"/>
              <w:start w:w="120" w:type="dxa"/>
              <w:bottom w:w="100" w:type="dxa"/>
              <w:end w:w="120" w:type="dxa"/>
            </w:tcMar>
          </w:tcPr>
          <w:p>
            <w:pPr>
              <w:spacing w:after="0" w:line="240" w:lineRule="auto"/>
            </w:pPr>
            <w:r/>
            <w:r>
              <w:rPr>
                <w:rFonts w:ascii="Arial" w:hAnsi="Arial" w:eastAsia="Arial"/>
                <w:b w:val="0"/>
                <w:i w:val="0"/>
                <w:color w:val="1F2937"/>
                <w:sz w:val="16"/>
              </w:rPr>
              <w:t>PMI is missing</w:t>
            </w:r>
          </w:p>
        </w:tc>
        <w:tc>
          <w:tcPr>
            <w:tcW w:type="dxa" w:w="3240"/>
            <w:vAlign w:val="center"/>
            <w:tcMar>
              <w:top w:w="100" w:type="dxa"/>
              <w:start w:w="120" w:type="dxa"/>
              <w:bottom w:w="100" w:type="dxa"/>
              <w:end w:w="120" w:type="dxa"/>
            </w:tcMar>
          </w:tcPr>
          <w:p>
            <w:pPr>
              <w:spacing w:after="0" w:line="240" w:lineRule="auto"/>
            </w:pPr>
            <w:r/>
            <w:r>
              <w:rPr>
                <w:rFonts w:ascii="Arial" w:hAnsi="Arial" w:eastAsia="Arial"/>
                <w:b w:val="0"/>
                <w:i w:val="0"/>
                <w:color w:val="1F2937"/>
                <w:sz w:val="16"/>
              </w:rPr>
              <w:t>PMI was entered elsewhere or stored as text.</w:t>
            </w:r>
          </w:p>
        </w:tc>
        <w:tc>
          <w:tcPr>
            <w:tcW w:type="dxa" w:w="4680"/>
            <w:vAlign w:val="center"/>
            <w:tcMar>
              <w:top w:w="100" w:type="dxa"/>
              <w:start w:w="120" w:type="dxa"/>
              <w:bottom w:w="100" w:type="dxa"/>
              <w:end w:w="120" w:type="dxa"/>
            </w:tcMar>
          </w:tcPr>
          <w:p>
            <w:pPr>
              <w:spacing w:after="0" w:line="240" w:lineRule="auto"/>
            </w:pPr>
            <w:r/>
            <w:r>
              <w:rPr>
                <w:rFonts w:ascii="Arial" w:hAnsi="Arial" w:eastAsia="Arial"/>
                <w:b w:val="0"/>
                <w:i w:val="0"/>
                <w:color w:val="1F2937"/>
                <w:sz w:val="16"/>
              </w:rPr>
              <w:t>Enter the numeric survey-month PMI in column L of monthly data.</w:t>
            </w:r>
          </w:p>
        </w:tc>
      </w:tr>
      <w:tr>
        <w:trPr>
          <w:cantSplit/>
        </w:trPr>
        <w:tc>
          <w:tcPr>
            <w:tcW w:type="dxa" w:w="2088"/>
            <w:vAlign w:val="center"/>
            <w:tcMar>
              <w:top w:w="100" w:type="dxa"/>
              <w:start w:w="120" w:type="dxa"/>
              <w:bottom w:w="100" w:type="dxa"/>
              <w:end w:w="120" w:type="dxa"/>
            </w:tcMar>
            <w:shd w:fill="F4F6F8"/>
          </w:tcPr>
          <w:p>
            <w:pPr>
              <w:spacing w:after="0" w:line="240" w:lineRule="auto"/>
            </w:pPr>
            <w:r/>
            <w:r>
              <w:rPr>
                <w:rFonts w:ascii="Arial" w:hAnsi="Arial" w:eastAsia="Arial"/>
                <w:b w:val="0"/>
                <w:i w:val="0"/>
                <w:color w:val="1F2937"/>
                <w:sz w:val="16"/>
              </w:rPr>
              <w:t>Point forecast remains pending</w:t>
            </w:r>
          </w:p>
        </w:tc>
        <w:tc>
          <w:tcPr>
            <w:tcW w:type="dxa" w:w="3240"/>
            <w:vAlign w:val="center"/>
            <w:tcMar>
              <w:top w:w="100" w:type="dxa"/>
              <w:start w:w="120" w:type="dxa"/>
              <w:bottom w:w="100" w:type="dxa"/>
              <w:end w:w="120" w:type="dxa"/>
            </w:tcMar>
            <w:shd w:fill="F4F6F8"/>
          </w:tcPr>
          <w:p>
            <w:pPr>
              <w:spacing w:after="0" w:line="240" w:lineRule="auto"/>
            </w:pPr>
            <w:r/>
            <w:r>
              <w:rPr>
                <w:rFonts w:ascii="Arial" w:hAnsi="Arial" w:eastAsia="Arial"/>
                <w:b w:val="0"/>
                <w:i w:val="0"/>
                <w:color w:val="1F2937"/>
                <w:sz w:val="16"/>
              </w:rPr>
              <w:t>At least one month lacks HCPI, BDC, COP or PMI.</w:t>
            </w:r>
          </w:p>
        </w:tc>
        <w:tc>
          <w:tcPr>
            <w:tcW w:type="dxa" w:w="4680"/>
            <w:vAlign w:val="center"/>
            <w:tcMar>
              <w:top w:w="100" w:type="dxa"/>
              <w:start w:w="120" w:type="dxa"/>
              <w:bottom w:w="100" w:type="dxa"/>
              <w:end w:w="120" w:type="dxa"/>
            </w:tcMar>
            <w:shd w:fill="F4F6F8"/>
          </w:tcPr>
          <w:p>
            <w:pPr>
              <w:spacing w:after="0" w:line="240" w:lineRule="auto"/>
            </w:pPr>
            <w:r/>
            <w:r>
              <w:rPr>
                <w:rFonts w:ascii="Arial" w:hAnsi="Arial" w:eastAsia="Arial"/>
                <w:b w:val="0"/>
                <w:i w:val="0"/>
                <w:color w:val="1F2937"/>
                <w:sz w:val="16"/>
              </w:rPr>
              <w:t>Review the three target-quarter rows. Do not use zeros for missing values.</w:t>
            </w:r>
          </w:p>
        </w:tc>
      </w:tr>
      <w:tr>
        <w:trPr>
          <w:cantSplit/>
        </w:trPr>
        <w:tc>
          <w:tcPr>
            <w:tcW w:type="dxa" w:w="2088"/>
            <w:vAlign w:val="center"/>
            <w:tcMar>
              <w:top w:w="100" w:type="dxa"/>
              <w:start w:w="120" w:type="dxa"/>
              <w:bottom w:w="100" w:type="dxa"/>
              <w:end w:w="120" w:type="dxa"/>
            </w:tcMar>
          </w:tcPr>
          <w:p>
            <w:pPr>
              <w:spacing w:after="0" w:line="240" w:lineRule="auto"/>
            </w:pPr>
            <w:r/>
            <w:r>
              <w:rPr>
                <w:rFonts w:ascii="Arial" w:hAnsi="Arial" w:eastAsia="Arial"/>
                <w:b w:val="0"/>
                <w:i w:val="0"/>
                <w:color w:val="1F2937"/>
                <w:sz w:val="16"/>
              </w:rPr>
              <w:t>Wrong target quarter</w:t>
            </w:r>
          </w:p>
        </w:tc>
        <w:tc>
          <w:tcPr>
            <w:tcW w:type="dxa" w:w="3240"/>
            <w:vAlign w:val="center"/>
            <w:tcMar>
              <w:top w:w="100" w:type="dxa"/>
              <w:start w:w="120" w:type="dxa"/>
              <w:bottom w:w="100" w:type="dxa"/>
              <w:end w:w="120" w:type="dxa"/>
            </w:tcMar>
          </w:tcPr>
          <w:p>
            <w:pPr>
              <w:spacing w:after="0" w:line="240" w:lineRule="auto"/>
            </w:pPr>
            <w:r/>
            <w:r>
              <w:rPr>
                <w:rFonts w:ascii="Arial" w:hAnsi="Arial" w:eastAsia="Arial"/>
                <w:b w:val="0"/>
                <w:i w:val="0"/>
                <w:color w:val="1F2937"/>
                <w:sz w:val="16"/>
              </w:rPr>
              <w:t>Quarterly Data is missing the latest official GDP release or contains an incorrect final row.</w:t>
            </w:r>
          </w:p>
        </w:tc>
        <w:tc>
          <w:tcPr>
            <w:tcW w:type="dxa" w:w="4680"/>
            <w:vAlign w:val="center"/>
            <w:tcMar>
              <w:top w:w="100" w:type="dxa"/>
              <w:start w:w="120" w:type="dxa"/>
              <w:bottom w:w="100" w:type="dxa"/>
              <w:end w:w="120" w:type="dxa"/>
            </w:tcMar>
          </w:tcPr>
          <w:p>
            <w:pPr>
              <w:spacing w:after="0" w:line="240" w:lineRule="auto"/>
            </w:pPr>
            <w:r/>
            <w:r>
              <w:rPr>
                <w:rFonts w:ascii="Arial" w:hAnsi="Arial" w:eastAsia="Arial"/>
                <w:b w:val="0"/>
                <w:i w:val="0"/>
                <w:color w:val="1F2937"/>
                <w:sz w:val="16"/>
              </w:rPr>
              <w:t>Correct the official GDP history and rerun.</w:t>
            </w:r>
          </w:p>
        </w:tc>
      </w:tr>
      <w:tr>
        <w:trPr>
          <w:cantSplit/>
        </w:trPr>
        <w:tc>
          <w:tcPr>
            <w:tcW w:type="dxa" w:w="2088"/>
            <w:vAlign w:val="center"/>
            <w:tcMar>
              <w:top w:w="100" w:type="dxa"/>
              <w:start w:w="120" w:type="dxa"/>
              <w:bottom w:w="100" w:type="dxa"/>
              <w:end w:w="120" w:type="dxa"/>
            </w:tcMar>
            <w:shd w:fill="F4F6F8"/>
          </w:tcPr>
          <w:p>
            <w:pPr>
              <w:spacing w:after="0" w:line="240" w:lineRule="auto"/>
            </w:pPr>
            <w:r/>
            <w:r>
              <w:rPr>
                <w:rFonts w:ascii="Arial" w:hAnsi="Arial" w:eastAsia="Arial"/>
                <w:b w:val="0"/>
                <w:i w:val="0"/>
                <w:color w:val="1F2937"/>
                <w:sz w:val="16"/>
              </w:rPr>
              <w:t>Newsletter appears unchanged</w:t>
            </w:r>
          </w:p>
        </w:tc>
        <w:tc>
          <w:tcPr>
            <w:tcW w:type="dxa" w:w="3240"/>
            <w:vAlign w:val="center"/>
            <w:tcMar>
              <w:top w:w="100" w:type="dxa"/>
              <w:start w:w="120" w:type="dxa"/>
              <w:bottom w:w="100" w:type="dxa"/>
              <w:end w:w="120" w:type="dxa"/>
            </w:tcMar>
            <w:shd w:fill="F4F6F8"/>
          </w:tcPr>
          <w:p>
            <w:pPr>
              <w:spacing w:after="0" w:line="240" w:lineRule="auto"/>
            </w:pPr>
            <w:r/>
            <w:r>
              <w:rPr>
                <w:rFonts w:ascii="Arial" w:hAnsi="Arial" w:eastAsia="Arial"/>
                <w:b w:val="0"/>
                <w:i w:val="0"/>
                <w:color w:val="1F2937"/>
                <w:sz w:val="16"/>
              </w:rPr>
              <w:t>The original template was opened instead of the connected copy, or Word kept an older open version.</w:t>
            </w:r>
          </w:p>
        </w:tc>
        <w:tc>
          <w:tcPr>
            <w:tcW w:type="dxa" w:w="4680"/>
            <w:vAlign w:val="center"/>
            <w:tcMar>
              <w:top w:w="100" w:type="dxa"/>
              <w:start w:w="120" w:type="dxa"/>
              <w:bottom w:w="100" w:type="dxa"/>
              <w:end w:w="120" w:type="dxa"/>
            </w:tcMar>
            <w:shd w:fill="F4F6F8"/>
          </w:tcPr>
          <w:p>
            <w:pPr>
              <w:spacing w:after="0" w:line="240" w:lineRule="auto"/>
            </w:pPr>
            <w:r/>
            <w:r>
              <w:rPr>
                <w:rFonts w:ascii="Arial" w:hAnsi="Arial" w:eastAsia="Arial"/>
                <w:b w:val="0"/>
                <w:i w:val="0"/>
                <w:color w:val="1F2937"/>
                <w:sz w:val="16"/>
              </w:rPr>
              <w:t>Close Word and open the file ending GDP Nowcast Connected.docx.</w:t>
            </w:r>
          </w:p>
        </w:tc>
      </w:tr>
      <w:tr>
        <w:trPr>
          <w:cantSplit/>
        </w:trPr>
        <w:tc>
          <w:tcPr>
            <w:tcW w:type="dxa" w:w="2088"/>
            <w:vAlign w:val="center"/>
            <w:tcMar>
              <w:top w:w="100" w:type="dxa"/>
              <w:start w:w="120" w:type="dxa"/>
              <w:bottom w:w="100" w:type="dxa"/>
              <w:end w:w="120" w:type="dxa"/>
            </w:tcMar>
          </w:tcPr>
          <w:p>
            <w:pPr>
              <w:spacing w:after="0" w:line="240" w:lineRule="auto"/>
            </w:pPr>
            <w:r/>
            <w:r>
              <w:rPr>
                <w:rFonts w:ascii="Arial" w:hAnsi="Arial" w:eastAsia="Arial"/>
                <w:b w:val="0"/>
                <w:i w:val="0"/>
                <w:color w:val="1F2937"/>
                <w:sz w:val="16"/>
              </w:rPr>
              <w:t>Python or Node path not found</w:t>
            </w:r>
          </w:p>
        </w:tc>
        <w:tc>
          <w:tcPr>
            <w:tcW w:type="dxa" w:w="3240"/>
            <w:vAlign w:val="center"/>
            <w:tcMar>
              <w:top w:w="100" w:type="dxa"/>
              <w:start w:w="120" w:type="dxa"/>
              <w:bottom w:w="100" w:type="dxa"/>
              <w:end w:w="120" w:type="dxa"/>
            </w:tcMar>
          </w:tcPr>
          <w:p>
            <w:pPr>
              <w:spacing w:after="0" w:line="240" w:lineRule="auto"/>
            </w:pPr>
            <w:r/>
            <w:r>
              <w:rPr>
                <w:rFonts w:ascii="Arial" w:hAnsi="Arial" w:eastAsia="Arial"/>
                <w:b w:val="0"/>
                <w:i w:val="0"/>
                <w:color w:val="1F2937"/>
                <w:sz w:val="16"/>
              </w:rPr>
              <w:t>The bundled runtime moved or was removed.</w:t>
            </w:r>
          </w:p>
        </w:tc>
        <w:tc>
          <w:tcPr>
            <w:tcW w:type="dxa" w:w="4680"/>
            <w:vAlign w:val="center"/>
            <w:tcMar>
              <w:top w:w="100" w:type="dxa"/>
              <w:start w:w="120" w:type="dxa"/>
              <w:bottom w:w="100" w:type="dxa"/>
              <w:end w:w="120" w:type="dxa"/>
            </w:tcMar>
          </w:tcPr>
          <w:p>
            <w:pPr>
              <w:spacing w:after="0" w:line="240" w:lineRule="auto"/>
            </w:pPr>
            <w:r/>
            <w:r>
              <w:rPr>
                <w:rFonts w:ascii="Arial" w:hAnsi="Arial" w:eastAsia="Arial"/>
                <w:b w:val="0"/>
                <w:i w:val="0"/>
                <w:color w:val="1F2937"/>
                <w:sz w:val="16"/>
              </w:rPr>
              <w:t>Update pythonRuntime and nodeRuntime near the top of the PowerShell launcher to valid bundled-runtime locations.</w:t>
            </w:r>
          </w:p>
        </w:tc>
      </w:tr>
      <w:tr>
        <w:trPr>
          <w:cantSplit/>
        </w:trPr>
        <w:tc>
          <w:tcPr>
            <w:tcW w:type="dxa" w:w="2088"/>
            <w:vAlign w:val="center"/>
            <w:tcMar>
              <w:top w:w="100" w:type="dxa"/>
              <w:start w:w="120" w:type="dxa"/>
              <w:bottom w:w="100" w:type="dxa"/>
              <w:end w:w="120" w:type="dxa"/>
            </w:tcMar>
            <w:shd w:fill="F4F6F8"/>
          </w:tcPr>
          <w:p>
            <w:pPr>
              <w:spacing w:after="0" w:line="240" w:lineRule="auto"/>
            </w:pPr>
            <w:r/>
            <w:r>
              <w:rPr>
                <w:rFonts w:ascii="Arial" w:hAnsi="Arial" w:eastAsia="Arial"/>
                <w:b w:val="0"/>
                <w:i w:val="0"/>
                <w:color w:val="1F2937"/>
                <w:sz w:val="16"/>
              </w:rPr>
              <w:t>Validation failed</w:t>
            </w:r>
          </w:p>
        </w:tc>
        <w:tc>
          <w:tcPr>
            <w:tcW w:type="dxa" w:w="3240"/>
            <w:vAlign w:val="center"/>
            <w:tcMar>
              <w:top w:w="100" w:type="dxa"/>
              <w:start w:w="120" w:type="dxa"/>
              <w:bottom w:w="100" w:type="dxa"/>
              <w:end w:w="120" w:type="dxa"/>
            </w:tcMar>
            <w:shd w:fill="F4F6F8"/>
          </w:tcPr>
          <w:p>
            <w:pPr>
              <w:spacing w:after="0" w:line="240" w:lineRule="auto"/>
            </w:pPr>
            <w:r/>
            <w:r>
              <w:rPr>
                <w:rFonts w:ascii="Arial" w:hAnsi="Arial" w:eastAsia="Arial"/>
                <w:b w:val="0"/>
                <w:i w:val="0"/>
                <w:color w:val="1F2937"/>
                <w:sz w:val="16"/>
              </w:rPr>
              <w:t>An output is missing, incomplete or inconsistent with the release rule.</w:t>
            </w:r>
          </w:p>
        </w:tc>
        <w:tc>
          <w:tcPr>
            <w:tcW w:type="dxa" w:w="4680"/>
            <w:vAlign w:val="center"/>
            <w:tcMar>
              <w:top w:w="100" w:type="dxa"/>
              <w:start w:w="120" w:type="dxa"/>
              <w:bottom w:w="100" w:type="dxa"/>
              <w:end w:w="120" w:type="dxa"/>
            </w:tcMar>
            <w:shd w:fill="F4F6F8"/>
          </w:tcPr>
          <w:p>
            <w:pPr>
              <w:spacing w:after="0" w:line="240" w:lineRule="auto"/>
            </w:pPr>
            <w:r/>
            <w:r>
              <w:rPr>
                <w:rFonts w:ascii="Arial" w:hAnsi="Arial" w:eastAsia="Arial"/>
                <w:b w:val="0"/>
                <w:i w:val="0"/>
                <w:color w:val="1F2937"/>
                <w:sz w:val="16"/>
              </w:rPr>
              <w:t>Read the error immediately above the exception, correct the source data or automation file, and rerun. Do not circulate the output.</w:t>
            </w:r>
          </w:p>
        </w:tc>
      </w:tr>
    </w:tbl>
    <w:p>
      <w:pPr>
        <w:spacing w:after="40"/>
      </w:pPr>
    </w:p>
    <w:p>
      <w:pPr>
        <w:pStyle w:val="Heading1"/>
        <w:keepNext/>
        <w:spacing w:before="200" w:after="80"/>
      </w:pPr>
      <w:r>
        <w:rPr>
          <w:rFonts w:ascii="Arial" w:hAnsi="Arial" w:eastAsia="Arial"/>
          <w:b/>
          <w:i w:val="0"/>
          <w:color w:val="000000"/>
          <w:sz w:val="30"/>
        </w:rPr>
        <w:t>Backups and recovery</w:t>
      </w:r>
    </w:p>
    <w:p>
      <w:pPr>
        <w:keepNext w:val="0"/>
        <w:spacing w:after="120" w:line="259" w:lineRule="auto"/>
      </w:pPr>
      <w:r>
        <w:rPr>
          <w:rFonts w:ascii="Arial" w:hAnsi="Arial" w:eastAsia="Arial"/>
          <w:b w:val="0"/>
          <w:i w:val="0"/>
          <w:color w:val="1F2937"/>
          <w:sz w:val="21"/>
        </w:rPr>
        <w:t>Each successful refresh creates a timestamped backup in the Main Data folder before replacing the master workbook. The filename follows MultipleFrequencyModelData_backup_YYYYMMDD_HHMMSS.xlsx. Keep these backups until the forecast and newsletter have passed review.</w:t>
      </w:r>
    </w:p>
    <w:p>
      <w:pPr>
        <w:keepNext w:val="0"/>
        <w:spacing w:after="120" w:line="259" w:lineRule="auto"/>
      </w:pPr>
      <w:r>
        <w:rPr>
          <w:rFonts w:ascii="Arial" w:hAnsi="Arial" w:eastAsia="Arial"/>
          <w:b w:val="0"/>
          <w:i w:val="0"/>
          <w:color w:val="1F2937"/>
          <w:sz w:val="21"/>
        </w:rPr>
        <w:t>To restore the master workbook:</w:t>
      </w:r>
    </w:p>
    <w:p>
      <w:pPr>
        <w:spacing w:after="80" w:line="252" w:lineRule="auto"/>
        <w:ind w:left="374" w:hanging="317"/>
      </w:pPr>
      <w:r>
        <w:rPr>
          <w:rFonts w:ascii="Arial" w:hAnsi="Arial" w:eastAsia="Arial"/>
          <w:b w:val="0"/>
          <w:i w:val="0"/>
          <w:color w:val="1F2937"/>
          <w:sz w:val="21"/>
        </w:rPr>
        <w:t xml:space="preserve">1. </w:t>
      </w:r>
      <w:r>
        <w:rPr>
          <w:rFonts w:ascii="Arial" w:hAnsi="Arial" w:eastAsia="Arial"/>
          <w:b w:val="0"/>
          <w:i w:val="0"/>
          <w:color w:val="1F2937"/>
          <w:sz w:val="21"/>
        </w:rPr>
        <w:t>Close Excel, Word and PowerShell windows using the workflow.</w:t>
      </w:r>
    </w:p>
    <w:p>
      <w:pPr>
        <w:spacing w:after="80" w:line="252" w:lineRule="auto"/>
        <w:ind w:left="374" w:hanging="317"/>
      </w:pPr>
      <w:r>
        <w:rPr>
          <w:rFonts w:ascii="Arial" w:hAnsi="Arial" w:eastAsia="Arial"/>
          <w:b w:val="0"/>
          <w:i w:val="0"/>
          <w:color w:val="1F2937"/>
          <w:sz w:val="21"/>
        </w:rPr>
        <w:t xml:space="preserve">2. </w:t>
      </w:r>
      <w:r>
        <w:rPr>
          <w:rFonts w:ascii="Arial" w:hAnsi="Arial" w:eastAsia="Arial"/>
          <w:b w:val="0"/>
          <w:i w:val="0"/>
          <w:color w:val="1F2937"/>
          <w:sz w:val="21"/>
        </w:rPr>
        <w:t>Move the current MultipleFrequencyModelData.xlsx to a clearly labelled review folder rather than deleting it.</w:t>
      </w:r>
    </w:p>
    <w:p>
      <w:pPr>
        <w:spacing w:after="80" w:line="252" w:lineRule="auto"/>
        <w:ind w:left="374" w:hanging="317"/>
      </w:pPr>
      <w:r>
        <w:rPr>
          <w:rFonts w:ascii="Arial" w:hAnsi="Arial" w:eastAsia="Arial"/>
          <w:b w:val="0"/>
          <w:i w:val="0"/>
          <w:color w:val="1F2937"/>
          <w:sz w:val="21"/>
        </w:rPr>
        <w:t xml:space="preserve">3. </w:t>
      </w:r>
      <w:r>
        <w:rPr>
          <w:rFonts w:ascii="Arial" w:hAnsi="Arial" w:eastAsia="Arial"/>
          <w:b w:val="0"/>
          <w:i w:val="0"/>
          <w:color w:val="1F2937"/>
          <w:sz w:val="21"/>
        </w:rPr>
        <w:t>Copy the selected backup into Main Data and rename the copy MultipleFrequencyModelData.xlsx.</w:t>
      </w:r>
    </w:p>
    <w:p>
      <w:pPr>
        <w:spacing w:after="80" w:line="252" w:lineRule="auto"/>
        <w:ind w:left="374" w:hanging="317"/>
      </w:pPr>
      <w:r>
        <w:rPr>
          <w:rFonts w:ascii="Arial" w:hAnsi="Arial" w:eastAsia="Arial"/>
          <w:b w:val="0"/>
          <w:i w:val="0"/>
          <w:color w:val="1F2937"/>
          <w:sz w:val="21"/>
        </w:rPr>
        <w:t xml:space="preserve">4. </w:t>
      </w:r>
      <w:r>
        <w:rPr>
          <w:rFonts w:ascii="Arial" w:hAnsi="Arial" w:eastAsia="Arial"/>
          <w:b w:val="0"/>
          <w:i w:val="0"/>
          <w:color w:val="1F2937"/>
          <w:sz w:val="21"/>
        </w:rPr>
        <w:t>Open the restored workbook, verify the latest monthly and quarterly observations, then rerun the refresh.</w:t>
      </w:r>
    </w:p>
    <w:p>
      <w:pPr>
        <w:keepNext w:val="0"/>
        <w:spacing w:after="120" w:line="259" w:lineRule="auto"/>
      </w:pPr>
      <w:r>
        <w:rPr>
          <w:rFonts w:ascii="Arial" w:hAnsi="Arial" w:eastAsia="Arial"/>
          <w:b w:val="0"/>
          <w:i w:val="0"/>
          <w:color w:val="1F2937"/>
          <w:sz w:val="21"/>
        </w:rPr>
        <w:t>The original newsletter template is not overwritten. If the connected newsletter is damaged, delete or archive only the connected copy and run the refresh again to regenerate it.</w:t>
      </w:r>
    </w:p>
    <w:p>
      <w:pPr>
        <w:pStyle w:val="Heading1"/>
        <w:keepNext/>
        <w:spacing w:before="200" w:after="80"/>
      </w:pPr>
      <w:r>
        <w:rPr>
          <w:rFonts w:ascii="Arial" w:hAnsi="Arial" w:eastAsia="Arial"/>
          <w:b/>
          <w:i w:val="0"/>
          <w:color w:val="000000"/>
          <w:sz w:val="30"/>
        </w:rPr>
        <w:t>Starting a new target quarter</w:t>
      </w:r>
    </w:p>
    <w:p>
      <w:pPr>
        <w:spacing w:after="80" w:line="252" w:lineRule="auto"/>
        <w:ind w:left="374" w:hanging="317"/>
      </w:pPr>
      <w:r>
        <w:rPr>
          <w:rFonts w:ascii="Arial" w:hAnsi="Arial" w:eastAsia="Arial"/>
          <w:b w:val="0"/>
          <w:i w:val="0"/>
          <w:color w:val="1F2937"/>
          <w:sz w:val="21"/>
        </w:rPr>
        <w:t xml:space="preserve">1. </w:t>
      </w:r>
      <w:r>
        <w:rPr>
          <w:rFonts w:ascii="Arial" w:hAnsi="Arial" w:eastAsia="Arial"/>
          <w:b w:val="0"/>
          <w:i w:val="0"/>
          <w:color w:val="1F2937"/>
          <w:sz w:val="21"/>
        </w:rPr>
        <w:t>Add the newly released official GDP result to Quarterly Data. This advances the target quarter automatically.</w:t>
      </w:r>
    </w:p>
    <w:p>
      <w:pPr>
        <w:spacing w:after="80" w:line="252" w:lineRule="auto"/>
        <w:ind w:left="374" w:hanging="317"/>
      </w:pPr>
      <w:r>
        <w:rPr>
          <w:rFonts w:ascii="Arial" w:hAnsi="Arial" w:eastAsia="Arial"/>
          <w:b w:val="0"/>
          <w:i w:val="0"/>
          <w:color w:val="1F2937"/>
          <w:sz w:val="21"/>
        </w:rPr>
        <w:t xml:space="preserve">2. </w:t>
      </w:r>
      <w:r>
        <w:rPr>
          <w:rFonts w:ascii="Arial" w:hAnsi="Arial" w:eastAsia="Arial"/>
          <w:b w:val="0"/>
          <w:i w:val="0"/>
          <w:color w:val="1F2937"/>
          <w:sz w:val="21"/>
        </w:rPr>
        <w:t>Add the new quarter's monthly rows in chronological order and ensure the first January row carries the full year label when applicable.</w:t>
      </w:r>
    </w:p>
    <w:p>
      <w:pPr>
        <w:spacing w:after="80" w:line="252" w:lineRule="auto"/>
        <w:ind w:left="374" w:hanging="317"/>
      </w:pPr>
      <w:r>
        <w:rPr>
          <w:rFonts w:ascii="Arial" w:hAnsi="Arial" w:eastAsia="Arial"/>
          <w:b w:val="0"/>
          <w:i w:val="0"/>
          <w:color w:val="1F2937"/>
          <w:sz w:val="21"/>
        </w:rPr>
        <w:t xml:space="preserve">3. </w:t>
      </w:r>
      <w:r>
        <w:rPr>
          <w:rFonts w:ascii="Arial" w:hAnsi="Arial" w:eastAsia="Arial"/>
          <w:b w:val="0"/>
          <w:i w:val="0"/>
          <w:color w:val="1F2937"/>
          <w:sz w:val="21"/>
        </w:rPr>
        <w:t>Confirm that PMI continues to be entered in column L.</w:t>
      </w:r>
    </w:p>
    <w:p>
      <w:pPr>
        <w:spacing w:after="80" w:line="252" w:lineRule="auto"/>
        <w:ind w:left="374" w:hanging="317"/>
      </w:pPr>
      <w:r>
        <w:rPr>
          <w:rFonts w:ascii="Arial" w:hAnsi="Arial" w:eastAsia="Arial"/>
          <w:b w:val="0"/>
          <w:i w:val="0"/>
          <w:color w:val="1F2937"/>
          <w:sz w:val="21"/>
        </w:rPr>
        <w:t xml:space="preserve">4. </w:t>
      </w:r>
      <w:r>
        <w:rPr>
          <w:rFonts w:ascii="Arial" w:hAnsi="Arial" w:eastAsia="Arial"/>
          <w:b w:val="0"/>
          <w:i w:val="0"/>
          <w:color w:val="1F2937"/>
          <w:sz w:val="21"/>
        </w:rPr>
        <w:t>If the new quarter is incomplete, obtain approval for a new publication range and update publication_lower and publication_upper in .automation\analyze_nowcast.py.</w:t>
      </w:r>
    </w:p>
    <w:p>
      <w:pPr>
        <w:spacing w:after="80" w:line="252" w:lineRule="auto"/>
        <w:ind w:left="374" w:hanging="317"/>
      </w:pPr>
      <w:r>
        <w:rPr>
          <w:rFonts w:ascii="Arial" w:hAnsi="Arial" w:eastAsia="Arial"/>
          <w:b w:val="0"/>
          <w:i w:val="0"/>
          <w:color w:val="1F2937"/>
          <w:sz w:val="21"/>
        </w:rPr>
        <w:t xml:space="preserve">5. </w:t>
      </w:r>
      <w:r>
        <w:rPr>
          <w:rFonts w:ascii="Arial" w:hAnsi="Arial" w:eastAsia="Arial"/>
          <w:b w:val="0"/>
          <w:i w:val="0"/>
          <w:color w:val="1F2937"/>
          <w:sz w:val="21"/>
        </w:rPr>
        <w:t>Run the refresh, review the new target quarter and confirm that no prior-quarter range language remains in the connected newsletter.</w:t>
      </w:r>
    </w:p>
    <w:p>
      <w:pPr>
        <w:pStyle w:val="Heading1"/>
        <w:keepNext/>
        <w:spacing w:before="200" w:after="80"/>
      </w:pPr>
      <w:r>
        <w:rPr>
          <w:rFonts w:ascii="Arial" w:hAnsi="Arial" w:eastAsia="Arial"/>
          <w:b/>
          <w:i w:val="0"/>
          <w:color w:val="000000"/>
          <w:sz w:val="30"/>
        </w:rPr>
        <w:t>Operating controls</w:t>
      </w:r>
    </w:p>
    <w:p>
      <w:pPr>
        <w:pStyle w:val="ListBullet"/>
        <w:spacing w:after="60" w:line="252" w:lineRule="auto"/>
      </w:pPr>
      <w:r>
        <w:rPr>
          <w:rFonts w:ascii="Arial" w:hAnsi="Arial" w:eastAsia="Arial"/>
          <w:b w:val="0"/>
          <w:i w:val="0"/>
          <w:color w:val="1F2937"/>
          <w:sz w:val="21"/>
        </w:rPr>
        <w:t>One person should enter or revise data; a second person should review the source, units and forecast release mode.</w:t>
      </w:r>
    </w:p>
    <w:p>
      <w:pPr>
        <w:pStyle w:val="ListBullet"/>
        <w:spacing w:after="60" w:line="252" w:lineRule="auto"/>
      </w:pPr>
      <w:r>
        <w:rPr>
          <w:rFonts w:ascii="Arial" w:hAnsi="Arial" w:eastAsia="Arial"/>
          <w:b w:val="0"/>
          <w:i w:val="0"/>
          <w:color w:val="1F2937"/>
          <w:sz w:val="21"/>
        </w:rPr>
        <w:t>Do not manually overwrite formula cells in the generated forecast workbook. Change source data or approved settings, then rerun.</w:t>
      </w:r>
    </w:p>
    <w:p>
      <w:pPr>
        <w:pStyle w:val="ListBullet"/>
        <w:spacing w:after="60" w:line="252" w:lineRule="auto"/>
      </w:pPr>
      <w:r>
        <w:rPr>
          <w:rFonts w:ascii="Arial" w:hAnsi="Arial" w:eastAsia="Arial"/>
          <w:b w:val="0"/>
          <w:i w:val="0"/>
          <w:color w:val="1F2937"/>
          <w:sz w:val="21"/>
        </w:rPr>
        <w:t>Do not circulate the internal point estimate during range mode.</w:t>
      </w:r>
    </w:p>
    <w:p>
      <w:pPr>
        <w:pStyle w:val="ListBullet"/>
        <w:spacing w:after="60" w:line="252" w:lineRule="auto"/>
      </w:pPr>
      <w:r>
        <w:rPr>
          <w:rFonts w:ascii="Arial" w:hAnsi="Arial" w:eastAsia="Arial"/>
          <w:b w:val="0"/>
          <w:i w:val="0"/>
          <w:color w:val="1F2937"/>
          <w:sz w:val="21"/>
        </w:rPr>
        <w:t>Keep the original newsletter template unchanged and publish from the connected copy.</w:t>
      </w:r>
    </w:p>
    <w:p>
      <w:pPr>
        <w:pStyle w:val="ListBullet"/>
        <w:spacing w:after="60" w:line="252" w:lineRule="auto"/>
      </w:pPr>
      <w:r>
        <w:rPr>
          <w:rFonts w:ascii="Arial" w:hAnsi="Arial" w:eastAsia="Arial"/>
          <w:b w:val="0"/>
          <w:i w:val="0"/>
          <w:color w:val="1F2937"/>
          <w:sz w:val="21"/>
        </w:rPr>
        <w:t>Record source revisions, range approvals and publication dates in the team's normal audit log.</w:t>
      </w:r>
    </w:p>
    <w:p>
      <w:pPr>
        <w:pStyle w:val="Heading1"/>
        <w:keepNext/>
        <w:spacing w:before="200" w:after="80"/>
      </w:pPr>
      <w:r>
        <w:rPr>
          <w:rFonts w:ascii="Arial" w:hAnsi="Arial" w:eastAsia="Arial"/>
          <w:b/>
          <w:i w:val="0"/>
          <w:color w:val="000000"/>
          <w:sz w:val="30"/>
        </w:rPr>
        <w:t>Command reference</w:t>
      </w:r>
    </w:p>
    <w:p>
      <w:pPr>
        <w:keepNext w:val="0"/>
        <w:spacing w:after="120" w:line="259" w:lineRule="auto"/>
      </w:pPr>
      <w:r>
        <w:rPr>
          <w:rFonts w:ascii="Arial" w:hAnsi="Arial" w:eastAsia="Arial"/>
          <w:b w:val="0"/>
          <w:i w:val="0"/>
          <w:color w:val="1F2937"/>
          <w:sz w:val="21"/>
        </w:rPr>
        <w:t>Standard refresh</w:t>
      </w:r>
    </w:p>
    <w:p>
      <w:pPr>
        <w:spacing w:before="60" w:after="120"/>
        <w:ind w:left="360" w:right="216"/>
        <w:shd w:fill="F4F6F8"/>
      </w:pPr>
      <w:r>
        <w:rPr>
          <w:rFonts w:ascii="Consolas" w:hAnsi="Consolas" w:eastAsia="Consolas"/>
          <w:b w:val="0"/>
          <w:i w:val="0"/>
          <w:color w:val="000000"/>
          <w:sz w:val="18"/>
        </w:rPr>
        <w:t>cd "C:\Users\eakan\Documents\CAPE-ERC\CAPE Inflation Forecasting Model\Nigeria GDP Nowcasting"</w:t>
        <w:br/>
        <w:t>&amp; ".\Refresh Nigeria GDP Nowcast.ps1"</w:t>
      </w:r>
    </w:p>
    <w:p>
      <w:pPr>
        <w:keepNext w:val="0"/>
        <w:spacing w:after="120" w:line="259" w:lineRule="auto"/>
      </w:pPr>
      <w:r>
        <w:rPr>
          <w:rFonts w:ascii="Arial" w:hAnsi="Arial" w:eastAsia="Arial"/>
          <w:b w:val="0"/>
          <w:i w:val="0"/>
          <w:color w:val="1F2937"/>
          <w:sz w:val="21"/>
        </w:rPr>
        <w:t>Temporary execution-policy bypass</w:t>
      </w:r>
    </w:p>
    <w:p>
      <w:pPr>
        <w:spacing w:before="60" w:after="120"/>
        <w:ind w:left="360" w:right="216"/>
        <w:shd w:fill="F4F6F8"/>
      </w:pPr>
      <w:r>
        <w:rPr>
          <w:rFonts w:ascii="Consolas" w:hAnsi="Consolas" w:eastAsia="Consolas"/>
          <w:b w:val="0"/>
          <w:i w:val="0"/>
          <w:color w:val="000000"/>
          <w:sz w:val="18"/>
        </w:rPr>
        <w:t>Set-ExecutionPolicy -Scope Process -ExecutionPolicy Bypass</w:t>
        <w:br/>
        <w:t>&amp; ".\Refresh Nigeria GDP Nowcast.ps1"</w:t>
      </w:r>
    </w:p>
    <w:p>
      <w:pPr>
        <w:pStyle w:val="Heading1"/>
        <w:keepNext/>
        <w:spacing w:before="200" w:after="80"/>
      </w:pPr>
      <w:r>
        <w:rPr>
          <w:rFonts w:ascii="Arial" w:hAnsi="Arial" w:eastAsia="Arial"/>
          <w:b/>
          <w:i w:val="0"/>
          <w:color w:val="000000"/>
          <w:sz w:val="30"/>
        </w:rPr>
        <w:t>Change record</w:t>
      </w:r>
    </w:p>
    <w:tbl>
      <w:tblPr>
        <w:tblW w:type="auto" w:w="0"/>
        <w:jc w:val="center"/>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3331"/>
        <w:gridCol w:w="3331"/>
        <w:gridCol w:w="3331"/>
      </w:tblGrid>
      <w:tr>
        <w:trPr>
          <w:tblHeader w:val="true"/>
          <w:cantSplit/>
        </w:trPr>
        <w:tc>
          <w:tcPr>
            <w:tcW w:type="dxa" w:w="1152"/>
            <w:vAlign w:val="center"/>
            <w:shd w:fill="1F4E78"/>
            <w:tcMar>
              <w:top w:w="100" w:type="dxa"/>
              <w:start w:w="120" w:type="dxa"/>
              <w:bottom w:w="100" w:type="dxa"/>
              <w:end w:w="120" w:type="dxa"/>
            </w:tcMar>
          </w:tcPr>
          <w:p>
            <w:pPr>
              <w:spacing w:after="0"/>
            </w:pPr>
            <w:r/>
            <w:r>
              <w:rPr>
                <w:rFonts w:ascii="Arial" w:hAnsi="Arial" w:eastAsia="Arial"/>
                <w:b/>
                <w:i w:val="0"/>
                <w:color w:val="FFFFFF"/>
                <w:sz w:val="17"/>
              </w:rPr>
              <w:t>Version</w:t>
            </w:r>
          </w:p>
        </w:tc>
        <w:tc>
          <w:tcPr>
            <w:tcW w:type="dxa" w:w="1944"/>
            <w:vAlign w:val="center"/>
            <w:shd w:fill="1F4E78"/>
            <w:tcMar>
              <w:top w:w="100" w:type="dxa"/>
              <w:start w:w="120" w:type="dxa"/>
              <w:bottom w:w="100" w:type="dxa"/>
              <w:end w:w="120" w:type="dxa"/>
            </w:tcMar>
          </w:tcPr>
          <w:p>
            <w:pPr>
              <w:spacing w:after="0"/>
            </w:pPr>
            <w:r/>
            <w:r>
              <w:rPr>
                <w:rFonts w:ascii="Arial" w:hAnsi="Arial" w:eastAsia="Arial"/>
                <w:b/>
                <w:i w:val="0"/>
                <w:color w:val="FFFFFF"/>
                <w:sz w:val="17"/>
              </w:rPr>
              <w:t>Date</w:t>
            </w:r>
          </w:p>
        </w:tc>
        <w:tc>
          <w:tcPr>
            <w:tcW w:type="dxa" w:w="6912"/>
            <w:vAlign w:val="center"/>
            <w:shd w:fill="1F4E78"/>
            <w:tcMar>
              <w:top w:w="100" w:type="dxa"/>
              <w:start w:w="120" w:type="dxa"/>
              <w:bottom w:w="100" w:type="dxa"/>
              <w:end w:w="120" w:type="dxa"/>
            </w:tcMar>
          </w:tcPr>
          <w:p>
            <w:pPr>
              <w:spacing w:after="0"/>
            </w:pPr>
            <w:r/>
            <w:r>
              <w:rPr>
                <w:rFonts w:ascii="Arial" w:hAnsi="Arial" w:eastAsia="Arial"/>
                <w:b/>
                <w:i w:val="0"/>
                <w:color w:val="FFFFFF"/>
                <w:sz w:val="17"/>
              </w:rPr>
              <w:t>Change</w:t>
            </w:r>
          </w:p>
        </w:tc>
      </w:tr>
      <w:tr>
        <w:trPr>
          <w:cantSplit/>
        </w:trPr>
        <w:tc>
          <w:tcPr>
            <w:tcW w:type="dxa" w:w="1152"/>
            <w:vAlign w:val="center"/>
            <w:tcMar>
              <w:top w:w="100" w:type="dxa"/>
              <w:start w:w="120" w:type="dxa"/>
              <w:bottom w:w="100" w:type="dxa"/>
              <w:end w:w="120" w:type="dxa"/>
            </w:tcMar>
          </w:tcPr>
          <w:p>
            <w:pPr>
              <w:spacing w:after="0" w:line="240" w:lineRule="auto"/>
            </w:pPr>
            <w:r/>
            <w:r>
              <w:rPr>
                <w:rFonts w:ascii="Arial" w:hAnsi="Arial" w:eastAsia="Arial"/>
                <w:b w:val="0"/>
                <w:i w:val="0"/>
                <w:color w:val="1F2937"/>
                <w:sz w:val="17"/>
              </w:rPr>
              <w:t>1.0</w:t>
            </w:r>
          </w:p>
        </w:tc>
        <w:tc>
          <w:tcPr>
            <w:tcW w:type="dxa" w:w="1944"/>
            <w:vAlign w:val="center"/>
            <w:tcMar>
              <w:top w:w="100" w:type="dxa"/>
              <w:start w:w="120" w:type="dxa"/>
              <w:bottom w:w="100" w:type="dxa"/>
              <w:end w:w="120" w:type="dxa"/>
            </w:tcMar>
          </w:tcPr>
          <w:p>
            <w:pPr>
              <w:spacing w:after="0" w:line="240" w:lineRule="auto"/>
            </w:pPr>
            <w:r/>
            <w:r>
              <w:rPr>
                <w:rFonts w:ascii="Arial" w:hAnsi="Arial" w:eastAsia="Arial"/>
                <w:b w:val="0"/>
                <w:i w:val="0"/>
                <w:color w:val="1F2937"/>
                <w:sz w:val="17"/>
              </w:rPr>
              <w:t>4 September 2026</w:t>
            </w:r>
          </w:p>
        </w:tc>
        <w:tc>
          <w:tcPr>
            <w:tcW w:type="dxa" w:w="6912"/>
            <w:vAlign w:val="center"/>
            <w:tcMar>
              <w:top w:w="100" w:type="dxa"/>
              <w:start w:w="120" w:type="dxa"/>
              <w:bottom w:w="100" w:type="dxa"/>
              <w:end w:w="120" w:type="dxa"/>
            </w:tcMar>
          </w:tcPr>
          <w:p>
            <w:pPr>
              <w:spacing w:after="0" w:line="240" w:lineRule="auto"/>
            </w:pPr>
            <w:r/>
            <w:r>
              <w:rPr>
                <w:rFonts w:ascii="Arial" w:hAnsi="Arial" w:eastAsia="Arial"/>
                <w:b w:val="0"/>
                <w:i w:val="0"/>
                <w:color w:val="1F2937"/>
                <w:sz w:val="17"/>
              </w:rPr>
              <w:t>Initial end-to-end operating manual. Includes incomplete-data range mode, three-month point-forecast gate and newsletter publication workflow.</w:t>
            </w:r>
          </w:p>
        </w:tc>
      </w:tr>
    </w:tbl>
    <w:p>
      <w:pPr>
        <w:spacing w:after="40"/>
      </w:pPr>
    </w:p>
    <w:sectPr w:rsidR="00FC693F" w:rsidRPr="0006063C" w:rsidSect="00034616">
      <w:headerReference w:type="default" r:id="rId9"/>
      <w:footerReference w:type="default" r:id="rId10"/>
      <w:pgSz w:w="12240" w:h="15840"/>
      <w:pgMar w:top="1037" w:right="1123" w:bottom="979"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2" w:val="left"/>
      </w:tabs>
      <w:jc w:val="right"/>
    </w:pPr>
    <w:r/>
    <w:r>
      <w:rPr>
        <w:rFonts w:ascii="Arial" w:hAnsi="Arial" w:eastAsia="Arial"/>
        <w:b w:val="0"/>
        <w:i w:val="0"/>
        <w:color w:val="595959"/>
        <w:sz w:val="17"/>
      </w:rPr>
      <w:t>Nigeria GDP Nowcast Operations Manual</w:t>
    </w:r>
    <w:r>
      <w:rPr>
        <w:rFonts w:ascii="Arial" w:hAnsi="Arial" w:eastAsia="Arial"/>
        <w:b w:val="0"/>
        <w:i w:val="0"/>
        <w:color w:val="595959"/>
        <w:sz w:val="17"/>
      </w:rPr>
      <w:tab/>
    </w:r>
    <w:r>
      <w:rPr>
        <w:rFonts w:ascii="Arial" w:hAnsi="Arial" w:eastAsia="Arial"/>
        <w:b w:val="0"/>
        <w:i w:val="0"/>
        <w:color w:val="595959"/>
        <w:sz w:val="17"/>
      </w:rPr>
      <w:t xml:space="preserve">Page </w:t>
    </w:r>
    <w:fldSimple w:instr="PAGE">
      <w: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Arial" w:hAnsi="Arial" w:eastAsia="Arial"/>
        <w:b/>
        <w:i w:val="0"/>
        <w:color w:val="595959"/>
        <w:sz w:val="17"/>
      </w:rPr>
      <w:t>CAPE Economic Research and Consulting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rial" w:hAnsi="Arial"/>
      <w:color w:val="1F293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60" w:line="240" w:lineRule="auto"/>
      <w:contextualSpacing/>
    </w:pPr>
    <w:rPr>
      <w:rFonts w:asciiTheme="majorHAnsi" w:eastAsiaTheme="majorEastAsia" w:hAnsiTheme="majorHAnsi" w:cstheme="majorBidi" w:ascii="Arial" w:hAnsi="Arial"/>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