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2B4C"/>
          <w:sz w:val="44"/>
        </w:rPr>
        <w:t>Procedural Power and Policy Attention</w:t>
        <w:br/>
        <w:t>in the Mauritius National Assembly</w:t>
      </w:r>
    </w:p>
    <w:p>
      <w:pPr>
        <w:spacing w:after="480"/>
        <w:jc w:val="center"/>
      </w:pPr>
      <w:r>
        <w:rPr>
          <w:i/>
          <w:color w:val="555555"/>
          <w:sz w:val="26"/>
        </w:rPr>
        <w:t>A Reading Note on the Analytical Pipeline, Methods, and Findings</w:t>
      </w:r>
    </w:p>
    <w:p>
      <w:pPr>
        <w:jc w:val="center"/>
      </w:pPr>
      <w:r>
        <w:rPr>
          <w:color w:val="555555"/>
          <w:sz w:val="21"/>
        </w:rPr>
        <w:t>CAPE-ERC Parliamentary Research Project</w:t>
        <w:br/>
        <w:t>Corpus: 411 Hansard debates, 2015–2025 (404 parsed)</w:t>
      </w:r>
    </w:p>
    <w:p/>
    <w:p>
      <w:pPr>
        <w:spacing w:after="160"/>
      </w:pPr>
      <w:r>
        <w:rPr>
          <w:b w:val="0"/>
          <w:i/>
          <w:sz w:val="21"/>
        </w:rPr>
        <w:t>This note summarizes the full analytical pipeline built for this project: what was done at each stage, why it was necessary, what was formally tested, and how each result's robustness was established or qualified. It is written as a standalone reference — someone reading only this document should come away understanding the full arc of the research, not just its conclusions.</w:t>
      </w:r>
    </w:p>
    <w:p>
      <w:r>
        <w:br w:type="page"/>
      </w:r>
    </w:p>
    <w:p>
      <w:pPr>
        <w:pStyle w:val="Heading1"/>
      </w:pPr>
      <w:r>
        <w:rPr>
          <w:color w:val="1A2B4C"/>
        </w:rPr>
        <w:t>1. Research Question and Overall Design</w:t>
      </w:r>
    </w:p>
    <w:p>
      <w:pPr>
        <w:spacing w:after="160"/>
      </w:pPr>
      <w:r>
        <w:rPr>
          <w:b w:val="0"/>
          <w:i w:val="0"/>
          <w:sz w:val="21"/>
        </w:rPr>
        <w:t>The project asks whether control over parliamentary procedure — a Chair's rulings, interruptions, and the deferral of questions — is used asymmetrically to shape which policy topics receive sustained legislative attention. This is a question about the informal exercise of institutional power: none of these tools are irregular in themselves, but their use could in principle be tilted against whichever party does not hold office, or away from subjects a government would rather not dwell on. That cannot be assessed by impression; it requires reading the full debate record and testing specific, falsifiable claims against it.</w:t>
      </w:r>
    </w:p>
    <w:p>
      <w:pPr>
        <w:spacing w:after="160"/>
      </w:pPr>
      <w:r>
        <w:rPr>
          <w:b w:val="0"/>
          <w:i w:val="0"/>
          <w:sz w:val="21"/>
        </w:rPr>
        <w:t>Three hypotheses were formulated and tested independently:</w:t>
      </w:r>
    </w:p>
    <w:p>
      <w:pPr>
        <w:pStyle w:val="ListBullet"/>
        <w:spacing w:after="80"/>
      </w:pPr>
      <w:r>
        <w:rPr>
          <w:sz w:val="21"/>
        </w:rPr>
        <w:t>H1 (asymmetric enforcement) — does the Chair intervene more often when the opposition raises a given topic than when the government does?</w:t>
      </w:r>
    </w:p>
    <w:p>
      <w:pPr>
        <w:pStyle w:val="ListBullet"/>
        <w:spacing w:after="80"/>
      </w:pPr>
      <w:r>
        <w:rPr>
          <w:sz w:val="21"/>
        </w:rPr>
        <w:t>H2 (question deflection) — are questions on sensitive subjects deferred to a later sitting more often than routine ones?</w:t>
      </w:r>
    </w:p>
    <w:p>
      <w:pPr>
        <w:pStyle w:val="ListBullet"/>
        <w:spacing w:after="80"/>
      </w:pPr>
      <w:r>
        <w:rPr>
          <w:sz w:val="21"/>
        </w:rPr>
        <w:t>H3 (attention cooling) — does a procedurally contentious exchange on a topic reduce how much that topic is discussed afterward?</w:t>
      </w:r>
    </w:p>
    <w:p>
      <w:pPr>
        <w:spacing w:after="160"/>
      </w:pPr>
      <w:r>
        <w:rPr>
          <w:b w:val="0"/>
          <w:i w:val="0"/>
          <w:sz w:val="21"/>
        </w:rPr>
        <w:t>Testing any of these requires (a) knowing what was said and by whom, (b) knowing what policy topic each utterance concerns, (c) knowing which utterances involved a procedural event, and (d) linking those three things together statistically. The pipeline is built in exactly that order, as five layers, each one a precondition for the next:</w:t>
      </w:r>
    </w:p>
    <w:p>
      <w:pPr>
        <w:pStyle w:val="ListBullet"/>
        <w:spacing w:after="80"/>
      </w:pPr>
      <w:r>
        <w:rPr>
          <w:sz w:val="21"/>
        </w:rPr>
        <w:t>Layer 0 — Preprocessing: parse the raw Hansard PDFs into structured, speaker- and role-attributed utterances.</w:t>
      </w:r>
    </w:p>
    <w:p>
      <w:pPr>
        <w:pStyle w:val="ListBullet"/>
        <w:spacing w:after="80"/>
      </w:pPr>
      <w:r>
        <w:rPr>
          <w:sz w:val="21"/>
        </w:rPr>
        <w:t>Topic Layer — assign every substantive utterance a policy-topic label.</w:t>
      </w:r>
    </w:p>
    <w:p>
      <w:pPr>
        <w:pStyle w:val="ListBullet"/>
        <w:spacing w:after="80"/>
      </w:pPr>
      <w:r>
        <w:rPr>
          <w:sz w:val="21"/>
        </w:rPr>
        <w:t>Procedural Layer — tag every utterance for the five procedural-power phenomena of interest.</w:t>
      </w:r>
    </w:p>
    <w:p>
      <w:pPr>
        <w:pStyle w:val="ListBullet"/>
        <w:spacing w:after="80"/>
      </w:pPr>
      <w:r>
        <w:rPr>
          <w:sz w:val="21"/>
        </w:rPr>
        <w:t>Linking Layer — combine topic, procedure, and speaker party to test H1 and H2.</w:t>
      </w:r>
    </w:p>
    <w:p>
      <w:pPr>
        <w:pStyle w:val="ListBullet"/>
        <w:spacing w:after="80"/>
      </w:pPr>
      <w:r>
        <w:rPr>
          <w:sz w:val="21"/>
        </w:rPr>
        <w:t>Outcome Layer — build a topic-level time series to test H3.</w:t>
      </w:r>
    </w:p>
    <w:p>
      <w:pPr>
        <w:spacing w:after="160"/>
        <w:ind w:left="360"/>
      </w:pPr>
      <w:r>
        <w:rPr>
          <w:b/>
          <w:color w:val="1A2B4C"/>
          <w:sz w:val="21"/>
        </w:rPr>
        <w:t xml:space="preserve">Headline result:  </w:t>
      </w:r>
      <w:r>
        <w:rPr>
          <w:sz w:val="21"/>
        </w:rPr>
        <w:t>all three hypotheses returned genuine, adequately powered null results — no broad evidence that procedural power is being used to selectively suppress particular voices or topics, on any of the three specific mechanisms tested. Section 7 discusses why these are trustworthy nulls rather than an absence of evidence, and Section 8 states plainly what this finding does and does not establish.</w:t>
      </w:r>
    </w:p>
    <w:p>
      <w:r>
        <w:br w:type="page"/>
      </w:r>
    </w:p>
    <w:p>
      <w:pPr>
        <w:pStyle w:val="Heading1"/>
      </w:pPr>
      <w:r>
        <w:rPr>
          <w:color w:val="1A2B4C"/>
        </w:rPr>
        <w:t>2. Layer 0 — Preprocessing</w:t>
      </w:r>
    </w:p>
    <w:p>
      <w:pPr>
        <w:pStyle w:val="Heading2"/>
      </w:pPr>
      <w:r>
        <w:rPr>
          <w:color w:val="1A2B4C"/>
        </w:rPr>
        <w:t>What was done</w:t>
      </w:r>
    </w:p>
    <w:p>
      <w:pPr>
        <w:spacing w:after="160"/>
      </w:pPr>
      <w:r>
        <w:rPr>
          <w:b w:val="0"/>
          <w:i w:val="0"/>
          <w:sz w:val="21"/>
        </w:rPr>
        <w:t>Each debate PDF is parsed with pdfplumber and segmented into speaker-attributed utterances using a regular-expression tagging scheme built from Hansard's own formatting conventions — including multi-line “long-form” speaker tags such as “The Vice-Prime Minister, Minister of Energy and Public Utilities (Mr I. Collendavelloo):”. Each utterance's speaker role and party are resolved against that debate's own printed Cabinet and Principal Officers list — not a single static mapping — so that ministerial reshuffles across the eleven-year span are captured automatically at the sitting level. Stage directions (interruptions, sitting suspensions) are kept as their own structural signal rather than merged into speech. Language is identified per utterance (English / French / Kreol Morisien) using langdetect plus a Kreol keyword heuristic.</w:t>
      </w:r>
    </w:p>
    <w:p>
      <w:pPr>
        <w:pStyle w:val="Heading2"/>
      </w:pPr>
      <w:r>
        <w:rPr>
          <w:color w:val="1A2B4C"/>
        </w:rPr>
        <w:t>Why it was necessary</w:t>
      </w:r>
    </w:p>
    <w:p>
      <w:pPr>
        <w:spacing w:after="160"/>
      </w:pPr>
      <w:r>
        <w:rPr>
          <w:b w:val="0"/>
          <w:i w:val="0"/>
          <w:sz w:val="21"/>
        </w:rPr>
        <w:t>Every later layer depends on knowing who spoke, in what capacity, and in what language. A fixed role/party mapping would silently misattribute speech across reshuffles; treating stage directions as ordinary speech would contaminate the procedural-event tagging in Layer 3. This is the foundation the entire pipeline stands on, so its errors propagate forward if not caught here.</w:t>
      </w:r>
    </w:p>
    <w:p>
      <w:pPr>
        <w:pStyle w:val="Heading2"/>
      </w:pPr>
      <w:r>
        <w:rPr>
          <w:color w:val="1A2B4C"/>
        </w:rPr>
        <w:t>What was tested / validated</w:t>
      </w:r>
    </w:p>
    <w:p>
      <w:pPr>
        <w:spacing w:after="160"/>
      </w:pPr>
      <w:r>
        <w:rPr>
          <w:b w:val="0"/>
          <w:i w:val="0"/>
          <w:sz w:val="21"/>
        </w:rPr>
        <w:t>Parse success rate across all source PDFs, and the resulting role and language distributions, were checked for plausibility rather than assumed correct.</w:t>
      </w:r>
    </w:p>
    <w:tbl>
      <w:tblPr>
        <w:tblStyle w:val="LightGrid-Accent1"/>
        <w:tblW w:type="auto" w:w="0"/>
        <w:jc w:val="left"/>
        <w:tblLook w:firstColumn="1" w:firstRow="1" w:lastColumn="0" w:lastRow="0" w:noHBand="0" w:noVBand="1" w:val="04A0"/>
      </w:tblPr>
      <w:tblGrid>
        <w:gridCol w:w="4680"/>
        <w:gridCol w:w="4680"/>
      </w:tblGrid>
      <w:tr>
        <w:tc>
          <w:tcPr>
            <w:tcW w:type="dxa" w:w="4608"/>
            <w:shd w:fill="1A2B4C"/>
          </w:tcPr>
          <w:p>
            <w:r/>
            <w:r>
              <w:rPr>
                <w:b/>
                <w:color w:val="FFFFFF"/>
                <w:sz w:val="19"/>
              </w:rPr>
              <w:t>Metric</w:t>
            </w:r>
          </w:p>
        </w:tc>
        <w:tc>
          <w:tcPr>
            <w:tcW w:type="dxa" w:w="3600"/>
            <w:shd w:fill="1A2B4C"/>
          </w:tcPr>
          <w:p>
            <w:r/>
            <w:r>
              <w:rPr>
                <w:b/>
                <w:color w:val="FFFFFF"/>
                <w:sz w:val="19"/>
              </w:rPr>
              <w:t>Value</w:t>
            </w:r>
          </w:p>
        </w:tc>
      </w:tr>
      <w:tr>
        <w:tc>
          <w:tcPr>
            <w:tcW w:type="dxa" w:w="4608"/>
          </w:tcPr>
          <w:p>
            <w:r/>
            <w:r>
              <w:rPr>
                <w:sz w:val="19"/>
              </w:rPr>
              <w:t>Debates parsed</w:t>
            </w:r>
          </w:p>
        </w:tc>
        <w:tc>
          <w:tcPr>
            <w:tcW w:type="dxa" w:w="3600"/>
          </w:tcPr>
          <w:p>
            <w:r/>
            <w:r>
              <w:rPr>
                <w:sz w:val="19"/>
              </w:rPr>
              <w:t>404 of 405 (1 corrupted source PDF)</w:t>
            </w:r>
          </w:p>
        </w:tc>
      </w:tr>
      <w:tr>
        <w:tc>
          <w:tcPr>
            <w:tcW w:type="dxa" w:w="4608"/>
          </w:tcPr>
          <w:p>
            <w:r/>
            <w:r>
              <w:rPr>
                <w:sz w:val="19"/>
              </w:rPr>
              <w:t>Total utterance records</w:t>
            </w:r>
          </w:p>
        </w:tc>
        <w:tc>
          <w:tcPr>
            <w:tcW w:type="dxa" w:w="3600"/>
          </w:tcPr>
          <w:p>
            <w:r/>
            <w:r>
              <w:rPr>
                <w:sz w:val="19"/>
              </w:rPr>
              <w:t>211,567</w:t>
            </w:r>
          </w:p>
        </w:tc>
      </w:tr>
      <w:tr>
        <w:tc>
          <w:tcPr>
            <w:tcW w:type="dxa" w:w="4608"/>
          </w:tcPr>
          <w:p>
            <w:r/>
            <w:r>
              <w:rPr>
                <w:sz w:val="19"/>
              </w:rPr>
              <w:t>Dialogue utterances</w:t>
            </w:r>
          </w:p>
        </w:tc>
        <w:tc>
          <w:tcPr>
            <w:tcW w:type="dxa" w:w="3600"/>
          </w:tcPr>
          <w:p>
            <w:r/>
            <w:r>
              <w:rPr>
                <w:sz w:val="19"/>
              </w:rPr>
              <w:t>166,155</w:t>
            </w:r>
          </w:p>
        </w:tc>
      </w:tr>
      <w:tr>
        <w:tc>
          <w:tcPr>
            <w:tcW w:type="dxa" w:w="4608"/>
          </w:tcPr>
          <w:p>
            <w:r/>
            <w:r>
              <w:rPr>
                <w:sz w:val="19"/>
              </w:rPr>
              <w:t>Stage directions</w:t>
            </w:r>
          </w:p>
        </w:tc>
        <w:tc>
          <w:tcPr>
            <w:tcW w:type="dxa" w:w="3600"/>
          </w:tcPr>
          <w:p>
            <w:r/>
            <w:r>
              <w:rPr>
                <w:sz w:val="19"/>
              </w:rPr>
              <w:t>45,412</w:t>
            </w:r>
          </w:p>
        </w:tc>
      </w:tr>
      <w:tr>
        <w:tc>
          <w:tcPr>
            <w:tcW w:type="dxa" w:w="4608"/>
          </w:tcPr>
          <w:p>
            <w:r/>
            <w:r>
              <w:rPr>
                <w:sz w:val="19"/>
              </w:rPr>
              <w:t>English</w:t>
            </w:r>
          </w:p>
        </w:tc>
        <w:tc>
          <w:tcPr>
            <w:tcW w:type="dxa" w:w="3600"/>
          </w:tcPr>
          <w:p>
            <w:r/>
            <w:r>
              <w:rPr>
                <w:sz w:val="19"/>
              </w:rPr>
              <w:t>86.4%</w:t>
            </w:r>
          </w:p>
        </w:tc>
      </w:tr>
      <w:tr>
        <w:tc>
          <w:tcPr>
            <w:tcW w:type="dxa" w:w="4608"/>
          </w:tcPr>
          <w:p>
            <w:r/>
            <w:r>
              <w:rPr>
                <w:sz w:val="19"/>
              </w:rPr>
              <w:t>French</w:t>
            </w:r>
          </w:p>
        </w:tc>
        <w:tc>
          <w:tcPr>
            <w:tcW w:type="dxa" w:w="3600"/>
          </w:tcPr>
          <w:p>
            <w:r/>
            <w:r>
              <w:rPr>
                <w:sz w:val="19"/>
              </w:rPr>
              <w:t>6.2%</w:t>
            </w:r>
          </w:p>
        </w:tc>
      </w:tr>
      <w:tr>
        <w:tc>
          <w:tcPr>
            <w:tcW w:type="dxa" w:w="4608"/>
          </w:tcPr>
          <w:p>
            <w:r/>
            <w:r>
              <w:rPr>
                <w:sz w:val="19"/>
              </w:rPr>
              <w:t>Kreol Morisien</w:t>
            </w:r>
          </w:p>
        </w:tc>
        <w:tc>
          <w:tcPr>
            <w:tcW w:type="dxa" w:w="3600"/>
          </w:tcPr>
          <w:p>
            <w:r/>
            <w:r>
              <w:rPr>
                <w:sz w:val="19"/>
              </w:rPr>
              <w:t>4.0%</w:t>
            </w:r>
          </w:p>
        </w:tc>
      </w:tr>
      <w:tr>
        <w:tc>
          <w:tcPr>
            <w:tcW w:type="dxa" w:w="4608"/>
          </w:tcPr>
          <w:p>
            <w:r/>
            <w:r>
              <w:rPr>
                <w:sz w:val="19"/>
              </w:rPr>
              <w:t>Other / language-ID noise (long tail)</w:t>
            </w:r>
          </w:p>
        </w:tc>
        <w:tc>
          <w:tcPr>
            <w:tcW w:type="dxa" w:w="3600"/>
          </w:tcPr>
          <w:p>
            <w:r/>
            <w:r>
              <w:rPr>
                <w:sz w:val="19"/>
              </w:rPr>
              <w:t>3.4%</w:t>
            </w:r>
          </w:p>
        </w:tc>
      </w:tr>
    </w:tbl>
    <w:p/>
    <w:p>
      <w:pPr>
        <w:pStyle w:val="Heading2"/>
      </w:pPr>
      <w:r>
        <w:rPr>
          <w:color w:val="1A2B4C"/>
        </w:rPr>
        <w:t>Robustness: a real gap found and fixed</w:t>
      </w:r>
    </w:p>
    <w:p>
      <w:pPr>
        <w:spacing w:after="160"/>
      </w:pPr>
      <w:r>
        <w:rPr>
          <w:b w:val="0"/>
          <w:i w:val="0"/>
          <w:sz w:val="21"/>
        </w:rPr>
        <w:t>An initial role-resolution pass left 45,546 dialogue utterances (27.4% of the total) unclassified. Investigating why found that generic role titles — “The Deputy Speaker,” “The Deputy Prime Minister,” “The Chairperson” — were not matched by the original role patterns. This was corrected in the role-resolution code and the corpus reprocessed: 20,064 utterances moved out of the unclassified bucket into their correct chair or government role. The remaining unclassified utterances are predominantly backbench MPs, whose party affiliation required a separate, dedicated resolution effort described in Section 5.</w:t>
      </w:r>
    </w:p>
    <w:p>
      <w:pPr>
        <w:spacing w:after="160"/>
      </w:pPr>
      <w:r>
        <w:rPr>
          <w:b w:val="0"/>
          <w:i w:val="0"/>
          <w:sz w:val="21"/>
        </w:rPr>
        <w:t>One deliberate methodology deviation is documented rather than silently applied: the original specification called for fastText-based language identification, which requires a C++ build toolchain unavailable in the development environment. langdetect, supplemented by a Kreol Morisien keyword heuristic, was substituted instead.</w:t>
      </w:r>
    </w:p>
    <w:p>
      <w:r>
        <w:br w:type="page"/>
      </w:r>
    </w:p>
    <w:p>
      <w:pPr>
        <w:pStyle w:val="Heading1"/>
      </w:pPr>
      <w:r>
        <w:rPr>
          <w:color w:val="1A2B4C"/>
        </w:rPr>
        <w:t>3. Topic Layer</w:t>
      </w:r>
    </w:p>
    <w:p>
      <w:pPr>
        <w:pStyle w:val="Heading2"/>
      </w:pPr>
      <w:r>
        <w:rPr>
          <w:color w:val="1A2B4C"/>
        </w:rPr>
        <w:t>What was done</w:t>
      </w:r>
    </w:p>
    <w:p>
      <w:pPr>
        <w:spacing w:after="160"/>
      </w:pPr>
      <w:r>
        <w:rPr>
          <w:b w:val="0"/>
          <w:i w:val="0"/>
          <w:sz w:val="21"/>
        </w:rPr>
        <w:t>This layer assigns every substantive utterance a policy-topic label, in two stages. Stage 1 is unsupervised: 159,913 substantive utterances were clustered with a multilingual sentence-embedding model (chosen because the corpus genuinely code-switches between English, French, and Kreol), producing 199 topic clusters. The initial fit left roughly 48% of utterances unassigned as outliers; because the analytic framework requires a label for every utterance, outliers were reassigned to their nearest topic by embedding similarity. All 199 clusters were then reviewed and labeled by hand — not just skimmed — and sorted into six categories: Policy, Governance, Procedure, Procedure/Noise, Discourse/Noise, and Language/Noise.</w:t>
      </w:r>
    </w:p>
    <w:p>
      <w:pPr>
        <w:spacing w:after="160"/>
      </w:pPr>
      <w:r>
        <w:rPr>
          <w:b w:val="0"/>
          <w:i w:val="0"/>
          <w:sz w:val="21"/>
        </w:rPr>
        <w:t>Stage 2 trains a supervised classifier so the resulting labels can be applied reliably at full corpus scale and, more importantly, so the Policy/non-Policy distinction (the one the later hypotheses actually use) is made by a model optimized for it rather than inherited unchanged from the unsupervised clusters. Two architectures were built and compared head-to-head on the same held-out, naturally-distributed test set (68.9% non_policy — the corpus's true prevalence, not a downsampled pool):</w:t>
      </w:r>
    </w:p>
    <w:tbl>
      <w:tblPr>
        <w:tblStyle w:val="LightGrid-Accent1"/>
        <w:tblW w:type="auto" w:w="0"/>
        <w:jc w:val="left"/>
        <w:tblLook w:firstColumn="1" w:firstRow="1" w:lastColumn="0" w:lastRow="0" w:noHBand="0" w:noVBand="1" w:val="04A0"/>
      </w:tblPr>
      <w:tblGrid>
        <w:gridCol w:w="3120"/>
        <w:gridCol w:w="3120"/>
        <w:gridCol w:w="3120"/>
      </w:tblGrid>
      <w:tr>
        <w:tc>
          <w:tcPr>
            <w:tcW w:type="dxa" w:w="6048"/>
            <w:shd w:fill="1A2B4C"/>
          </w:tcPr>
          <w:p>
            <w:r/>
            <w:r>
              <w:rPr>
                <w:b/>
                <w:color w:val="FFFFFF"/>
                <w:sz w:val="19"/>
              </w:rPr>
              <w:t>Model</w:t>
            </w:r>
          </w:p>
        </w:tc>
        <w:tc>
          <w:tcPr>
            <w:tcW w:type="dxa" w:w="1728"/>
            <w:shd w:fill="1A2B4C"/>
          </w:tcPr>
          <w:p>
            <w:r/>
            <w:r>
              <w:rPr>
                <w:b/>
                <w:color w:val="FFFFFF"/>
                <w:sz w:val="19"/>
              </w:rPr>
              <w:t>Accuracy</w:t>
            </w:r>
          </w:p>
        </w:tc>
        <w:tc>
          <w:tcPr>
            <w:tcW w:type="dxa" w:w="1728"/>
            <w:shd w:fill="1A2B4C"/>
          </w:tcPr>
          <w:p>
            <w:r/>
            <w:r>
              <w:rPr>
                <w:b/>
                <w:color w:val="FFFFFF"/>
                <w:sz w:val="19"/>
              </w:rPr>
              <w:t>Macro F1</w:t>
            </w:r>
          </w:p>
        </w:tc>
      </w:tr>
      <w:tr>
        <w:tc>
          <w:tcPr>
            <w:tcW w:type="dxa" w:w="6048"/>
          </w:tcPr>
          <w:p>
            <w:r/>
            <w:r>
              <w:rPr>
                <w:sz w:val="19"/>
              </w:rPr>
              <w:t>v1 — single-stage, 51-way classifier</w:t>
            </w:r>
          </w:p>
        </w:tc>
        <w:tc>
          <w:tcPr>
            <w:tcW w:type="dxa" w:w="1728"/>
          </w:tcPr>
          <w:p>
            <w:r/>
            <w:r>
              <w:rPr>
                <w:sz w:val="19"/>
              </w:rPr>
              <w:t>79.2%</w:t>
            </w:r>
          </w:p>
        </w:tc>
        <w:tc>
          <w:tcPr>
            <w:tcW w:type="dxa" w:w="1728"/>
          </w:tcPr>
          <w:p>
            <w:r/>
            <w:r>
              <w:rPr>
                <w:sz w:val="19"/>
              </w:rPr>
              <w:t>0.644</w:t>
            </w:r>
          </w:p>
        </w:tc>
      </w:tr>
      <w:tr>
        <w:tc>
          <w:tcPr>
            <w:tcW w:type="dxa" w:w="6048"/>
          </w:tcPr>
          <w:p>
            <w:r/>
            <w:r>
              <w:rPr>
                <w:sz w:val="19"/>
              </w:rPr>
              <w:t>v2 — two-stage: Policy/non_policy gate → 50-way domain classifier</w:t>
            </w:r>
          </w:p>
        </w:tc>
        <w:tc>
          <w:tcPr>
            <w:tcW w:type="dxa" w:w="1728"/>
          </w:tcPr>
          <w:p>
            <w:r/>
            <w:r>
              <w:rPr>
                <w:sz w:val="19"/>
              </w:rPr>
              <w:t>84.7%</w:t>
            </w:r>
          </w:p>
        </w:tc>
        <w:tc>
          <w:tcPr>
            <w:tcW w:type="dxa" w:w="1728"/>
          </w:tcPr>
          <w:p>
            <w:r/>
            <w:r>
              <w:rPr>
                <w:sz w:val="19"/>
              </w:rPr>
              <w:t>0.680</w:t>
            </w:r>
          </w:p>
        </w:tc>
      </w:tr>
    </w:tbl>
    <w:p/>
    <w:p>
      <w:pPr>
        <w:pStyle w:val="Heading2"/>
      </w:pPr>
      <w:r>
        <w:rPr>
          <w:color w:val="1A2B4C"/>
        </w:rPr>
        <w:t>Why it was designed this way</w:t>
      </w:r>
    </w:p>
    <w:p>
      <w:pPr>
        <w:spacing w:after="160"/>
      </w:pPr>
      <w:r>
        <w:rPr>
          <w:b w:val="0"/>
          <w:i w:val="0"/>
          <w:sz w:val="21"/>
        </w:rPr>
        <w:t>v2 tests a specific hypothesis: that most of v1's error came from the non_policy catch-all category confusing edge cases, not from genuine difficulty telling the 50 policy domains apart from one another. This is a cheap, targeted architecture change (a gate plus a conditional classifier) rather than a bigger model, and the comparison confirmed the hypothesis — v2 is the model used by every downstream layer.</w:t>
      </w:r>
    </w:p>
    <w:p>
      <w:pPr>
        <w:pStyle w:val="Heading2"/>
      </w:pPr>
      <w:r>
        <w:rPr>
          <w:color w:val="1A2B4C"/>
        </w:rPr>
        <w:t>Robustness</w:t>
      </w:r>
    </w:p>
    <w:p>
      <w:pPr>
        <w:spacing w:after="160"/>
      </w:pPr>
      <w:r>
        <w:rPr>
          <w:b w:val="0"/>
          <w:i w:val="0"/>
          <w:sz w:val="21"/>
        </w:rPr>
        <w:t>A methodological correction is worth flagging on its own: an earlier, informally reported figure for v1 (79% accuracy / 0.78 macro F1) had been measured on a downsampled, class-balanced evaluation pool, not the corpus's true class distribution. Re-evaluating both models on the same naturally distributed held-out set (the numbers in the table above) is the fair, apples-to-apples comparison the downstream layers actually rely on — the macro F1 for v1 drops from an apparent 0.78 to a real 0.644 once measured this way, which meaningfully changes how much the topic labels should be trusted at the margins.</w:t>
      </w:r>
    </w:p>
    <w:p>
      <w:pPr>
        <w:spacing w:after="160"/>
      </w:pPr>
      <w:r>
        <w:rPr>
          <w:b w:val="0"/>
          <w:i w:val="0"/>
          <w:sz w:val="21"/>
        </w:rPr>
        <w:t>Cluster quality was also checked quantitatively (mean topic coherence, c_v = 0.48, with 0% of utterances left unassigned after outlier reassignment) rather than relying solely on the human review.</w:t>
      </w:r>
    </w:p>
    <w:p>
      <w:pPr>
        <w:pStyle w:val="Heading2"/>
      </w:pPr>
      <w:r>
        <w:rPr>
          <w:color w:val="1A2B4C"/>
        </w:rPr>
        <w:t>Key numbers</w:t>
      </w:r>
    </w:p>
    <w:tbl>
      <w:tblPr>
        <w:tblStyle w:val="LightGrid-Accent1"/>
        <w:tblW w:type="auto" w:w="0"/>
        <w:jc w:val="left"/>
        <w:tblLook w:firstColumn="1" w:firstRow="1" w:lastColumn="0" w:lastRow="0" w:noHBand="0" w:noVBand="1" w:val="04A0"/>
      </w:tblPr>
      <w:tblGrid>
        <w:gridCol w:w="4680"/>
        <w:gridCol w:w="4680"/>
      </w:tblGrid>
      <w:tr>
        <w:tc>
          <w:tcPr>
            <w:tcW w:type="dxa" w:w="5040"/>
            <w:shd w:fill="1A2B4C"/>
          </w:tcPr>
          <w:p>
            <w:r/>
            <w:r>
              <w:rPr>
                <w:b/>
                <w:color w:val="FFFFFF"/>
                <w:sz w:val="19"/>
              </w:rPr>
              <w:t>Category</w:t>
            </w:r>
          </w:p>
        </w:tc>
        <w:tc>
          <w:tcPr>
            <w:tcW w:type="dxa" w:w="2160"/>
            <w:shd w:fill="1A2B4C"/>
          </w:tcPr>
          <w:p>
            <w:r/>
            <w:r>
              <w:rPr>
                <w:b/>
                <w:color w:val="FFFFFF"/>
                <w:sz w:val="19"/>
              </w:rPr>
              <w:t>Topics</w:t>
            </w:r>
          </w:p>
        </w:tc>
      </w:tr>
      <w:tr>
        <w:tc>
          <w:tcPr>
            <w:tcW w:type="dxa" w:w="5040"/>
          </w:tcPr>
          <w:p>
            <w:r/>
            <w:r>
              <w:rPr>
                <w:sz w:val="19"/>
              </w:rPr>
              <w:t>Policy</w:t>
            </w:r>
          </w:p>
        </w:tc>
        <w:tc>
          <w:tcPr>
            <w:tcW w:type="dxa" w:w="2160"/>
          </w:tcPr>
          <w:p>
            <w:r/>
            <w:r>
              <w:rPr>
                <w:sz w:val="19"/>
              </w:rPr>
              <w:t>50</w:t>
            </w:r>
          </w:p>
        </w:tc>
      </w:tr>
      <w:tr>
        <w:tc>
          <w:tcPr>
            <w:tcW w:type="dxa" w:w="5040"/>
          </w:tcPr>
          <w:p>
            <w:r/>
            <w:r>
              <w:rPr>
                <w:sz w:val="19"/>
              </w:rPr>
              <w:t>Governance</w:t>
            </w:r>
          </w:p>
        </w:tc>
        <w:tc>
          <w:tcPr>
            <w:tcW w:type="dxa" w:w="2160"/>
          </w:tcPr>
          <w:p>
            <w:r/>
            <w:r>
              <w:rPr>
                <w:sz w:val="19"/>
              </w:rPr>
              <w:t>16</w:t>
            </w:r>
          </w:p>
        </w:tc>
      </w:tr>
      <w:tr>
        <w:tc>
          <w:tcPr>
            <w:tcW w:type="dxa" w:w="5040"/>
          </w:tcPr>
          <w:p>
            <w:r/>
            <w:r>
              <w:rPr>
                <w:sz w:val="19"/>
              </w:rPr>
              <w:t>Procedure</w:t>
            </w:r>
          </w:p>
        </w:tc>
        <w:tc>
          <w:tcPr>
            <w:tcW w:type="dxa" w:w="2160"/>
          </w:tcPr>
          <w:p>
            <w:r/>
            <w:r>
              <w:rPr>
                <w:sz w:val="19"/>
              </w:rPr>
              <w:t>62</w:t>
            </w:r>
          </w:p>
        </w:tc>
      </w:tr>
      <w:tr>
        <w:tc>
          <w:tcPr>
            <w:tcW w:type="dxa" w:w="5040"/>
          </w:tcPr>
          <w:p>
            <w:r/>
            <w:r>
              <w:rPr>
                <w:sz w:val="19"/>
              </w:rPr>
              <w:t>Procedure / Noise</w:t>
            </w:r>
          </w:p>
        </w:tc>
        <w:tc>
          <w:tcPr>
            <w:tcW w:type="dxa" w:w="2160"/>
          </w:tcPr>
          <w:p>
            <w:r/>
            <w:r>
              <w:rPr>
                <w:sz w:val="19"/>
              </w:rPr>
              <w:t>51</w:t>
            </w:r>
          </w:p>
        </w:tc>
      </w:tr>
      <w:tr>
        <w:tc>
          <w:tcPr>
            <w:tcW w:type="dxa" w:w="5040"/>
          </w:tcPr>
          <w:p>
            <w:r/>
            <w:r>
              <w:rPr>
                <w:sz w:val="19"/>
              </w:rPr>
              <w:t>Discourse / Noise</w:t>
            </w:r>
          </w:p>
        </w:tc>
        <w:tc>
          <w:tcPr>
            <w:tcW w:type="dxa" w:w="2160"/>
          </w:tcPr>
          <w:p>
            <w:r/>
            <w:r>
              <w:rPr>
                <w:sz w:val="19"/>
              </w:rPr>
              <w:t>14</w:t>
            </w:r>
          </w:p>
        </w:tc>
      </w:tr>
      <w:tr>
        <w:tc>
          <w:tcPr>
            <w:tcW w:type="dxa" w:w="5040"/>
          </w:tcPr>
          <w:p>
            <w:r/>
            <w:r>
              <w:rPr>
                <w:sz w:val="19"/>
              </w:rPr>
              <w:t>Language / Noise</w:t>
            </w:r>
          </w:p>
        </w:tc>
        <w:tc>
          <w:tcPr>
            <w:tcW w:type="dxa" w:w="2160"/>
          </w:tcPr>
          <w:p>
            <w:r/>
            <w:r>
              <w:rPr>
                <w:sz w:val="19"/>
              </w:rPr>
              <w:t>6</w:t>
            </w:r>
          </w:p>
        </w:tc>
      </w:tr>
      <w:tr>
        <w:tc>
          <w:tcPr>
            <w:tcW w:type="dxa" w:w="5040"/>
          </w:tcPr>
          <w:p>
            <w:r/>
            <w:r>
              <w:rPr>
                <w:sz w:val="19"/>
              </w:rPr>
              <w:t>Total (all human-reviewed)</w:t>
            </w:r>
          </w:p>
        </w:tc>
        <w:tc>
          <w:tcPr>
            <w:tcW w:type="dxa" w:w="2160"/>
          </w:tcPr>
          <w:p>
            <w:r/>
            <w:r>
              <w:rPr>
                <w:sz w:val="19"/>
              </w:rPr>
              <w:t>199</w:t>
            </w:r>
          </w:p>
        </w:tc>
      </w:tr>
    </w:tbl>
    <w:p/>
    <w:p>
      <w:pPr>
        <w:spacing w:after="160"/>
      </w:pPr>
      <w:r>
        <w:rPr>
          <w:b w:val="0"/>
          <w:i w:val="0"/>
          <w:sz w:val="20"/>
        </w:rPr>
        <w:t>Of 159,913 classified utterances, 58,624 (36.7%) were assigned one of the 50 Policy domains and the remaining 101,289 (63.3%) as non_policy. Human-review confidence was High for 167 topics, Medium for 27, and Low for 5.</w:t>
      </w:r>
    </w:p>
    <w:p>
      <w:r>
        <w:br w:type="page"/>
      </w:r>
    </w:p>
    <w:p>
      <w:pPr>
        <w:pStyle w:val="Heading1"/>
      </w:pPr>
      <w:r>
        <w:rPr>
          <w:color w:val="1A2B4C"/>
        </w:rPr>
        <w:t>4. Procedural Layer</w:t>
      </w:r>
    </w:p>
    <w:p>
      <w:pPr>
        <w:pStyle w:val="Heading2"/>
      </w:pPr>
      <w:r>
        <w:rPr>
          <w:color w:val="1A2B4C"/>
        </w:rPr>
        <w:t>What was done</w:t>
      </w:r>
    </w:p>
    <w:p>
      <w:pPr>
        <w:spacing w:after="160"/>
      </w:pPr>
      <w:r>
        <w:rPr>
          <w:b w:val="0"/>
          <w:i w:val="0"/>
          <w:sz w:val="21"/>
        </w:rPr>
        <w:t>This layer tags every utterance for five procedural-power phenomena: chair_ruling, interruption, withdrawal_request, so_citation (a Standing Order citation), and pnq_transfer (a question reassigned to a later reply). A rule-based tagger was built first, using regular expressions grounded in real matches pulled from the corpus rather than assumed from the tag names — for example, generic “transfer” or plain “PNQ” keyword searches were mostly false positives (fund transfers, routine question headers), and the Table's formulaic “will be replied by” reassignment announcement turned out to be the actually reliable signal. A BiLSTM sequence classifier was then trained on the rule-tagger's own output as silver labels (no independent human gold set exists for this task) to test whether it could generalize beyond the exact regex patterns.</w:t>
      </w:r>
    </w:p>
    <w:p>
      <w:pPr>
        <w:pStyle w:val="Heading2"/>
      </w:pPr>
      <w:r>
        <w:rPr>
          <w:color w:val="1A2B4C"/>
        </w:rPr>
        <w:t>What was tested, and how trustworthiness was actually established</w:t>
      </w:r>
    </w:p>
    <w:p>
      <w:pPr>
        <w:spacing w:after="160"/>
      </w:pPr>
      <w:r>
        <w:rPr>
          <w:b w:val="0"/>
          <w:i w:val="0"/>
          <w:sz w:val="21"/>
        </w:rPr>
        <w:t>Held-out precision/recall/F1 of the LSTM against the rule labels only confirms that training worked — it cannot, by itself, say whether the LSTM's additional positives (cases the rule missed) are real signal or noise. To answer that, a sample of each tag's disagreements was read by hand. The verdict differs meaningfully by tag, which is itself the point: a single blended accuracy number would have hidden this.</w:t>
      </w:r>
    </w:p>
    <w:tbl>
      <w:tblPr>
        <w:tblStyle w:val="LightGrid-Accent1"/>
        <w:tblW w:type="auto" w:w="0"/>
        <w:jc w:val="left"/>
        <w:tblLook w:firstColumn="1" w:firstRow="1" w:lastColumn="0" w:lastRow="0" w:noHBand="0" w:noVBand="1" w:val="04A0"/>
      </w:tblPr>
      <w:tblGrid>
        <w:gridCol w:w="3120"/>
        <w:gridCol w:w="3120"/>
        <w:gridCol w:w="3120"/>
      </w:tblGrid>
      <w:tr>
        <w:tc>
          <w:tcPr>
            <w:tcW w:type="dxa" w:w="1872"/>
            <w:shd w:fill="1A2B4C"/>
          </w:tcPr>
          <w:p>
            <w:r/>
            <w:r>
              <w:rPr>
                <w:b/>
                <w:color w:val="FFFFFF"/>
                <w:sz w:val="19"/>
              </w:rPr>
              <w:t>Tag</w:t>
            </w:r>
          </w:p>
        </w:tc>
        <w:tc>
          <w:tcPr>
            <w:tcW w:type="dxa" w:w="2304"/>
            <w:shd w:fill="1A2B4C"/>
          </w:tcPr>
          <w:p>
            <w:r/>
            <w:r>
              <w:rPr>
                <w:b/>
                <w:color w:val="FFFFFF"/>
                <w:sz w:val="19"/>
              </w:rPr>
              <w:t>Recommendation</w:t>
            </w:r>
          </w:p>
        </w:tc>
        <w:tc>
          <w:tcPr>
            <w:tcW w:type="dxa" w:w="5472"/>
            <w:shd w:fill="1A2B4C"/>
          </w:tcPr>
          <w:p>
            <w:r/>
            <w:r>
              <w:rPr>
                <w:b/>
                <w:color w:val="FFFFFF"/>
                <w:sz w:val="19"/>
              </w:rPr>
              <w:t>Why</w:t>
            </w:r>
          </w:p>
        </w:tc>
      </w:tr>
      <w:tr>
        <w:tc>
          <w:tcPr>
            <w:tcW w:type="dxa" w:w="1872"/>
          </w:tcPr>
          <w:p>
            <w:r/>
            <w:r>
              <w:rPr>
                <w:sz w:val="19"/>
              </w:rPr>
              <w:t>pnq_transfer</w:t>
            </w:r>
          </w:p>
        </w:tc>
        <w:tc>
          <w:tcPr>
            <w:tcW w:type="dxa" w:w="2304"/>
          </w:tcPr>
          <w:p>
            <w:r/>
            <w:r>
              <w:rPr>
                <w:sz w:val="19"/>
              </w:rPr>
              <w:t>Use combined (rule OR LSTM)</w:t>
            </w:r>
          </w:p>
        </w:tc>
        <w:tc>
          <w:tcPr>
            <w:tcW w:type="dxa" w:w="5472"/>
          </w:tcPr>
          <w:p>
            <w:r/>
            <w:r>
              <w:rPr>
                <w:sz w:val="19"/>
              </w:rPr>
              <w:t>The LSTM caught a genuine regex gap (“would” be replied by, not just “will”) and related deflection phrasing — fixed in the rule regex and covered by a regression test.</w:t>
            </w:r>
          </w:p>
        </w:tc>
      </w:tr>
      <w:tr>
        <w:tc>
          <w:tcPr>
            <w:tcW w:type="dxa" w:w="1872"/>
          </w:tcPr>
          <w:p>
            <w:r/>
            <w:r>
              <w:rPr>
                <w:sz w:val="19"/>
              </w:rPr>
              <w:t>withdrawal_request</w:t>
            </w:r>
          </w:p>
        </w:tc>
        <w:tc>
          <w:tcPr>
            <w:tcW w:type="dxa" w:w="2304"/>
          </w:tcPr>
          <w:p>
            <w:r/>
            <w:r>
              <w:rPr>
                <w:sz w:val="19"/>
              </w:rPr>
              <w:t>Use combined</w:t>
            </w:r>
          </w:p>
        </w:tc>
        <w:tc>
          <w:tcPr>
            <w:tcW w:type="dxa" w:w="5472"/>
          </w:tcPr>
          <w:p>
            <w:r/>
            <w:r>
              <w:rPr>
                <w:sz w:val="19"/>
              </w:rPr>
              <w:t>Mostly genuine expansions of coverage, with some confusion against the PNQ-announcement register.</w:t>
            </w:r>
          </w:p>
        </w:tc>
      </w:tr>
      <w:tr>
        <w:tc>
          <w:tcPr>
            <w:tcW w:type="dxa" w:w="1872"/>
          </w:tcPr>
          <w:p>
            <w:r/>
            <w:r>
              <w:rPr>
                <w:sz w:val="19"/>
              </w:rPr>
              <w:t>chair_ruling</w:t>
            </w:r>
          </w:p>
        </w:tc>
        <w:tc>
          <w:tcPr>
            <w:tcW w:type="dxa" w:w="2304"/>
          </w:tcPr>
          <w:p>
            <w:r/>
            <w:r>
              <w:rPr>
                <w:sz w:val="19"/>
              </w:rPr>
              <w:t>Prefer rule only</w:t>
            </w:r>
          </w:p>
        </w:tc>
        <w:tc>
          <w:tcPr>
            <w:tcW w:type="dxa" w:w="5472"/>
          </w:tcPr>
          <w:p>
            <w:r/>
            <w:r>
              <w:rPr>
                <w:sz w:val="19"/>
              </w:rPr>
              <w:t>The LSTM has no access to the role field (text only) and cannot learn that a ruling requires the Chair to be speaking; it flags MPs discussing procedure as if they were ruling on it — an architectural limitation, not noise.</w:t>
            </w:r>
          </w:p>
        </w:tc>
      </w:tr>
      <w:tr>
        <w:tc>
          <w:tcPr>
            <w:tcW w:type="dxa" w:w="1872"/>
          </w:tcPr>
          <w:p>
            <w:r/>
            <w:r>
              <w:rPr>
                <w:sz w:val="19"/>
              </w:rPr>
              <w:t>so_citation</w:t>
            </w:r>
          </w:p>
        </w:tc>
        <w:tc>
          <w:tcPr>
            <w:tcW w:type="dxa" w:w="2304"/>
          </w:tcPr>
          <w:p>
            <w:r/>
            <w:r>
              <w:rPr>
                <w:sz w:val="19"/>
              </w:rPr>
              <w:t>Prefer rule only</w:t>
            </w:r>
          </w:p>
        </w:tc>
        <w:tc>
          <w:tcPr>
            <w:tcW w:type="dxa" w:w="5472"/>
          </w:tcPr>
          <w:p>
            <w:r/>
            <w:r>
              <w:rPr>
                <w:sz w:val="19"/>
              </w:rPr>
              <w:t>Additional LSTM detections are predominantly false positives that merely resemble procedural language.</w:t>
            </w:r>
          </w:p>
        </w:tc>
      </w:tr>
      <w:tr>
        <w:tc>
          <w:tcPr>
            <w:tcW w:type="dxa" w:w="1872"/>
          </w:tcPr>
          <w:p>
            <w:r/>
            <w:r>
              <w:rPr>
                <w:sz w:val="19"/>
              </w:rPr>
              <w:t>interruption</w:t>
            </w:r>
          </w:p>
        </w:tc>
        <w:tc>
          <w:tcPr>
            <w:tcW w:type="dxa" w:w="2304"/>
          </w:tcPr>
          <w:p>
            <w:r/>
            <w:r>
              <w:rPr>
                <w:sz w:val="19"/>
              </w:rPr>
              <w:t>Trivial / exact match</w:t>
            </w:r>
          </w:p>
        </w:tc>
        <w:tc>
          <w:tcPr>
            <w:tcW w:type="dxa" w:w="5472"/>
          </w:tcPr>
          <w:p>
            <w:r/>
            <w:r>
              <w:rPr>
                <w:sz w:val="19"/>
              </w:rPr>
              <w:t>Structural match against a fixed stage-direction string; agreement is guaranteed by construction.</w:t>
            </w:r>
          </w:p>
        </w:tc>
      </w:tr>
    </w:tbl>
    <w:p/>
    <w:p>
      <w:pPr>
        <w:spacing w:after="160"/>
      </w:pPr>
      <w:r>
        <w:rPr>
          <w:b w:val="0"/>
          <w:i w:val="0"/>
          <w:sz w:val="21"/>
        </w:rPr>
        <w:t>Because of this tag-by-tag variation, the released dataset keeps _rule, _lstm, and _combined as three separate columns per tag rather than collapsing to one “best” signal — downstream layers choose per the guidance above.</w:t>
      </w:r>
    </w:p>
    <w:p>
      <w:pPr>
        <w:pStyle w:val="Heading2"/>
      </w:pPr>
      <w:r>
        <w:rPr>
          <w:color w:val="1A2B4C"/>
        </w:rPr>
        <w:t>Key numbers (rule-based counts, out of 211,567 records)</w:t>
      </w:r>
    </w:p>
    <w:tbl>
      <w:tblPr>
        <w:tblStyle w:val="LightGrid-Accent1"/>
        <w:tblW w:type="auto" w:w="0"/>
        <w:jc w:val="left"/>
        <w:tblLook w:firstColumn="1" w:firstRow="1" w:lastColumn="0" w:lastRow="0" w:noHBand="0" w:noVBand="1" w:val="04A0"/>
      </w:tblPr>
      <w:tblGrid>
        <w:gridCol w:w="3120"/>
        <w:gridCol w:w="3120"/>
        <w:gridCol w:w="3120"/>
      </w:tblGrid>
      <w:tr>
        <w:tc>
          <w:tcPr>
            <w:tcW w:type="dxa" w:w="3600"/>
            <w:shd w:fill="1A2B4C"/>
          </w:tcPr>
          <w:p>
            <w:r/>
            <w:r>
              <w:rPr>
                <w:b/>
                <w:color w:val="FFFFFF"/>
                <w:sz w:val="19"/>
              </w:rPr>
              <w:t>Tag</w:t>
            </w:r>
          </w:p>
        </w:tc>
        <w:tc>
          <w:tcPr>
            <w:tcW w:type="dxa" w:w="2160"/>
            <w:shd w:fill="1A2B4C"/>
          </w:tcPr>
          <w:p>
            <w:r/>
            <w:r>
              <w:rPr>
                <w:b/>
                <w:color w:val="FFFFFF"/>
                <w:sz w:val="19"/>
              </w:rPr>
              <w:t>Count</w:t>
            </w:r>
          </w:p>
        </w:tc>
        <w:tc>
          <w:tcPr>
            <w:tcW w:type="dxa" w:w="2160"/>
            <w:shd w:fill="1A2B4C"/>
          </w:tcPr>
          <w:p>
            <w:r/>
            <w:r>
              <w:rPr>
                <w:b/>
                <w:color w:val="FFFFFF"/>
                <w:sz w:val="19"/>
              </w:rPr>
              <w:t>Share</w:t>
            </w:r>
          </w:p>
        </w:tc>
      </w:tr>
      <w:tr>
        <w:tc>
          <w:tcPr>
            <w:tcW w:type="dxa" w:w="3600"/>
          </w:tcPr>
          <w:p>
            <w:r/>
            <w:r>
              <w:rPr>
                <w:sz w:val="19"/>
              </w:rPr>
              <w:t>interruption</w:t>
            </w:r>
          </w:p>
        </w:tc>
        <w:tc>
          <w:tcPr>
            <w:tcW w:type="dxa" w:w="2160"/>
          </w:tcPr>
          <w:p>
            <w:r/>
            <w:r>
              <w:rPr>
                <w:sz w:val="19"/>
              </w:rPr>
              <w:t>27,607</w:t>
            </w:r>
          </w:p>
        </w:tc>
        <w:tc>
          <w:tcPr>
            <w:tcW w:type="dxa" w:w="2160"/>
          </w:tcPr>
          <w:p>
            <w:r/>
            <w:r>
              <w:rPr>
                <w:sz w:val="19"/>
              </w:rPr>
              <w:t>13.05%</w:t>
            </w:r>
          </w:p>
        </w:tc>
      </w:tr>
      <w:tr>
        <w:tc>
          <w:tcPr>
            <w:tcW w:type="dxa" w:w="3600"/>
          </w:tcPr>
          <w:p>
            <w:r/>
            <w:r>
              <w:rPr>
                <w:sz w:val="19"/>
              </w:rPr>
              <w:t>withdrawal_request</w:t>
            </w:r>
          </w:p>
        </w:tc>
        <w:tc>
          <w:tcPr>
            <w:tcW w:type="dxa" w:w="2160"/>
          </w:tcPr>
          <w:p>
            <w:r/>
            <w:r>
              <w:rPr>
                <w:sz w:val="19"/>
              </w:rPr>
              <w:t>5,706</w:t>
            </w:r>
          </w:p>
        </w:tc>
        <w:tc>
          <w:tcPr>
            <w:tcW w:type="dxa" w:w="2160"/>
          </w:tcPr>
          <w:p>
            <w:r/>
            <w:r>
              <w:rPr>
                <w:sz w:val="19"/>
              </w:rPr>
              <w:t>2.70%</w:t>
            </w:r>
          </w:p>
        </w:tc>
      </w:tr>
      <w:tr>
        <w:tc>
          <w:tcPr>
            <w:tcW w:type="dxa" w:w="3600"/>
          </w:tcPr>
          <w:p>
            <w:r/>
            <w:r>
              <w:rPr>
                <w:sz w:val="19"/>
              </w:rPr>
              <w:t>chair_ruling</w:t>
            </w:r>
          </w:p>
        </w:tc>
        <w:tc>
          <w:tcPr>
            <w:tcW w:type="dxa" w:w="2160"/>
          </w:tcPr>
          <w:p>
            <w:r/>
            <w:r>
              <w:rPr>
                <w:sz w:val="19"/>
              </w:rPr>
              <w:t>5,055</w:t>
            </w:r>
          </w:p>
        </w:tc>
        <w:tc>
          <w:tcPr>
            <w:tcW w:type="dxa" w:w="2160"/>
          </w:tcPr>
          <w:p>
            <w:r/>
            <w:r>
              <w:rPr>
                <w:sz w:val="19"/>
              </w:rPr>
              <w:t>2.39%</w:t>
            </w:r>
          </w:p>
        </w:tc>
      </w:tr>
      <w:tr>
        <w:tc>
          <w:tcPr>
            <w:tcW w:type="dxa" w:w="3600"/>
          </w:tcPr>
          <w:p>
            <w:r/>
            <w:r>
              <w:rPr>
                <w:sz w:val="19"/>
              </w:rPr>
              <w:t>so_citation</w:t>
            </w:r>
          </w:p>
        </w:tc>
        <w:tc>
          <w:tcPr>
            <w:tcW w:type="dxa" w:w="2160"/>
          </w:tcPr>
          <w:p>
            <w:r/>
            <w:r>
              <w:rPr>
                <w:sz w:val="19"/>
              </w:rPr>
              <w:t>850</w:t>
            </w:r>
          </w:p>
        </w:tc>
        <w:tc>
          <w:tcPr>
            <w:tcW w:type="dxa" w:w="2160"/>
          </w:tcPr>
          <w:p>
            <w:r/>
            <w:r>
              <w:rPr>
                <w:sz w:val="19"/>
              </w:rPr>
              <w:t>0.40%</w:t>
            </w:r>
          </w:p>
        </w:tc>
      </w:tr>
      <w:tr>
        <w:tc>
          <w:tcPr>
            <w:tcW w:type="dxa" w:w="3600"/>
          </w:tcPr>
          <w:p>
            <w:r/>
            <w:r>
              <w:rPr>
                <w:sz w:val="19"/>
              </w:rPr>
              <w:t>pnq_transfer</w:t>
            </w:r>
          </w:p>
        </w:tc>
        <w:tc>
          <w:tcPr>
            <w:tcW w:type="dxa" w:w="2160"/>
          </w:tcPr>
          <w:p>
            <w:r/>
            <w:r>
              <w:rPr>
                <w:sz w:val="19"/>
              </w:rPr>
              <w:t>226</w:t>
            </w:r>
          </w:p>
        </w:tc>
        <w:tc>
          <w:tcPr>
            <w:tcW w:type="dxa" w:w="2160"/>
          </w:tcPr>
          <w:p>
            <w:r/>
            <w:r>
              <w:rPr>
                <w:sz w:val="19"/>
              </w:rPr>
              <w:t>0.11%</w:t>
            </w:r>
          </w:p>
        </w:tc>
      </w:tr>
    </w:tbl>
    <w:p/>
    <w:p>
      <w:pPr>
        <w:spacing w:after="160"/>
      </w:pPr>
      <w:r>
        <w:rPr>
          <w:b w:val="0"/>
          <w:i w:val="0"/>
          <w:sz w:val="20"/>
        </w:rPr>
        <w:t>Tags are multi-label: 856 utterances carry two tags and 21 carry three (for example, a Chair citing a Standing Order while simultaneously ordering a withdrawal).</w:t>
      </w:r>
    </w:p>
    <w:p>
      <w:r>
        <w:br w:type="page"/>
      </w:r>
    </w:p>
    <w:p>
      <w:pPr>
        <w:pStyle w:val="Heading1"/>
      </w:pPr>
      <w:r>
        <w:rPr>
          <w:color w:val="1A2B4C"/>
        </w:rPr>
        <w:t>5. Linking Layer — H1 and H2</w:t>
      </w:r>
    </w:p>
    <w:p>
      <w:pPr>
        <w:spacing w:after="160"/>
      </w:pPr>
      <w:r>
        <w:rPr>
          <w:b w:val="0"/>
          <w:i w:val="0"/>
          <w:sz w:val="21"/>
        </w:rPr>
        <w:t>This layer combines the outputs of the previous three — topic label, procedural tag, and speaker identity — to test H1 and H2. Both tests required substantial grounding work before they could be run honestly, described below.</w:t>
      </w:r>
    </w:p>
    <w:p>
      <w:pPr>
        <w:pStyle w:val="Heading2"/>
      </w:pPr>
      <w:r>
        <w:rPr>
          <w:color w:val="1A2B4C"/>
        </w:rPr>
        <w:t>H1 — Asymmetric Enforcement</w:t>
      </w:r>
    </w:p>
    <w:p>
      <w:pPr>
        <w:pStyle w:val="Heading3"/>
      </w:pPr>
      <w:r>
        <w:rPr>
          <w:color w:val="333333"/>
        </w:rPr>
        <w:t>The power problem, and how it was fixed</w:t>
      </w:r>
    </w:p>
    <w:p>
      <w:pPr>
        <w:spacing w:after="160"/>
      </w:pPr>
      <w:r>
        <w:rPr>
          <w:b w:val="0"/>
          <w:i w:val="0"/>
          <w:sz w:val="21"/>
        </w:rPr>
        <w:t>H1 asks whether the Chair intervenes (a ruling or interruption within the next three utterances of a substantive turn) more often when the opposition raises a topic than when the government does. The first attempt to test this found only 145 of 211,567 utterances resolved to party = opposition — and every single one came from one office, the Leader of the Opposition. Running H1 on that data would really have tested “Leader of the Opposition vs. Ministers,” not a party-level effect at all.</w:t>
      </w:r>
    </w:p>
    <w:p>
      <w:pPr>
        <w:spacing w:after="160"/>
      </w:pPr>
      <w:r>
        <w:rPr>
          <w:b w:val="0"/>
          <w:i w:val="0"/>
          <w:sz w:val="21"/>
        </w:rPr>
        <w:t>A real, researched speaker/party registry was built instead: approximately 198 Members of Parliament across three Assembly terms, sourced from Wikipedia's records of the 2014, 2019, and 2024 general elections and verified via web search. The registry is time-aware — party alignment (government vs. opposition) can change mid-term, and a specific, verified correction is encoded for the PMSD party's departure from the governing coalition on 19 December 2016, after which its MPs are treated as opposition rather than government from that date forward.</w:t>
      </w:r>
    </w:p>
    <w:p>
      <w:pPr>
        <w:spacing w:after="160"/>
      </w:pPr>
      <w:r>
        <w:rPr>
          <w:b w:val="0"/>
          <w:i w:val="0"/>
          <w:sz w:val="21"/>
        </w:rPr>
        <w:t>Matching is surname-based (Hansard's own convention), tried as a two-word compound surname first, then a single surname, and scoped to the correct Assembly term to avoid cross-term collisions. Where a surname collides with more than one registry entry within the same term (for example, Adrien Duval and Xavier-Luc Duval both sitting in the 6th Assembly), the match is left unresolved rather than guessed.</w:t>
      </w:r>
    </w:p>
    <w:tbl>
      <w:tblPr>
        <w:tblStyle w:val="LightGrid-Accent1"/>
        <w:tblW w:type="auto" w:w="0"/>
        <w:jc w:val="left"/>
        <w:tblLook w:firstColumn="1" w:firstRow="1" w:lastColumn="0" w:lastRow="0" w:noHBand="0" w:noVBand="1" w:val="04A0"/>
      </w:tblPr>
      <w:tblGrid>
        <w:gridCol w:w="4680"/>
        <w:gridCol w:w="4680"/>
      </w:tblGrid>
      <w:tr>
        <w:tc>
          <w:tcPr>
            <w:tcW w:type="dxa" w:w="5760"/>
            <w:shd w:fill="1A2B4C"/>
          </w:tcPr>
          <w:p>
            <w:r/>
            <w:r>
              <w:rPr>
                <w:b/>
                <w:color w:val="FFFFFF"/>
                <w:sz w:val="19"/>
              </w:rPr>
              <w:t>Match outcome</w:t>
            </w:r>
          </w:p>
        </w:tc>
        <w:tc>
          <w:tcPr>
            <w:tcW w:type="dxa" w:w="2160"/>
            <w:shd w:fill="1A2B4C"/>
          </w:tcPr>
          <w:p>
            <w:r/>
            <w:r>
              <w:rPr>
                <w:b/>
                <w:color w:val="FFFFFF"/>
                <w:sz w:val="19"/>
              </w:rPr>
              <w:t>Utterances</w:t>
            </w:r>
          </w:p>
        </w:tc>
      </w:tr>
      <w:tr>
        <w:tc>
          <w:tcPr>
            <w:tcW w:type="dxa" w:w="5760"/>
          </w:tcPr>
          <w:p>
            <w:r/>
            <w:r>
              <w:rPr>
                <w:sz w:val="19"/>
              </w:rPr>
              <w:t>Matched, single-word surname</w:t>
            </w:r>
          </w:p>
        </w:tc>
        <w:tc>
          <w:tcPr>
            <w:tcW w:type="dxa" w:w="2160"/>
          </w:tcPr>
          <w:p>
            <w:r/>
            <w:r>
              <w:rPr>
                <w:sz w:val="19"/>
              </w:rPr>
              <w:t>34,424</w:t>
            </w:r>
          </w:p>
        </w:tc>
      </w:tr>
      <w:tr>
        <w:tc>
          <w:tcPr>
            <w:tcW w:type="dxa" w:w="5760"/>
          </w:tcPr>
          <w:p>
            <w:r/>
            <w:r>
              <w:rPr>
                <w:sz w:val="19"/>
              </w:rPr>
              <w:t>Matched, two-word compound surname</w:t>
            </w:r>
          </w:p>
        </w:tc>
        <w:tc>
          <w:tcPr>
            <w:tcW w:type="dxa" w:w="2160"/>
          </w:tcPr>
          <w:p>
            <w:r/>
            <w:r>
              <w:rPr>
                <w:sz w:val="19"/>
              </w:rPr>
              <w:t>2,345</w:t>
            </w:r>
          </w:p>
        </w:tc>
      </w:tr>
      <w:tr>
        <w:tc>
          <w:tcPr>
            <w:tcW w:type="dxa" w:w="5760"/>
          </w:tcPr>
          <w:p>
            <w:r/>
            <w:r>
              <w:rPr>
                <w:sz w:val="19"/>
              </w:rPr>
              <w:t>Ambiguous collision (left unresolved)</w:t>
            </w:r>
          </w:p>
        </w:tc>
        <w:tc>
          <w:tcPr>
            <w:tcW w:type="dxa" w:w="2160"/>
          </w:tcPr>
          <w:p>
            <w:r/>
            <w:r>
              <w:rPr>
                <w:sz w:val="19"/>
              </w:rPr>
              <w:t>6,137</w:t>
            </w:r>
          </w:p>
        </w:tc>
      </w:tr>
      <w:tr>
        <w:tc>
          <w:tcPr>
            <w:tcW w:type="dxa" w:w="5760"/>
          </w:tcPr>
          <w:p>
            <w:r/>
            <w:r>
              <w:rPr>
                <w:sz w:val="19"/>
              </w:rPr>
              <w:t>No match found</w:t>
            </w:r>
          </w:p>
        </w:tc>
        <w:tc>
          <w:tcPr>
            <w:tcW w:type="dxa" w:w="2160"/>
          </w:tcPr>
          <w:p>
            <w:r/>
            <w:r>
              <w:rPr>
                <w:sz w:val="19"/>
              </w:rPr>
              <w:t>2,640</w:t>
            </w:r>
          </w:p>
        </w:tc>
      </w:tr>
      <w:tr>
        <w:tc>
          <w:tcPr>
            <w:tcW w:type="dxa" w:w="5760"/>
          </w:tcPr>
          <w:p>
            <w:r/>
            <w:r>
              <w:rPr>
                <w:sz w:val="19"/>
              </w:rPr>
              <w:t>Total unclassified_mp utterances scanned</w:t>
            </w:r>
          </w:p>
        </w:tc>
        <w:tc>
          <w:tcPr>
            <w:tcW w:type="dxa" w:w="2160"/>
          </w:tcPr>
          <w:p>
            <w:r/>
            <w:r>
              <w:rPr>
                <w:sz w:val="19"/>
              </w:rPr>
              <w:t>45,546</w:t>
            </w:r>
          </w:p>
        </w:tc>
      </w:tr>
    </w:tbl>
    <w:p/>
    <w:p>
      <w:pPr>
        <w:spacing w:after="160"/>
      </w:pPr>
      <w:r>
        <w:rPr>
          <w:b w:val="0"/>
          <w:i w:val="0"/>
          <w:sz w:val="21"/>
        </w:rPr>
        <w:t>This resolved 36,769 utterances to a party corpus-wide (29,035 to opposition, 7,734 to government), and — after building the analysis panel described next — took the usable opposition sample in the actual regression from 145 utterances to 13,032.</w:t>
      </w:r>
    </w:p>
    <w:p>
      <w:pPr>
        <w:pStyle w:val="Heading3"/>
      </w:pPr>
      <w:r>
        <w:rPr>
          <w:color w:val="333333"/>
        </w:rPr>
        <w:t>The model and result</w:t>
      </w:r>
    </w:p>
    <w:p>
      <w:pPr>
        <w:spacing w:after="160"/>
      </w:pPr>
      <w:r>
        <w:rPr>
          <w:b w:val="0"/>
          <w:i w:val="0"/>
          <w:sz w:val="21"/>
        </w:rPr>
        <w:t>The analysis panel aggregates intervention rate by debate × presiding chair × topic × speaker party, restricted to substantive, policy-topic utterances with a known chair and resolved party (36,738 analysis-eligible utterances, aggregated to 4,735 panel cells; 4 distinct chairs after normalizing chair-surname extraction across eleven years of differing PDF layouts; 48 topics represented). The model fit is:</w:t>
      </w:r>
    </w:p>
    <w:p>
      <w:pPr>
        <w:ind w:left="432"/>
      </w:pPr>
      <w:r>
        <w:rPr>
          <w:i/>
          <w:sz w:val="21"/>
        </w:rPr>
        <w:t>intervention_rate ~ C(topic) × C(party), random intercept by presiding Chair (MixedLM)</w:t>
      </w:r>
    </w:p>
    <w:p>
      <w:pPr>
        <w:spacing w:after="160"/>
      </w:pPr>
      <w:r>
        <w:rPr>
          <w:b w:val="0"/>
          <w:i w:val="0"/>
          <w:sz w:val="21"/>
        </w:rPr>
        <w:t>Only 1 of 47 topic × opposition interaction terms is significant at p &lt; 0.05 — consistent with the roughly 2.35 false positives expected by chance across 47 independent tests — and this term does not survive Bonferroni correction (adjusted α = 0.05/47 = 0.0011; the smallest p-value found is 0.025). The one nominally significant term (Vaccination/COVID-19, p = 0.044) points in the direction opposite to H1's prediction and is not one of the corruption/procurement/institutional-scandal topics the hypothesis was originally framed around.</w:t>
      </w:r>
    </w:p>
    <w:p>
      <w:pPr>
        <w:spacing w:after="160"/>
        <w:ind w:left="360"/>
      </w:pPr>
      <w:r>
        <w:rPr>
          <w:b/>
          <w:color w:val="1A2B4C"/>
          <w:sz w:val="21"/>
        </w:rPr>
        <w:t xml:space="preserve">Robustness note:  </w:t>
      </w:r>
      <w:r>
        <w:rPr>
          <w:sz w:val="21"/>
        </w:rPr>
        <w:t>this is treated as a genuine null result specifically because the registry work was done first — the whole point of building it was to make sure a null result, if one occurred, would be trustworthy rather than an artifact of the original 145-utterance proxy.</w:t>
      </w:r>
    </w:p>
    <w:p>
      <w:pPr>
        <w:pStyle w:val="Heading2"/>
      </w:pPr>
      <w:r>
        <w:rPr>
          <w:color w:val="1A2B4C"/>
        </w:rPr>
        <w:t>H2 — Question Deflection</w:t>
      </w:r>
    </w:p>
    <w:p>
      <w:pPr>
        <w:pStyle w:val="Heading3"/>
      </w:pPr>
      <w:r>
        <w:rPr>
          <w:color w:val="333333"/>
        </w:rPr>
        <w:t>First attempt: inconclusive, not null</w:t>
      </w:r>
    </w:p>
    <w:p>
      <w:pPr>
        <w:spacing w:after="160"/>
      </w:pPr>
      <w:r>
        <w:rPr>
          <w:b w:val="0"/>
          <w:i w:val="0"/>
          <w:sz w:val="21"/>
        </w:rPr>
        <w:t>H2 asks whether questions on sensitive subjects are transferred to a later reply more often than routine ones. The pnq_transfer tag is rare at the utterance level (226 of 211,567), and an initial breakdown by topic left most cells with zero to two events — not enough signal to conclude anything in either direction. This was explicitly reported as inconclusive, distinct from a confident null.</w:t>
      </w:r>
    </w:p>
    <w:p>
      <w:pPr>
        <w:pStyle w:val="Heading3"/>
      </w:pPr>
      <w:r>
        <w:rPr>
          <w:color w:val="333333"/>
        </w:rPr>
        <w:t>Reassessment at individual-question granularity</w:t>
      </w:r>
    </w:p>
    <w:p>
      <w:pPr>
        <w:spacing w:after="160"/>
      </w:pPr>
      <w:r>
        <w:rPr>
          <w:b w:val="0"/>
          <w:i w:val="0"/>
          <w:sz w:val="21"/>
        </w:rPr>
        <w:t>Reading a sample of the 226 tagged utterances found the source of the sparsity: 84% are the Speaker's single, routine end-of-Question-Time announcement, which bundles a median of three unrelated straggler questions into one utterance — a scheduling artifact, not 226 independent decisions. Separately, every Parliamentary Question was found to carry a “(No. B/xxx) &lt;Name&gt; (&lt;Constituency&gt;)” header in the same convention already parsed for roles in Layer 0, meaning each question's individual asker could be identified directly rather than only at the batched-announcement level.</w:t>
      </w:r>
    </w:p>
    <w:p>
      <w:pPr>
        <w:spacing w:after="160"/>
      </w:pPr>
      <w:r>
        <w:rPr>
          <w:b w:val="0"/>
          <w:i w:val="0"/>
          <w:sz w:val="21"/>
        </w:rPr>
        <w:t>Unbundling the transfer announcements and extracting every question header recovers 12,426 distinct Parliamentary Questions corpus-wide. Of the 1,109 individual question references inside transfer announcements, 1,074 (97%) matched a known header in the same debate, yielding 1,041 uniquely identified transferred questions after deduplication. Each question's asker was then resolved to a party using the same registry method as H1 (90.5% resolved: 8,240 opposition-asked, 3,000 government-asked).</w:t>
      </w:r>
    </w:p>
    <w:p>
      <w:pPr>
        <w:pStyle w:val="Heading3"/>
      </w:pPr>
      <w:r>
        <w:rPr>
          <w:color w:val="333333"/>
        </w:rPr>
        <w:t>Result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160"/>
            <w:shd w:fill="1A2B4C"/>
          </w:tcPr>
          <w:p>
            <w:r/>
            <w:r>
              <w:rPr>
                <w:b/>
                <w:color w:val="FFFFFF"/>
                <w:sz w:val="19"/>
              </w:rPr>
              <w:t>Party</w:t>
            </w:r>
          </w:p>
        </w:tc>
        <w:tc>
          <w:tcPr>
            <w:tcW w:type="dxa" w:w="2448"/>
            <w:shd w:fill="1A2B4C"/>
          </w:tcPr>
          <w:p>
            <w:r/>
            <w:r>
              <w:rPr>
                <w:b/>
                <w:color w:val="FFFFFF"/>
                <w:sz w:val="19"/>
              </w:rPr>
              <w:t>Not transferred</w:t>
            </w:r>
          </w:p>
        </w:tc>
        <w:tc>
          <w:tcPr>
            <w:tcW w:type="dxa" w:w="2160"/>
            <w:shd w:fill="1A2B4C"/>
          </w:tcPr>
          <w:p>
            <w:r/>
            <w:r>
              <w:rPr>
                <w:b/>
                <w:color w:val="FFFFFF"/>
                <w:sz w:val="19"/>
              </w:rPr>
              <w:t>Transferred</w:t>
            </w:r>
          </w:p>
        </w:tc>
        <w:tc>
          <w:tcPr>
            <w:tcW w:type="dxa" w:w="2160"/>
            <w:shd w:fill="1A2B4C"/>
          </w:tcPr>
          <w:p>
            <w:r/>
            <w:r>
              <w:rPr>
                <w:b/>
                <w:color w:val="FFFFFF"/>
                <w:sz w:val="19"/>
              </w:rPr>
              <w:t>Transfer rate</w:t>
            </w:r>
          </w:p>
        </w:tc>
      </w:tr>
      <w:tr>
        <w:tc>
          <w:tcPr>
            <w:tcW w:type="dxa" w:w="2160"/>
          </w:tcPr>
          <w:p>
            <w:r/>
            <w:r>
              <w:rPr>
                <w:sz w:val="19"/>
              </w:rPr>
              <w:t>Government</w:t>
            </w:r>
          </w:p>
        </w:tc>
        <w:tc>
          <w:tcPr>
            <w:tcW w:type="dxa" w:w="2448"/>
          </w:tcPr>
          <w:p>
            <w:r/>
            <w:r>
              <w:rPr>
                <w:sz w:val="19"/>
              </w:rPr>
              <w:t>2,767</w:t>
            </w:r>
          </w:p>
        </w:tc>
        <w:tc>
          <w:tcPr>
            <w:tcW w:type="dxa" w:w="2160"/>
          </w:tcPr>
          <w:p>
            <w:r/>
            <w:r>
              <w:rPr>
                <w:sz w:val="19"/>
              </w:rPr>
              <w:t>233</w:t>
            </w:r>
          </w:p>
        </w:tc>
        <w:tc>
          <w:tcPr>
            <w:tcW w:type="dxa" w:w="2160"/>
          </w:tcPr>
          <w:p>
            <w:r/>
            <w:r>
              <w:rPr>
                <w:sz w:val="19"/>
              </w:rPr>
              <w:t>7.77%</w:t>
            </w:r>
          </w:p>
        </w:tc>
      </w:tr>
      <w:tr>
        <w:tc>
          <w:tcPr>
            <w:tcW w:type="dxa" w:w="2160"/>
          </w:tcPr>
          <w:p>
            <w:r/>
            <w:r>
              <w:rPr>
                <w:sz w:val="19"/>
              </w:rPr>
              <w:t>Opposition</w:t>
            </w:r>
          </w:p>
        </w:tc>
        <w:tc>
          <w:tcPr>
            <w:tcW w:type="dxa" w:w="2448"/>
          </w:tcPr>
          <w:p>
            <w:r/>
            <w:r>
              <w:rPr>
                <w:sz w:val="19"/>
              </w:rPr>
              <w:t>7,580</w:t>
            </w:r>
          </w:p>
        </w:tc>
        <w:tc>
          <w:tcPr>
            <w:tcW w:type="dxa" w:w="2160"/>
          </w:tcPr>
          <w:p>
            <w:r/>
            <w:r>
              <w:rPr>
                <w:sz w:val="19"/>
              </w:rPr>
              <w:t>660</w:t>
            </w:r>
          </w:p>
        </w:tc>
        <w:tc>
          <w:tcPr>
            <w:tcW w:type="dxa" w:w="2160"/>
          </w:tcPr>
          <w:p>
            <w:r/>
            <w:r>
              <w:rPr>
                <w:sz w:val="19"/>
              </w:rPr>
              <w:t>8.01%</w:t>
            </w:r>
          </w:p>
        </w:tc>
      </w:tr>
    </w:tbl>
    <w:p/>
    <w:p>
      <w:pPr>
        <w:spacing w:after="160"/>
      </w:pPr>
      <w:r>
        <w:rPr>
          <w:b w:val="0"/>
          <w:i w:val="0"/>
          <w:sz w:val="21"/>
        </w:rPr>
        <w:t>Fisher's exact test: odds ratio = 1.034, p = 0.694. A logistic regression confirms this — the opposition coefficient is 0.0335 (p = 0.673), not significant. Restricting the sample to the 50 labeled Policy domains specifically (the “sensitive question” case H2 was originally framed around) does not change the picture: 7.41% (government) versus 7.40% (opposition), with a non-significant party × policy-topic interaction term (p = 0.410).</w:t>
      </w:r>
    </w:p>
    <w:p>
      <w:pPr>
        <w:spacing w:after="160"/>
        <w:ind w:left="360"/>
      </w:pPr>
      <w:r>
        <w:rPr>
          <w:b/>
          <w:color w:val="1A2B4C"/>
          <w:sz w:val="21"/>
        </w:rPr>
        <w:t xml:space="preserve">Robustness note:  </w:t>
      </w:r>
      <w:r>
        <w:rPr>
          <w:sz w:val="21"/>
        </w:rPr>
        <w:t>this supersedes the original utterance-level result. With 11,240 individually resolved questions and 893 transfer events, H2 is now a genuine, well-powered null result rather than an inconclusive one — the same standard of “ground the data before trusting the test” applied to H1's registry work.</w:t>
      </w:r>
    </w:p>
    <w:p>
      <w:pPr>
        <w:spacing w:after="160"/>
      </w:pPr>
      <w:r>
        <w:rPr>
          <w:b w:val="0"/>
          <w:i w:val="0"/>
          <w:sz w:val="20"/>
        </w:rPr>
        <w:t>Documented limitations: 9.5% of questions could not be resolved to a party (collision or no match, left unresolved rather than guessed, matching H1's convention); Ministers and the Prime Minister rarely ask Parliamentary Questions of their own government, so the resolved-asker population is dominated by opposition and backbench government MPs — this is a test of backbench/opposition dynamics, not a full-chamber comparison; and roughly 3% of transfer references did not match a known header and are excluded from the transferred count, a small non-systematic undercount.</w:t>
      </w:r>
    </w:p>
    <w:p>
      <w:r>
        <w:br w:type="page"/>
      </w:r>
    </w:p>
    <w:p>
      <w:pPr>
        <w:pStyle w:val="Heading1"/>
      </w:pPr>
      <w:r>
        <w:rPr>
          <w:color w:val="1A2B4C"/>
        </w:rPr>
        <w:t>6. Outcome Layer — H3 (Attention Cooling)</w:t>
      </w:r>
    </w:p>
    <w:p>
      <w:pPr>
        <w:pStyle w:val="Heading2"/>
      </w:pPr>
      <w:r>
        <w:rPr>
          <w:color w:val="1A2B4C"/>
        </w:rPr>
        <w:t>What was done</w:t>
      </w:r>
    </w:p>
    <w:p>
      <w:pPr>
        <w:spacing w:after="160"/>
      </w:pPr>
      <w:r>
        <w:rPr>
          <w:b w:val="0"/>
          <w:i w:val="0"/>
          <w:sz w:val="21"/>
        </w:rPr>
        <w:t>H3 asks whether procedural conflict on a topic in one sitting depresses that topic's attention share in the sittings that follow — the feedback-loop mechanism in the project's conceptual framework. A complete topic × sitting grid was built: 50 policy topics across all 402 chronologically ordered sittings (2 of 404 excluded for unparseable dates), zero-filled for sittings in which a topic was not raised at all. This was a deliberate design choice: the time index is the actual next sitting in chronological order, not a topic's next appearance, so no series skips over the sittings where a topic simply was not discussed. Procedural conflict reuses the same windowed chair_ruling/interruption definition as H1 and H2, aggregated to a per-topic, per-sitting rate.</w:t>
      </w:r>
    </w:p>
    <w:p>
      <w:pPr>
        <w:pStyle w:val="Heading2"/>
      </w:pPr>
      <w:r>
        <w:rPr>
          <w:color w:val="1A2B4C"/>
        </w:rPr>
        <w:t>What was tested</w:t>
      </w:r>
    </w:p>
    <w:p>
      <w:pPr>
        <w:spacing w:after="160"/>
      </w:pPr>
      <w:r>
        <w:rPr>
          <w:b w:val="0"/>
          <w:i w:val="0"/>
          <w:sz w:val="21"/>
        </w:rPr>
        <w:t>Two independent methods were used, deliberately, rather than one:</w:t>
      </w:r>
    </w:p>
    <w:p>
      <w:pPr>
        <w:pStyle w:val="ListBullet"/>
        <w:spacing w:after="80"/>
      </w:pPr>
      <w:r>
        <w:rPr>
          <w:sz w:val="21"/>
        </w:rPr>
        <w:t>Per-topic Granger causality tests (lag 1 as the primary test, matching the sitting-to-next-sitting framing of H3; lags 2–3 reported as robustness checks) on each topic's own [attention_share, conflict_rate] series.</w:t>
      </w:r>
    </w:p>
    <w:p>
      <w:pPr>
        <w:pStyle w:val="ListBullet"/>
        <w:spacing w:after="80"/>
      </w:pPr>
      <w:r>
        <w:rPr>
          <w:sz w:val="21"/>
        </w:rPr>
        <w:t>A pooled MixedLM panel model — attention_share at t+1 regressed on attention_share and conflict_rate at t, with topic as a random-effect group — as a cross-check less sensitive to any single topic's short or noisy series.</w:t>
      </w:r>
    </w:p>
    <w:p>
      <w:pPr>
        <w:pStyle w:val="Heading2"/>
      </w:pPr>
      <w:r>
        <w:rPr>
          <w:color w:val="1A2B4C"/>
        </w:rPr>
        <w:t>Result</w:t>
      </w:r>
    </w:p>
    <w:p>
      <w:pPr>
        <w:spacing w:after="160"/>
      </w:pPr>
      <w:r>
        <w:rPr>
          <w:b w:val="0"/>
          <w:i w:val="0"/>
          <w:sz w:val="21"/>
        </w:rPr>
        <w:t>Of the 50 topics, 12 had fewer than 10 sittings with nonzero conflict_rate and were excluded as untestable at this granularity (not treated as a null finding for those topics specifically). Of the 38 tested, only 3 are significant at raw p &lt; 0.05 — near the roughly 1.9 false positives expected by chance at that rate — and only 1 (Vaccination/COVID-19, p = 0.0007) survives Bonferroni correction (α = 0.05/38 = 0.0013).</w:t>
      </w:r>
    </w:p>
    <w:p>
      <w:pPr>
        <w:spacing w:after="160"/>
      </w:pPr>
      <w:r>
        <w:rPr>
          <w:b w:val="0"/>
          <w:i w:val="0"/>
          <w:sz w:val="21"/>
        </w:rPr>
        <w:t>The pooled panel model agrees: the coefficient on conflict_rate is effectively zero (−0.0002, p = 0.897), while a topic's own prior attention_share is the only substantive predictor of its next-sitting attention_share (coefficient 0.177, p &lt; 0.001). Topics that receive substantial attention continue to receive it; there is no measurable evidence that procedural conflict cools that down.</w:t>
      </w:r>
    </w:p>
    <w:p>
      <w:pPr>
        <w:spacing w:after="160"/>
        <w:ind w:left="360"/>
      </w:pPr>
      <w:r>
        <w:rPr>
          <w:b/>
          <w:color w:val="1A2B4C"/>
          <w:sz w:val="21"/>
        </w:rPr>
        <w:t xml:space="preserve">Corroborating descriptive check:  </w:t>
      </w:r>
      <w:r>
        <w:rPr>
          <w:sz w:val="21"/>
        </w:rPr>
        <w:t>plotting raw yearly attention_share for illustrative topics shows attention tracking real-world events rather than procedural friction — Vaccination/COVID-19 rises from near zero to 3–4% of debate time in 2020–2021 and fades as the pandemic did; Metro Express rises through its 2017–2019 construction and launch period and falls off once it became operational. This is consistent with, and visually reinforces, the statistical finding.</w:t>
      </w:r>
    </w:p>
    <w:p>
      <w:pPr>
        <w:pStyle w:val="Heading2"/>
      </w:pPr>
      <w:r>
        <w:rPr>
          <w:color w:val="1A2B4C"/>
        </w:rPr>
        <w:t>Stated limitation</w:t>
      </w:r>
    </w:p>
    <w:p>
      <w:pPr>
        <w:spacing w:after="160"/>
      </w:pPr>
      <w:r>
        <w:rPr>
          <w:b w:val="0"/>
          <w:i w:val="0"/>
          <w:sz w:val="21"/>
        </w:rPr>
        <w:t>Granger causality presupposes stationary series. An eleven-year span may plausibly contain trends or structural breaks (the COVID-era health-topic spike being an obvious example) that were not formally assessed via per-topic ADF unit-root testing, given the scope of this analysis. Results are reported as suggestive rather than confirmatory on this point — a limitation stated explicitly rather than omitted.</w:t>
      </w:r>
    </w:p>
    <w:p>
      <w:r>
        <w:br w:type="page"/>
      </w:r>
    </w:p>
    <w:p>
      <w:pPr>
        <w:pStyle w:val="Heading1"/>
      </w:pPr>
      <w:r>
        <w:rPr>
          <w:color w:val="1A2B4C"/>
        </w:rPr>
        <w:t>7. Cross-Cutting Robustness Practices</w:t>
      </w:r>
    </w:p>
    <w:p>
      <w:pPr>
        <w:spacing w:after="160"/>
      </w:pPr>
      <w:r>
        <w:rPr>
          <w:b w:val="0"/>
          <w:i w:val="0"/>
          <w:sz w:val="21"/>
        </w:rPr>
        <w:t>The same set of methodological disciplines recurs across all three hypothesis tests. They are collected here because, taken together, they are the actual basis for trusting the null results reported in Sections 5 and 6.</w:t>
      </w:r>
    </w:p>
    <w:p>
      <w:pPr>
        <w:pStyle w:val="ListBullet"/>
        <w:spacing w:after="80"/>
      </w:pPr>
      <w:r>
        <w:rPr>
          <w:sz w:val="21"/>
        </w:rPr>
        <w:t>Power was verified before a null was reported. Every null result in this project was checked against being a power artifact before being written up as a finding: H1's speaker registry (145 → 13,032 opposition utterances), H3's complete zero-filled sitting series, and H2's individual-question unbundling (226 utterances → 12,426 questions) were all built specifically so that a null result, if one occurred, would be trustworthy.</w:t>
      </w:r>
    </w:p>
    <w:p>
      <w:pPr>
        <w:pStyle w:val="ListBullet"/>
        <w:spacing w:after="80"/>
      </w:pPr>
      <w:r>
        <w:rPr>
          <w:sz w:val="21"/>
        </w:rPr>
        <w:t>Multiple-comparisons correction was applied consistently. Bonferroni correction is applied to every batch of per-topic or per-interaction tests (47 terms for H1, 38 for H3) rather than reading raw p-values in isolation, and the count of results surviving correction — not the count of nominally significant ones — is treated as the trustworthy summary statistic throughout.</w:t>
      </w:r>
    </w:p>
    <w:p>
      <w:pPr>
        <w:pStyle w:val="ListBullet"/>
        <w:spacing w:after="80"/>
      </w:pPr>
      <w:r>
        <w:rPr>
          <w:sz w:val="21"/>
        </w:rPr>
        <w:t>Ambiguous matches were left unresolved, not guessed. Surname collisions in party resolution (for both H1's backbench MPs and H2's question askers) are explicitly flagged as unresolved rather than assigned by inference, trading some sample size for not injecting silent errors.</w:t>
      </w:r>
    </w:p>
    <w:p>
      <w:pPr>
        <w:pStyle w:val="ListBullet"/>
        <w:spacing w:after="80"/>
      </w:pPr>
      <w:r>
        <w:rPr>
          <w:sz w:val="21"/>
        </w:rPr>
        <w:t>Deviations and gaps are documented, not silently patched. The fastText → langdetect substitution, the Layer 0 role-resolution gap (20,064 utterances reassigned after the fix), and the pnq_transfer regex gap found via LSTM disagreement analysis (“would” vs. “will” be replied by, now covered by a regression test) are all recorded in the code and reports rather than corrected invisibly.</w:t>
      </w:r>
    </w:p>
    <w:p>
      <w:pPr>
        <w:pStyle w:val="ListBullet"/>
        <w:spacing w:after="80"/>
      </w:pPr>
      <w:r>
        <w:rPr>
          <w:sz w:val="21"/>
        </w:rPr>
        <w:t>Automated agreement metrics were checked against manual reading. The Procedural layer's LSTM was evaluated against the rule-tagger's own silver labels — which can only confirm training worked, not real-world accuracy — so a sample of actual disagreements was read by hand per tag, producing per-tag guidance rather than one blended accuracy figure.</w:t>
      </w:r>
    </w:p>
    <w:p>
      <w:pPr>
        <w:pStyle w:val="ListBullet"/>
        <w:spacing w:after="80"/>
      </w:pPr>
      <w:r>
        <w:rPr>
          <w:sz w:val="21"/>
        </w:rPr>
        <w:t>Limitations are stated, not absorbed into the headline. H2's 9.5% unresolved askers, H3's untested stationarity assumption, and the single-legislature / eleven-year scope of the whole study are reported alongside the findings rather than omitted.</w:t>
      </w:r>
    </w:p>
    <w:p>
      <w:r>
        <w:br w:type="page"/>
      </w:r>
    </w:p>
    <w:p>
      <w:pPr>
        <w:pStyle w:val="Heading1"/>
      </w:pPr>
      <w:r>
        <w:rPr>
          <w:color w:val="1A2B4C"/>
        </w:rPr>
        <w:t>8. Overall Synthesis</w:t>
      </w:r>
    </w:p>
    <w:p>
      <w:pPr>
        <w:spacing w:after="160"/>
      </w:pPr>
      <w:r>
        <w:rPr>
          <w:b w:val="0"/>
          <w:i w:val="0"/>
          <w:sz w:val="21"/>
        </w:rPr>
        <w:t>All three hypotheses — asymmetric chair intervention by topic and party (H1), deflection of Parliamentary Questions by the asker's party (H2), and reduced subsequent attention to topics following procedural conflict (H3) — returned genuine, adequately powered null results. On each of these three specific, falsifiable mechanisms, no broad evidence was found that procedural power in the Mauritius National Assembly (2015–2025) is being used to selectively suppress particular voices or topics.</w:t>
      </w:r>
    </w:p>
    <w:tbl>
      <w:tblPr>
        <w:tblStyle w:val="LightGrid-Accent1"/>
        <w:tblW w:type="auto" w:w="0"/>
        <w:jc w:val="left"/>
        <w:tblLook w:firstColumn="1" w:firstRow="1" w:lastColumn="0" w:lastRow="0" w:noHBand="0" w:noVBand="1" w:val="04A0"/>
      </w:tblPr>
      <w:tblGrid>
        <w:gridCol w:w="3120"/>
        <w:gridCol w:w="3120"/>
        <w:gridCol w:w="3120"/>
      </w:tblGrid>
      <w:tr>
        <w:tc>
          <w:tcPr>
            <w:tcW w:type="dxa" w:w="1008"/>
            <w:shd w:fill="1A2B4C"/>
          </w:tcPr>
          <w:p>
            <w:r/>
            <w:r>
              <w:rPr>
                <w:b/>
                <w:color w:val="FFFFFF"/>
                <w:sz w:val="19"/>
              </w:rPr>
              <w:t>Hypothesis</w:t>
            </w:r>
          </w:p>
        </w:tc>
        <w:tc>
          <w:tcPr>
            <w:tcW w:type="dxa" w:w="4896"/>
            <w:shd w:fill="1A2B4C"/>
          </w:tcPr>
          <w:p>
            <w:r/>
            <w:r>
              <w:rPr>
                <w:b/>
                <w:color w:val="FFFFFF"/>
                <w:sz w:val="19"/>
              </w:rPr>
              <w:t>Mechanism tested</w:t>
            </w:r>
          </w:p>
        </w:tc>
        <w:tc>
          <w:tcPr>
            <w:tcW w:type="dxa" w:w="3456"/>
            <w:shd w:fill="1A2B4C"/>
          </w:tcPr>
          <w:p>
            <w:r/>
            <w:r>
              <w:rPr>
                <w:b/>
                <w:color w:val="FFFFFF"/>
                <w:sz w:val="19"/>
              </w:rPr>
              <w:t>Result</w:t>
            </w:r>
          </w:p>
        </w:tc>
      </w:tr>
      <w:tr>
        <w:tc>
          <w:tcPr>
            <w:tcW w:type="dxa" w:w="1008"/>
          </w:tcPr>
          <w:p>
            <w:r/>
            <w:r>
              <w:rPr>
                <w:sz w:val="19"/>
              </w:rPr>
              <w:t>H1</w:t>
            </w:r>
          </w:p>
        </w:tc>
        <w:tc>
          <w:tcPr>
            <w:tcW w:type="dxa" w:w="4896"/>
          </w:tcPr>
          <w:p>
            <w:r/>
            <w:r>
              <w:rPr>
                <w:sz w:val="19"/>
              </w:rPr>
              <w:t>Chair intervenes more against opposition on given topics</w:t>
            </w:r>
          </w:p>
        </w:tc>
        <w:tc>
          <w:tcPr>
            <w:tcW w:type="dxa" w:w="3456"/>
          </w:tcPr>
          <w:p>
            <w:r/>
            <w:r>
              <w:rPr>
                <w:sz w:val="19"/>
              </w:rPr>
              <w:t>No significant effect (1/47 terms, does not survive Bonferroni)</w:t>
            </w:r>
          </w:p>
        </w:tc>
      </w:tr>
      <w:tr>
        <w:tc>
          <w:tcPr>
            <w:tcW w:type="dxa" w:w="1008"/>
          </w:tcPr>
          <w:p>
            <w:r/>
            <w:r>
              <w:rPr>
                <w:sz w:val="19"/>
              </w:rPr>
              <w:t>H2</w:t>
            </w:r>
          </w:p>
        </w:tc>
        <w:tc>
          <w:tcPr>
            <w:tcW w:type="dxa" w:w="4896"/>
          </w:tcPr>
          <w:p>
            <w:r/>
            <w:r>
              <w:rPr>
                <w:sz w:val="19"/>
              </w:rPr>
              <w:t>Questions deflected more often by asker's party</w:t>
            </w:r>
          </w:p>
        </w:tc>
        <w:tc>
          <w:tcPr>
            <w:tcW w:type="dxa" w:w="3456"/>
          </w:tcPr>
          <w:p>
            <w:r/>
            <w:r>
              <w:rPr>
                <w:sz w:val="19"/>
              </w:rPr>
              <w:t>No significant effect (n=11,240; Fisher's p=0.694)</w:t>
            </w:r>
          </w:p>
        </w:tc>
      </w:tr>
      <w:tr>
        <w:tc>
          <w:tcPr>
            <w:tcW w:type="dxa" w:w="1008"/>
          </w:tcPr>
          <w:p>
            <w:r/>
            <w:r>
              <w:rPr>
                <w:sz w:val="19"/>
              </w:rPr>
              <w:t>H3</w:t>
            </w:r>
          </w:p>
        </w:tc>
        <w:tc>
          <w:tcPr>
            <w:tcW w:type="dxa" w:w="4896"/>
          </w:tcPr>
          <w:p>
            <w:r/>
            <w:r>
              <w:rPr>
                <w:sz w:val="19"/>
              </w:rPr>
              <w:t>Procedural conflict reduces a topic's later attention</w:t>
            </w:r>
          </w:p>
        </w:tc>
        <w:tc>
          <w:tcPr>
            <w:tcW w:type="dxa" w:w="3456"/>
          </w:tcPr>
          <w:p>
            <w:r/>
            <w:r>
              <w:rPr>
                <w:sz w:val="19"/>
              </w:rPr>
              <w:t>No significant effect (1/38 terms survive Bonferroni; pooled model p=0.897)</w:t>
            </w:r>
          </w:p>
        </w:tc>
      </w:tr>
    </w:tbl>
    <w:p/>
    <w:p>
      <w:pPr>
        <w:spacing w:after="160"/>
      </w:pPr>
      <w:r>
        <w:rPr>
          <w:b w:val="0"/>
          <w:i w:val="0"/>
          <w:sz w:val="21"/>
        </w:rPr>
        <w:t>This should not be read as a certificate of overall procedural fairness. Each test targets a specific, narrowly defined mechanism, not procedural power in general; the findings are limited to a single legislature over one eleven-year period and should not be generalized beyond that context without further study; and the validity of every null result here depends directly on the grounding work described in Section 7 — which is precisely why that work was done before, not after, each test was run.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