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82885" w14:textId="5A32EFD8" w:rsidR="005B47F1" w:rsidRDefault="005B47F1" w:rsidP="005B47F1">
      <w:pPr>
        <w:pStyle w:val="Heading1"/>
      </w:pPr>
      <w:r w:rsidRPr="005B47F1">
        <w:t xml:space="preserve">CAPITA Post Budget 2021-22 update </w:t>
      </w:r>
    </w:p>
    <w:p w14:paraId="6F282634" w14:textId="5F69D768" w:rsidR="005B47F1" w:rsidRDefault="005E4779" w:rsidP="005E4779">
      <w:pPr>
        <w:pStyle w:val="Heading2"/>
      </w:pPr>
      <w:r>
        <w:t xml:space="preserve">Summary of updates </w:t>
      </w:r>
    </w:p>
    <w:tbl>
      <w:tblPr>
        <w:tblStyle w:val="TableGrid"/>
        <w:tblW w:w="0" w:type="auto"/>
        <w:tblLook w:val="04A0" w:firstRow="1" w:lastRow="0" w:firstColumn="1" w:lastColumn="0" w:noHBand="0" w:noVBand="1"/>
      </w:tblPr>
      <w:tblGrid>
        <w:gridCol w:w="4508"/>
        <w:gridCol w:w="4508"/>
      </w:tblGrid>
      <w:tr w:rsidR="005C132C" w14:paraId="06F1168F" w14:textId="77777777" w:rsidTr="00E1556E">
        <w:tc>
          <w:tcPr>
            <w:tcW w:w="4508" w:type="dxa"/>
            <w:shd w:val="clear" w:color="auto" w:fill="DEEAF6" w:themeFill="accent5" w:themeFillTint="33"/>
          </w:tcPr>
          <w:p w14:paraId="2423E0FE" w14:textId="49DCD000" w:rsidR="005C132C" w:rsidRPr="00C92695" w:rsidRDefault="00E1556E" w:rsidP="005E4779">
            <w:pPr>
              <w:rPr>
                <w:b/>
                <w:bCs/>
              </w:rPr>
            </w:pPr>
            <w:r>
              <w:rPr>
                <w:b/>
                <w:bCs/>
              </w:rPr>
              <w:t>CAPITA code/output</w:t>
            </w:r>
          </w:p>
        </w:tc>
        <w:tc>
          <w:tcPr>
            <w:tcW w:w="4508" w:type="dxa"/>
            <w:shd w:val="clear" w:color="auto" w:fill="DEEAF6" w:themeFill="accent5" w:themeFillTint="33"/>
          </w:tcPr>
          <w:p w14:paraId="0F7B441F" w14:textId="08D6BCDB" w:rsidR="005C132C" w:rsidRPr="00C92695" w:rsidRDefault="00E1556E" w:rsidP="005E4779">
            <w:pPr>
              <w:rPr>
                <w:b/>
                <w:bCs/>
              </w:rPr>
            </w:pPr>
            <w:r>
              <w:rPr>
                <w:b/>
                <w:bCs/>
              </w:rPr>
              <w:t>Summary of changes</w:t>
            </w:r>
          </w:p>
        </w:tc>
      </w:tr>
      <w:tr w:rsidR="005C132C" w14:paraId="56AA2DDA" w14:textId="77777777" w:rsidTr="00E1556E">
        <w:tc>
          <w:tcPr>
            <w:tcW w:w="4508" w:type="dxa"/>
            <w:shd w:val="clear" w:color="auto" w:fill="DEEAF6" w:themeFill="accent5" w:themeFillTint="33"/>
          </w:tcPr>
          <w:p w14:paraId="69FB0F63" w14:textId="4A804548" w:rsidR="005C132C" w:rsidRPr="00E1556E" w:rsidRDefault="00E1556E" w:rsidP="005E4779">
            <w:pPr>
              <w:rPr>
                <w:i/>
                <w:iCs/>
              </w:rPr>
            </w:pPr>
            <w:proofErr w:type="spellStart"/>
            <w:r w:rsidRPr="00E1556E">
              <w:rPr>
                <w:i/>
                <w:iCs/>
              </w:rPr>
              <w:t>Basefile</w:t>
            </w:r>
            <w:proofErr w:type="spellEnd"/>
            <w:r w:rsidRPr="00E1556E">
              <w:rPr>
                <w:i/>
                <w:iCs/>
              </w:rPr>
              <w:t xml:space="preserve"> modules</w:t>
            </w:r>
          </w:p>
        </w:tc>
        <w:tc>
          <w:tcPr>
            <w:tcW w:w="4508" w:type="dxa"/>
            <w:shd w:val="clear" w:color="auto" w:fill="DEEAF6" w:themeFill="accent5" w:themeFillTint="33"/>
          </w:tcPr>
          <w:p w14:paraId="5F8A45F2" w14:textId="77777777" w:rsidR="005C132C" w:rsidRDefault="005C132C" w:rsidP="005E4779"/>
        </w:tc>
      </w:tr>
      <w:tr w:rsidR="00E1556E" w14:paraId="1AE39FD0" w14:textId="77777777" w:rsidTr="005C132C">
        <w:tc>
          <w:tcPr>
            <w:tcW w:w="4508" w:type="dxa"/>
          </w:tcPr>
          <w:p w14:paraId="05756358" w14:textId="6B0B2516" w:rsidR="00E1556E" w:rsidRDefault="00E1556E" w:rsidP="005E4779">
            <w:r>
              <w:t>Parameters</w:t>
            </w:r>
          </w:p>
        </w:tc>
        <w:tc>
          <w:tcPr>
            <w:tcW w:w="4508" w:type="dxa"/>
          </w:tcPr>
          <w:p w14:paraId="0BE41743" w14:textId="4984BCDA" w:rsidR="00E1556E" w:rsidRDefault="00E1556E" w:rsidP="005E4779">
            <w:proofErr w:type="spellStart"/>
            <w:r>
              <w:t>Basefile</w:t>
            </w:r>
            <w:proofErr w:type="spellEnd"/>
            <w:r>
              <w:t xml:space="preserve"> parameters</w:t>
            </w:r>
            <w:r w:rsidR="00AC1D6D">
              <w:t xml:space="preserve"> (including uprating parameters)</w:t>
            </w:r>
            <w:r>
              <w:t xml:space="preserve"> updated to </w:t>
            </w:r>
            <w:r w:rsidR="00D21761">
              <w:br/>
            </w:r>
            <w:r>
              <w:t>Budget 2021-22 parameters</w:t>
            </w:r>
            <w:r w:rsidR="00BB01EF">
              <w:t>.</w:t>
            </w:r>
            <w:r>
              <w:t xml:space="preserve"> </w:t>
            </w:r>
          </w:p>
          <w:p w14:paraId="0370D68D" w14:textId="7B2314DB" w:rsidR="005F4E17" w:rsidRDefault="005F4E17" w:rsidP="005E4779"/>
        </w:tc>
      </w:tr>
      <w:tr w:rsidR="00E1556E" w14:paraId="788C7798" w14:textId="77777777" w:rsidTr="005C132C">
        <w:tc>
          <w:tcPr>
            <w:tcW w:w="4508" w:type="dxa"/>
          </w:tcPr>
          <w:p w14:paraId="1C1A1DA3" w14:textId="736208A9" w:rsidR="00E1556E" w:rsidRDefault="00E1556E" w:rsidP="005E4779">
            <w:r>
              <w:t>Benchmarking</w:t>
            </w:r>
          </w:p>
        </w:tc>
        <w:tc>
          <w:tcPr>
            <w:tcW w:w="4508" w:type="dxa"/>
          </w:tcPr>
          <w:p w14:paraId="5CC13535" w14:textId="6EC5B640" w:rsidR="00E1556E" w:rsidRDefault="00E1556E" w:rsidP="005E4779">
            <w:r>
              <w:t>Benchmarks updated to Budget 2021-22 benchmarks</w:t>
            </w:r>
            <w:r w:rsidR="00BB01EF">
              <w:t>.</w:t>
            </w:r>
            <w:r w:rsidR="005F4E17">
              <w:t xml:space="preserve"> </w:t>
            </w:r>
            <w:r w:rsidR="00E7333A">
              <w:t>There are no benchmarks for the payment population for 2020</w:t>
            </w:r>
            <w:r w:rsidR="00E7333A">
              <w:noBreakHyphen/>
              <w:t xml:space="preserve">21 (due to the availability of temporary payments).  </w:t>
            </w:r>
            <w:proofErr w:type="gramStart"/>
            <w:r w:rsidR="00E7333A">
              <w:t>Therefore</w:t>
            </w:r>
            <w:proofErr w:type="gramEnd"/>
            <w:r w:rsidR="00E7333A">
              <w:t xml:space="preserve"> benchmarking for 2020-21 is not possible and a </w:t>
            </w:r>
            <w:proofErr w:type="spellStart"/>
            <w:r w:rsidR="00E7333A">
              <w:t>basefile</w:t>
            </w:r>
            <w:proofErr w:type="spellEnd"/>
            <w:r w:rsidR="00E7333A">
              <w:t xml:space="preserve"> for this year is not produced</w:t>
            </w:r>
            <w:r w:rsidR="005F4E17">
              <w:t>.</w:t>
            </w:r>
          </w:p>
          <w:p w14:paraId="30EFBF59" w14:textId="672049EF" w:rsidR="005F4E17" w:rsidRDefault="005F4E17" w:rsidP="005E4779"/>
        </w:tc>
      </w:tr>
      <w:tr w:rsidR="00F36306" w14:paraId="760ECDD9" w14:textId="77777777" w:rsidTr="005C132C">
        <w:tc>
          <w:tcPr>
            <w:tcW w:w="4508" w:type="dxa"/>
          </w:tcPr>
          <w:p w14:paraId="15A885C8" w14:textId="1CE8752D" w:rsidR="00F36306" w:rsidRDefault="00F36306" w:rsidP="005E4779">
            <w:r>
              <w:t>Random numbers</w:t>
            </w:r>
          </w:p>
        </w:tc>
        <w:tc>
          <w:tcPr>
            <w:tcW w:w="4508" w:type="dxa"/>
          </w:tcPr>
          <w:p w14:paraId="7A00B929" w14:textId="77777777" w:rsidR="00726354" w:rsidRDefault="00F36306" w:rsidP="005E4779">
            <w:r>
              <w:t>Th</w:t>
            </w:r>
            <w:r w:rsidR="00E7333A">
              <w:t xml:space="preserve">e random numbers </w:t>
            </w:r>
            <w:r>
              <w:t xml:space="preserve">code </w:t>
            </w:r>
            <w:r w:rsidR="00E7333A">
              <w:t>has been updated to use t</w:t>
            </w:r>
            <w:r>
              <w:t xml:space="preserve">he random number generation </w:t>
            </w:r>
            <w:r w:rsidR="00D21761">
              <w:t xml:space="preserve">algorithm </w:t>
            </w:r>
            <w:r>
              <w:t xml:space="preserve">STREAMINIT (SAS recommended function) and </w:t>
            </w:r>
            <w:r w:rsidR="00854B86">
              <w:t>introduces a seed to ensure easy maintenance and replication.</w:t>
            </w:r>
            <w:r w:rsidR="00E7333A">
              <w:t xml:space="preserve">  </w:t>
            </w:r>
          </w:p>
          <w:p w14:paraId="20CEF83F" w14:textId="77777777" w:rsidR="00726354" w:rsidRDefault="00726354" w:rsidP="005E4779"/>
          <w:p w14:paraId="1B36371A" w14:textId="08CC4DBD" w:rsidR="00F36306" w:rsidRDefault="00E7333A" w:rsidP="005E4779">
            <w:r>
              <w:t xml:space="preserve">The random numbers on the </w:t>
            </w:r>
            <w:proofErr w:type="spellStart"/>
            <w:r>
              <w:t>basefile</w:t>
            </w:r>
            <w:proofErr w:type="spellEnd"/>
            <w:r>
              <w:t xml:space="preserve"> are used for tax deduction imputations, workforce independence imputations and Energy Supplement grandfathering. </w:t>
            </w:r>
            <w:r w:rsidR="00854B86">
              <w:t xml:space="preserve"> </w:t>
            </w:r>
            <w:r>
              <w:t xml:space="preserve"> </w:t>
            </w:r>
          </w:p>
          <w:p w14:paraId="7D210020" w14:textId="220E5742" w:rsidR="00F36306" w:rsidRDefault="00F36306" w:rsidP="005E4779"/>
        </w:tc>
      </w:tr>
      <w:tr w:rsidR="005C132C" w14:paraId="69862AEF" w14:textId="77777777" w:rsidTr="00E1556E">
        <w:tc>
          <w:tcPr>
            <w:tcW w:w="4508" w:type="dxa"/>
            <w:shd w:val="clear" w:color="auto" w:fill="DEEAF6" w:themeFill="accent5" w:themeFillTint="33"/>
          </w:tcPr>
          <w:p w14:paraId="59ADF556" w14:textId="6750D45E" w:rsidR="005C132C" w:rsidRPr="00E1556E" w:rsidRDefault="005C132C" w:rsidP="005E4779">
            <w:pPr>
              <w:rPr>
                <w:i/>
                <w:iCs/>
              </w:rPr>
            </w:pPr>
            <w:r w:rsidRPr="00E1556E">
              <w:rPr>
                <w:i/>
                <w:iCs/>
              </w:rPr>
              <w:t>Policy modules</w:t>
            </w:r>
          </w:p>
        </w:tc>
        <w:tc>
          <w:tcPr>
            <w:tcW w:w="4508" w:type="dxa"/>
            <w:shd w:val="clear" w:color="auto" w:fill="DEEAF6" w:themeFill="accent5" w:themeFillTint="33"/>
          </w:tcPr>
          <w:p w14:paraId="01A9C8BA" w14:textId="77777777" w:rsidR="005C132C" w:rsidRPr="00C92695" w:rsidRDefault="005C132C" w:rsidP="005E4779">
            <w:pPr>
              <w:rPr>
                <w:b/>
                <w:bCs/>
              </w:rPr>
            </w:pPr>
          </w:p>
        </w:tc>
      </w:tr>
      <w:tr w:rsidR="005C132C" w14:paraId="3B723374" w14:textId="77777777" w:rsidTr="005C132C">
        <w:tc>
          <w:tcPr>
            <w:tcW w:w="4508" w:type="dxa"/>
          </w:tcPr>
          <w:p w14:paraId="5B2A08D6" w14:textId="3B74E6A3" w:rsidR="005C132C" w:rsidRDefault="00BB01EF" w:rsidP="005E4779">
            <w:r>
              <w:t xml:space="preserve">Update names from </w:t>
            </w:r>
            <w:proofErr w:type="spellStart"/>
            <w:r>
              <w:t>N</w:t>
            </w:r>
            <w:r w:rsidR="00E7333A">
              <w:t>ew</w:t>
            </w:r>
            <w:r>
              <w:t>S</w:t>
            </w:r>
            <w:r w:rsidR="00E7333A">
              <w:t>tart</w:t>
            </w:r>
            <w:proofErr w:type="spellEnd"/>
            <w:r>
              <w:t xml:space="preserve"> </w:t>
            </w:r>
            <w:r w:rsidR="00E7333A">
              <w:t xml:space="preserve">(NSA) </w:t>
            </w:r>
            <w:r>
              <w:t xml:space="preserve">to </w:t>
            </w:r>
            <w:proofErr w:type="spellStart"/>
            <w:r w:rsidR="00E7333A">
              <w:t>JobSeeker</w:t>
            </w:r>
            <w:proofErr w:type="spellEnd"/>
            <w:r w:rsidR="00E7333A">
              <w:t xml:space="preserve"> Payment (</w:t>
            </w:r>
            <w:r>
              <w:t>JSP</w:t>
            </w:r>
            <w:r w:rsidR="00E7333A">
              <w:t>)</w:t>
            </w:r>
            <w:r>
              <w:t xml:space="preserve"> </w:t>
            </w:r>
          </w:p>
        </w:tc>
        <w:tc>
          <w:tcPr>
            <w:tcW w:w="4508" w:type="dxa"/>
          </w:tcPr>
          <w:p w14:paraId="38FABFAA" w14:textId="62FDA379" w:rsidR="005C132C" w:rsidRDefault="00BB01EF" w:rsidP="005E4779">
            <w:r>
              <w:t>Changes to all policy modules with references to NSA.</w:t>
            </w:r>
            <w:r w:rsidR="00D21761">
              <w:t xml:space="preserve"> This is a cosmetic change, the SIH variable read in for the purposes of creating a receipt flag remains as NSA. </w:t>
            </w:r>
          </w:p>
          <w:p w14:paraId="76A1E244" w14:textId="485D2900" w:rsidR="005F4E17" w:rsidRDefault="005F4E17" w:rsidP="005E4779"/>
        </w:tc>
      </w:tr>
      <w:tr w:rsidR="00BB01EF" w14:paraId="76DA84BE" w14:textId="77777777" w:rsidTr="005C132C">
        <w:tc>
          <w:tcPr>
            <w:tcW w:w="4508" w:type="dxa"/>
          </w:tcPr>
          <w:p w14:paraId="64EB8D65" w14:textId="4249BF27" w:rsidR="00BB01EF" w:rsidRDefault="00BB01EF" w:rsidP="005E4779">
            <w:r>
              <w:t xml:space="preserve">Update </w:t>
            </w:r>
            <w:r w:rsidR="007418D5">
              <w:t>Childcare module to include changes</w:t>
            </w:r>
          </w:p>
        </w:tc>
        <w:tc>
          <w:tcPr>
            <w:tcW w:w="4508" w:type="dxa"/>
          </w:tcPr>
          <w:p w14:paraId="72588C22" w14:textId="77777777" w:rsidR="00D21761" w:rsidRDefault="007418D5" w:rsidP="005E4779">
            <w:r>
              <w:t>Budget 2021-22 introduced changes to the Childcare subsidy for families with multiple children under 6</w:t>
            </w:r>
            <w:r w:rsidR="005F4E17">
              <w:t xml:space="preserve"> attending </w:t>
            </w:r>
            <w:proofErr w:type="gramStart"/>
            <w:r w:rsidR="005F4E17">
              <w:t>childcare</w:t>
            </w:r>
            <w:proofErr w:type="gramEnd"/>
            <w:r w:rsidR="005F4E17">
              <w:t xml:space="preserve"> by</w:t>
            </w:r>
            <w:r w:rsidR="00D21761">
              <w:t>:</w:t>
            </w:r>
          </w:p>
          <w:p w14:paraId="4FE0198A" w14:textId="77777777" w:rsidR="00D21761" w:rsidRDefault="005F4E17" w:rsidP="00D21761">
            <w:pPr>
              <w:pStyle w:val="Bullet"/>
            </w:pPr>
            <w:r>
              <w:t>providing a higher subsidy for additional child under 6 (“higher rate children”)</w:t>
            </w:r>
            <w:r w:rsidR="00D21761">
              <w:t>;</w:t>
            </w:r>
            <w:r>
              <w:t xml:space="preserve"> and</w:t>
            </w:r>
          </w:p>
          <w:p w14:paraId="38F43D8E" w14:textId="77777777" w:rsidR="00D21761" w:rsidRDefault="005F4E17" w:rsidP="00D21761">
            <w:pPr>
              <w:pStyle w:val="Bullet"/>
            </w:pPr>
            <w:r>
              <w:t xml:space="preserve">removing the annual </w:t>
            </w:r>
            <w:r w:rsidR="00D21761">
              <w:t xml:space="preserve">CCS </w:t>
            </w:r>
            <w:r>
              <w:t xml:space="preserve">cap. </w:t>
            </w:r>
          </w:p>
          <w:p w14:paraId="0F9B52C9" w14:textId="77777777" w:rsidR="00D21761" w:rsidRDefault="00D21761" w:rsidP="00D21761">
            <w:pPr>
              <w:pStyle w:val="Bullet"/>
              <w:numPr>
                <w:ilvl w:val="0"/>
                <w:numId w:val="0"/>
              </w:numPr>
            </w:pPr>
          </w:p>
          <w:p w14:paraId="1B9E89D4" w14:textId="0CEA3260" w:rsidR="005F4E17" w:rsidRDefault="005F4E17" w:rsidP="00D21761">
            <w:pPr>
              <w:pStyle w:val="Bullet"/>
              <w:numPr>
                <w:ilvl w:val="0"/>
                <w:numId w:val="0"/>
              </w:numPr>
            </w:pPr>
            <w:r>
              <w:t xml:space="preserve">The higher rate children will attract a CCS rate 30 per cent higher than the base rate, capped at 95 per cent. </w:t>
            </w:r>
          </w:p>
          <w:p w14:paraId="096EC194" w14:textId="77777777" w:rsidR="005F4E17" w:rsidRDefault="005F4E17" w:rsidP="005E4779"/>
          <w:p w14:paraId="08DA6853" w14:textId="77777777" w:rsidR="00BB01EF" w:rsidRDefault="005F4E17" w:rsidP="005E4779">
            <w:r>
              <w:t xml:space="preserve">The childcare module and cameo module was updated to include these changes. </w:t>
            </w:r>
          </w:p>
          <w:p w14:paraId="3B9C50F4" w14:textId="54C3AE8D" w:rsidR="00D21761" w:rsidRDefault="00D21761" w:rsidP="005E4779"/>
        </w:tc>
      </w:tr>
      <w:tr w:rsidR="005C132C" w14:paraId="3B64B673" w14:textId="77777777" w:rsidTr="00E1556E">
        <w:tc>
          <w:tcPr>
            <w:tcW w:w="4508" w:type="dxa"/>
            <w:shd w:val="clear" w:color="auto" w:fill="DEEAF6" w:themeFill="accent5" w:themeFillTint="33"/>
          </w:tcPr>
          <w:p w14:paraId="272CC095" w14:textId="74423AC2" w:rsidR="005C132C" w:rsidRPr="00E1556E" w:rsidRDefault="005C132C" w:rsidP="005E4779">
            <w:pPr>
              <w:rPr>
                <w:i/>
                <w:iCs/>
              </w:rPr>
            </w:pPr>
            <w:r w:rsidRPr="00E1556E">
              <w:rPr>
                <w:i/>
                <w:iCs/>
              </w:rPr>
              <w:t>Parameters</w:t>
            </w:r>
          </w:p>
        </w:tc>
        <w:tc>
          <w:tcPr>
            <w:tcW w:w="4508" w:type="dxa"/>
            <w:shd w:val="clear" w:color="auto" w:fill="DEEAF6" w:themeFill="accent5" w:themeFillTint="33"/>
          </w:tcPr>
          <w:p w14:paraId="7AE4ECFE" w14:textId="77777777" w:rsidR="005C132C" w:rsidRPr="00C92695" w:rsidRDefault="005C132C" w:rsidP="005E4779">
            <w:pPr>
              <w:rPr>
                <w:b/>
                <w:bCs/>
              </w:rPr>
            </w:pPr>
          </w:p>
        </w:tc>
      </w:tr>
      <w:tr w:rsidR="005C132C" w14:paraId="0C499FF5" w14:textId="77777777" w:rsidTr="005C132C">
        <w:tc>
          <w:tcPr>
            <w:tcW w:w="4508" w:type="dxa"/>
          </w:tcPr>
          <w:p w14:paraId="1AAD6060" w14:textId="6B4F5313" w:rsidR="005C132C" w:rsidRDefault="007418D5" w:rsidP="005E4779">
            <w:r>
              <w:t xml:space="preserve">Update CPS </w:t>
            </w:r>
          </w:p>
        </w:tc>
        <w:tc>
          <w:tcPr>
            <w:tcW w:w="4508" w:type="dxa"/>
          </w:tcPr>
          <w:p w14:paraId="378889EC" w14:textId="77777777" w:rsidR="005E4C1F" w:rsidRDefault="007418D5" w:rsidP="005E4779">
            <w:r>
              <w:t>Policy parameters updated to Budget 2021-22 parameters</w:t>
            </w:r>
            <w:r w:rsidR="00A63F1B">
              <w:t>.</w:t>
            </w:r>
            <w:r w:rsidR="009112E1">
              <w:t xml:space="preserve"> </w:t>
            </w:r>
          </w:p>
          <w:p w14:paraId="3ED96B3A" w14:textId="77777777" w:rsidR="005E4C1F" w:rsidRDefault="005E4C1F" w:rsidP="005E4779"/>
          <w:p w14:paraId="769469FD" w14:textId="4D31B24A" w:rsidR="005C132C" w:rsidRDefault="009112E1" w:rsidP="005E4779">
            <w:r>
              <w:t xml:space="preserve">This includes changes to </w:t>
            </w:r>
            <w:proofErr w:type="spellStart"/>
            <w:r>
              <w:t>JobSeeker</w:t>
            </w:r>
            <w:proofErr w:type="spellEnd"/>
            <w:r>
              <w:t xml:space="preserve"> as announced on 1 April 2021 and </w:t>
            </w:r>
            <w:proofErr w:type="gramStart"/>
            <w:r w:rsidR="00E7333A">
              <w:t>Low and Middle Incom</w:t>
            </w:r>
            <w:r w:rsidR="00F23675">
              <w:t>e</w:t>
            </w:r>
            <w:proofErr w:type="gramEnd"/>
            <w:r w:rsidR="00E7333A">
              <w:t xml:space="preserve"> Tax Offset (</w:t>
            </w:r>
            <w:r>
              <w:t>LMITO</w:t>
            </w:r>
            <w:r w:rsidR="00E7333A">
              <w:t>)</w:t>
            </w:r>
            <w:r>
              <w:t xml:space="preserve"> extension by one year. </w:t>
            </w:r>
          </w:p>
          <w:p w14:paraId="0856FD8C" w14:textId="3DE0DD3E" w:rsidR="007E1FCB" w:rsidRDefault="007E1FCB" w:rsidP="005E4779"/>
        </w:tc>
      </w:tr>
      <w:tr w:rsidR="005C132C" w14:paraId="010725BD" w14:textId="77777777" w:rsidTr="00E1556E">
        <w:tc>
          <w:tcPr>
            <w:tcW w:w="4508" w:type="dxa"/>
            <w:shd w:val="clear" w:color="auto" w:fill="DEEAF6" w:themeFill="accent5" w:themeFillTint="33"/>
          </w:tcPr>
          <w:p w14:paraId="51026799" w14:textId="7CC8BE08" w:rsidR="005C132C" w:rsidRPr="00E1556E" w:rsidRDefault="005C132C" w:rsidP="005E4779">
            <w:pPr>
              <w:rPr>
                <w:i/>
                <w:iCs/>
              </w:rPr>
            </w:pPr>
            <w:r w:rsidRPr="00E1556E">
              <w:rPr>
                <w:i/>
                <w:iCs/>
              </w:rPr>
              <w:lastRenderedPageBreak/>
              <w:t>Cameo code and output</w:t>
            </w:r>
          </w:p>
        </w:tc>
        <w:tc>
          <w:tcPr>
            <w:tcW w:w="4508" w:type="dxa"/>
            <w:shd w:val="clear" w:color="auto" w:fill="DEEAF6" w:themeFill="accent5" w:themeFillTint="33"/>
          </w:tcPr>
          <w:p w14:paraId="644D356B" w14:textId="77777777" w:rsidR="005C132C" w:rsidRPr="00C92695" w:rsidRDefault="005C132C" w:rsidP="005E4779">
            <w:pPr>
              <w:rPr>
                <w:b/>
                <w:bCs/>
              </w:rPr>
            </w:pPr>
          </w:p>
        </w:tc>
      </w:tr>
      <w:tr w:rsidR="00D21761" w14:paraId="4931065A" w14:textId="77777777" w:rsidTr="00D21761">
        <w:tc>
          <w:tcPr>
            <w:tcW w:w="4508" w:type="dxa"/>
            <w:shd w:val="clear" w:color="auto" w:fill="auto"/>
          </w:tcPr>
          <w:p w14:paraId="7CCEAB0C" w14:textId="581BF3D7" w:rsidR="00D21761" w:rsidRPr="00D21761" w:rsidRDefault="00D21761" w:rsidP="005E4779">
            <w:r>
              <w:t>Update to cameo input spreadsheet</w:t>
            </w:r>
          </w:p>
        </w:tc>
        <w:tc>
          <w:tcPr>
            <w:tcW w:w="4508" w:type="dxa"/>
            <w:shd w:val="clear" w:color="auto" w:fill="auto"/>
          </w:tcPr>
          <w:p w14:paraId="107D53DB" w14:textId="77777777" w:rsidR="00D21761" w:rsidRDefault="00DB5AF6" w:rsidP="005E4779">
            <w:r>
              <w:t xml:space="preserve">An additional sheet has been added to the cameo input spreadsheet to explain the use of each variable. </w:t>
            </w:r>
          </w:p>
          <w:p w14:paraId="1F84EAD1" w14:textId="18ABC3A5" w:rsidR="00DB5AF6" w:rsidRPr="00DB5AF6" w:rsidRDefault="00DB5AF6" w:rsidP="005E4779"/>
        </w:tc>
      </w:tr>
      <w:tr w:rsidR="00C92695" w14:paraId="6D43BA91" w14:textId="77777777" w:rsidTr="005C132C">
        <w:tc>
          <w:tcPr>
            <w:tcW w:w="4508" w:type="dxa"/>
          </w:tcPr>
          <w:p w14:paraId="5D95C450" w14:textId="6672726D" w:rsidR="00C92695" w:rsidRPr="007E1FCB" w:rsidRDefault="007E1FCB" w:rsidP="005E4779">
            <w:r>
              <w:t>Update EMTR output</w:t>
            </w:r>
          </w:p>
        </w:tc>
        <w:tc>
          <w:tcPr>
            <w:tcW w:w="4508" w:type="dxa"/>
          </w:tcPr>
          <w:p w14:paraId="5FD12DDD" w14:textId="239C01E5" w:rsidR="007E1FCB" w:rsidRDefault="007E1FCB" w:rsidP="005E4779">
            <w:r>
              <w:t xml:space="preserve">The cameo code provides EMTR functionality. In previous versions, where there </w:t>
            </w:r>
            <w:r w:rsidR="009D4CF2">
              <w:t>were</w:t>
            </w:r>
            <w:r>
              <w:t xml:space="preserve"> many lines of output due to large income ranges or small increments</w:t>
            </w:r>
            <w:r w:rsidR="00E7333A">
              <w:t xml:space="preserve"> and this meant at times </w:t>
            </w:r>
            <w:r>
              <w:t xml:space="preserve">the output was not able to be exported to Excel to produce charts. Childcare was also not included in EMTR output due to the differences in how income was defined for EMTR runs compared to cameo runs. </w:t>
            </w:r>
          </w:p>
          <w:p w14:paraId="3AA2ADD1" w14:textId="0DF2ED8A" w:rsidR="007E1FCB" w:rsidRDefault="007E1FCB" w:rsidP="005E4779"/>
          <w:p w14:paraId="0CF0FE27" w14:textId="21DCFBE0" w:rsidR="00972587" w:rsidRDefault="007E1FCB" w:rsidP="005E4779">
            <w:r>
              <w:t>To fix this, we have introduced a toggle (</w:t>
            </w:r>
            <w:proofErr w:type="spellStart"/>
            <w:r>
              <w:t>IncSource</w:t>
            </w:r>
            <w:proofErr w:type="spellEnd"/>
            <w:r>
              <w:t xml:space="preserve">) to allow the user to decide how to set income and updated the output for EMTR runs. The EMTR standard template also includes WDR charts. </w:t>
            </w:r>
            <w:r w:rsidR="00417541">
              <w:t>Further information of this change is provided in the updated CAPITA documentation.</w:t>
            </w:r>
          </w:p>
          <w:p w14:paraId="5599183D" w14:textId="5F9FB509" w:rsidR="007E1FCB" w:rsidRPr="007E1FCB" w:rsidRDefault="007E1FCB" w:rsidP="005E4779">
            <w:r>
              <w:t xml:space="preserve"> </w:t>
            </w:r>
          </w:p>
        </w:tc>
      </w:tr>
    </w:tbl>
    <w:p w14:paraId="52ED8A08" w14:textId="19423164" w:rsidR="00D747D5" w:rsidRPr="004E3DB4" w:rsidRDefault="00D747D5" w:rsidP="00145E4D">
      <w:pPr>
        <w:pStyle w:val="Heading2"/>
      </w:pPr>
    </w:p>
    <w:sectPr w:rsidR="00D747D5" w:rsidRPr="004E3D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D88CD" w14:textId="77777777" w:rsidR="000F023D" w:rsidRDefault="000F023D" w:rsidP="000F023D">
      <w:pPr>
        <w:spacing w:after="0" w:line="240" w:lineRule="auto"/>
      </w:pPr>
      <w:r>
        <w:separator/>
      </w:r>
    </w:p>
  </w:endnote>
  <w:endnote w:type="continuationSeparator" w:id="0">
    <w:p w14:paraId="1758FF35" w14:textId="77777777" w:rsidR="000F023D" w:rsidRDefault="000F023D" w:rsidP="000F0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D7ADD" w14:textId="77777777" w:rsidR="000F023D" w:rsidRDefault="000F023D" w:rsidP="000F023D">
      <w:pPr>
        <w:spacing w:after="0" w:line="240" w:lineRule="auto"/>
      </w:pPr>
      <w:r>
        <w:separator/>
      </w:r>
    </w:p>
  </w:footnote>
  <w:footnote w:type="continuationSeparator" w:id="0">
    <w:p w14:paraId="64887E77" w14:textId="77777777" w:rsidR="000F023D" w:rsidRDefault="000F023D" w:rsidP="000F0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769A5"/>
    <w:multiLevelType w:val="hybridMultilevel"/>
    <w:tmpl w:val="A36879F6"/>
    <w:lvl w:ilvl="0" w:tplc="E486AF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B8D5BD3"/>
    <w:multiLevelType w:val="multilevel"/>
    <w:tmpl w:val="689470F0"/>
    <w:name w:val="StandardBulletedList"/>
    <w:lvl w:ilvl="0">
      <w:start w:val="1"/>
      <w:numFmt w:val="bullet"/>
      <w:pStyle w:val="Bullet"/>
      <w:lvlText w:val="•"/>
      <w:lvlJc w:val="left"/>
      <w:pPr>
        <w:tabs>
          <w:tab w:val="num" w:pos="520"/>
        </w:tabs>
        <w:ind w:left="520" w:hanging="520"/>
      </w:pPr>
      <w:rPr>
        <w:rFonts w:ascii="Times New Roman" w:hAnsi="Times New Roman" w:cs="Times New Roman"/>
      </w:rPr>
    </w:lvl>
    <w:lvl w:ilvl="1">
      <w:start w:val="1"/>
      <w:numFmt w:val="bullet"/>
      <w:pStyle w:val="Dash"/>
      <w:lvlText w:val="–"/>
      <w:lvlJc w:val="left"/>
      <w:pPr>
        <w:tabs>
          <w:tab w:val="num" w:pos="1040"/>
        </w:tabs>
        <w:ind w:left="1040" w:hanging="520"/>
      </w:pPr>
      <w:rPr>
        <w:rFonts w:ascii="Times New Roman" w:hAnsi="Times New Roman" w:cs="Times New Roman"/>
      </w:rPr>
    </w:lvl>
    <w:lvl w:ilvl="2">
      <w:start w:val="1"/>
      <w:numFmt w:val="bullet"/>
      <w:pStyle w:val="DoubleDo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F1"/>
    <w:rsid w:val="000C7566"/>
    <w:rsid w:val="000F023D"/>
    <w:rsid w:val="00145E4D"/>
    <w:rsid w:val="0019269E"/>
    <w:rsid w:val="001D7C3D"/>
    <w:rsid w:val="001F7EC6"/>
    <w:rsid w:val="0020103A"/>
    <w:rsid w:val="002267F6"/>
    <w:rsid w:val="003C2BF8"/>
    <w:rsid w:val="00417541"/>
    <w:rsid w:val="004E3DB4"/>
    <w:rsid w:val="005449B6"/>
    <w:rsid w:val="00547F1C"/>
    <w:rsid w:val="00581083"/>
    <w:rsid w:val="00596DE9"/>
    <w:rsid w:val="005B47F1"/>
    <w:rsid w:val="005C132C"/>
    <w:rsid w:val="005E4779"/>
    <w:rsid w:val="005E4C1F"/>
    <w:rsid w:val="005F4E17"/>
    <w:rsid w:val="00613E72"/>
    <w:rsid w:val="006807FD"/>
    <w:rsid w:val="006C0A84"/>
    <w:rsid w:val="006C1653"/>
    <w:rsid w:val="007038D2"/>
    <w:rsid w:val="00711AA8"/>
    <w:rsid w:val="00726354"/>
    <w:rsid w:val="007418D5"/>
    <w:rsid w:val="007E1FCB"/>
    <w:rsid w:val="008176C2"/>
    <w:rsid w:val="00854B86"/>
    <w:rsid w:val="008C1DF0"/>
    <w:rsid w:val="009112E1"/>
    <w:rsid w:val="00925500"/>
    <w:rsid w:val="00970B99"/>
    <w:rsid w:val="00972587"/>
    <w:rsid w:val="009D225E"/>
    <w:rsid w:val="009D4CF2"/>
    <w:rsid w:val="00A32102"/>
    <w:rsid w:val="00A343E7"/>
    <w:rsid w:val="00A35F61"/>
    <w:rsid w:val="00A63F1B"/>
    <w:rsid w:val="00AC1D6D"/>
    <w:rsid w:val="00B817FA"/>
    <w:rsid w:val="00B943F4"/>
    <w:rsid w:val="00BB01EF"/>
    <w:rsid w:val="00BE2954"/>
    <w:rsid w:val="00C27C3F"/>
    <w:rsid w:val="00C37DA1"/>
    <w:rsid w:val="00C4194C"/>
    <w:rsid w:val="00C92695"/>
    <w:rsid w:val="00CD427A"/>
    <w:rsid w:val="00D02705"/>
    <w:rsid w:val="00D21761"/>
    <w:rsid w:val="00D55671"/>
    <w:rsid w:val="00D747D5"/>
    <w:rsid w:val="00D7533F"/>
    <w:rsid w:val="00DB5AF6"/>
    <w:rsid w:val="00E032AC"/>
    <w:rsid w:val="00E1556E"/>
    <w:rsid w:val="00E574CC"/>
    <w:rsid w:val="00E7333A"/>
    <w:rsid w:val="00F23675"/>
    <w:rsid w:val="00F36306"/>
    <w:rsid w:val="00F54FA5"/>
    <w:rsid w:val="00F87F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292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7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7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7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779"/>
    <w:rPr>
      <w:rFonts w:asciiTheme="majorHAnsi" w:eastAsiaTheme="majorEastAsia" w:hAnsiTheme="majorHAnsi" w:cstheme="majorBidi"/>
      <w:color w:val="2F5496" w:themeColor="accent1" w:themeShade="BF"/>
      <w:sz w:val="26"/>
      <w:szCs w:val="26"/>
    </w:rPr>
  </w:style>
  <w:style w:type="paragraph" w:customStyle="1" w:styleId="Bullet">
    <w:name w:val="Bullet"/>
    <w:basedOn w:val="Normal"/>
    <w:link w:val="BulletChar"/>
    <w:rsid w:val="004E3DB4"/>
    <w:pPr>
      <w:numPr>
        <w:numId w:val="1"/>
      </w:numPr>
    </w:pPr>
  </w:style>
  <w:style w:type="character" w:customStyle="1" w:styleId="BulletChar">
    <w:name w:val="Bullet Char"/>
    <w:basedOn w:val="DefaultParagraphFont"/>
    <w:link w:val="Bullet"/>
    <w:rsid w:val="004E3DB4"/>
  </w:style>
  <w:style w:type="paragraph" w:customStyle="1" w:styleId="Dash">
    <w:name w:val="Dash"/>
    <w:basedOn w:val="Normal"/>
    <w:link w:val="DashChar"/>
    <w:rsid w:val="004E3DB4"/>
    <w:pPr>
      <w:numPr>
        <w:ilvl w:val="1"/>
        <w:numId w:val="1"/>
      </w:numPr>
    </w:pPr>
  </w:style>
  <w:style w:type="character" w:customStyle="1" w:styleId="DashChar">
    <w:name w:val="Dash Char"/>
    <w:basedOn w:val="DefaultParagraphFont"/>
    <w:link w:val="Dash"/>
    <w:rsid w:val="004E3DB4"/>
  </w:style>
  <w:style w:type="paragraph" w:customStyle="1" w:styleId="DoubleDot">
    <w:name w:val="Double Dot"/>
    <w:basedOn w:val="Normal"/>
    <w:link w:val="DoubleDotChar"/>
    <w:rsid w:val="004E3DB4"/>
    <w:pPr>
      <w:numPr>
        <w:ilvl w:val="2"/>
        <w:numId w:val="1"/>
      </w:numPr>
    </w:pPr>
  </w:style>
  <w:style w:type="character" w:customStyle="1" w:styleId="DoubleDotChar">
    <w:name w:val="Double Dot Char"/>
    <w:basedOn w:val="DefaultParagraphFont"/>
    <w:link w:val="DoubleDot"/>
    <w:rsid w:val="004E3DB4"/>
  </w:style>
  <w:style w:type="table" w:styleId="TableGrid">
    <w:name w:val="Table Grid"/>
    <w:basedOn w:val="TableNormal"/>
    <w:uiPriority w:val="39"/>
    <w:rsid w:val="005C1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671"/>
    <w:pPr>
      <w:ind w:left="720"/>
      <w:contextualSpacing/>
    </w:pPr>
  </w:style>
  <w:style w:type="table" w:styleId="GridTable5Dark-Accent1">
    <w:name w:val="Grid Table 5 Dark Accent 1"/>
    <w:basedOn w:val="TableNormal"/>
    <w:uiPriority w:val="50"/>
    <w:rsid w:val="00D556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0F0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23D"/>
  </w:style>
  <w:style w:type="paragraph" w:styleId="Footer">
    <w:name w:val="footer"/>
    <w:basedOn w:val="Normal"/>
    <w:link w:val="FooterChar"/>
    <w:uiPriority w:val="99"/>
    <w:unhideWhenUsed/>
    <w:rsid w:val="000F02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2AACA-E134-4284-B6E7-9CA0DA08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2021-12-02T00:10:00Z</dcterms:created>
  <dcterms:modified xsi:type="dcterms:W3CDTF">2021-12-02T00:10:00Z</dcterms:modified>
</cp:coreProperties>
</file>