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B6EFF" w14:textId="77777777" w:rsidR="0086122B" w:rsidRDefault="0049077A" w:rsidP="00FD3033">
      <w:r>
        <w:t>As part of our funding commitments, National Science Foundation (</w:t>
      </w:r>
      <w:r w:rsidR="0086122B">
        <w:t>NSF</w:t>
      </w:r>
      <w:r>
        <w:t xml:space="preserve">) funded projects such as </w:t>
      </w:r>
      <w:r w:rsidR="0086122B">
        <w:t>CAP/LTER</w:t>
      </w:r>
      <w:r>
        <w:t xml:space="preserve"> are</w:t>
      </w:r>
      <w:r w:rsidR="0086122B">
        <w:t xml:space="preserve"> required to make as much </w:t>
      </w:r>
      <w:r>
        <w:t xml:space="preserve">research </w:t>
      </w:r>
      <w:r w:rsidR="0086122B">
        <w:t>data as possible available for public consumption.  This commitment includes the provision of metadata to enable data users to assess the content and significance of the data they download.</w:t>
      </w:r>
    </w:p>
    <w:p w14:paraId="427DF1DF" w14:textId="77777777" w:rsidR="00FD3033" w:rsidRDefault="0086122B" w:rsidP="00FD3033">
      <w:r>
        <w:t>For each dataset associated with your project please provide the following information</w:t>
      </w:r>
      <w:r w:rsidR="000D0D8A">
        <w:t xml:space="preserve">. </w:t>
      </w:r>
      <w:r w:rsidR="00F902B2">
        <w:t>I</w:t>
      </w:r>
      <w:r>
        <w:t xml:space="preserve">f you do not know </w:t>
      </w:r>
      <w:r w:rsidR="00031CD3">
        <w:t>the required information, or need help completing this form, please contact the GIOS Informati</w:t>
      </w:r>
      <w:r w:rsidR="005A64D8">
        <w:t>cs team</w:t>
      </w:r>
      <w:r w:rsidR="00031CD3">
        <w:t xml:space="preserve"> [</w:t>
      </w:r>
      <w:hyperlink r:id="rId9" w:history="1">
        <w:r w:rsidR="00031CD3" w:rsidRPr="006E2DF4">
          <w:rPr>
            <w:rStyle w:val="Hyperlink"/>
          </w:rPr>
          <w:t>caplter.data@asu.edu</w:t>
        </w:r>
      </w:hyperlink>
      <w:r w:rsidR="00031CD3">
        <w:t>] for assistance.</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168"/>
        <w:gridCol w:w="6408"/>
      </w:tblGrid>
      <w:tr w:rsidR="00D96434" w:rsidRPr="00F24CE0" w14:paraId="1B468460" w14:textId="77777777" w:rsidTr="00285639">
        <w:tc>
          <w:tcPr>
            <w:tcW w:w="3168" w:type="dxa"/>
            <w:tcBorders>
              <w:top w:val="single" w:sz="8" w:space="0" w:color="000000"/>
              <w:bottom w:val="single" w:sz="8" w:space="0" w:color="000000"/>
              <w:right w:val="single" w:sz="4" w:space="0" w:color="auto"/>
            </w:tcBorders>
            <w:shd w:val="clear" w:color="auto" w:fill="000000"/>
          </w:tcPr>
          <w:p w14:paraId="74B4CB8E" w14:textId="77777777" w:rsidR="00D96434" w:rsidRPr="00F24CE0" w:rsidRDefault="006C0D6A" w:rsidP="006C0D6A">
            <w:pPr>
              <w:spacing w:after="0" w:line="240" w:lineRule="auto"/>
              <w:rPr>
                <w:b/>
                <w:bCs/>
                <w:color w:val="FFFFFF"/>
              </w:rPr>
            </w:pPr>
            <w:r>
              <w:rPr>
                <w:b/>
                <w:bCs/>
                <w:color w:val="FFFFFF"/>
              </w:rPr>
              <w:t>Project Information</w:t>
            </w:r>
          </w:p>
        </w:tc>
        <w:tc>
          <w:tcPr>
            <w:tcW w:w="6408" w:type="dxa"/>
            <w:tcBorders>
              <w:left w:val="single" w:sz="4" w:space="0" w:color="auto"/>
            </w:tcBorders>
            <w:shd w:val="clear" w:color="auto" w:fill="000000"/>
          </w:tcPr>
          <w:p w14:paraId="56F1F4BB" w14:textId="77777777" w:rsidR="00D96434" w:rsidRPr="00F24CE0" w:rsidRDefault="00D96434" w:rsidP="00F24CE0">
            <w:pPr>
              <w:spacing w:after="0" w:line="240" w:lineRule="auto"/>
              <w:rPr>
                <w:b/>
                <w:bCs/>
                <w:color w:val="FFFFFF"/>
              </w:rPr>
            </w:pPr>
          </w:p>
        </w:tc>
      </w:tr>
      <w:tr w:rsidR="00C664B4" w:rsidRPr="00F24CE0" w14:paraId="74150029" w14:textId="77777777" w:rsidTr="00285639">
        <w:tc>
          <w:tcPr>
            <w:tcW w:w="3168" w:type="dxa"/>
            <w:tcBorders>
              <w:top w:val="single" w:sz="8" w:space="0" w:color="000000"/>
              <w:left w:val="single" w:sz="8" w:space="0" w:color="000000"/>
              <w:bottom w:val="single" w:sz="8" w:space="0" w:color="000000"/>
              <w:right w:val="single" w:sz="4" w:space="0" w:color="auto"/>
            </w:tcBorders>
          </w:tcPr>
          <w:p w14:paraId="7B511390" w14:textId="77777777" w:rsidR="00C664B4" w:rsidRPr="00F24CE0" w:rsidRDefault="00C664B4" w:rsidP="006C0D6A">
            <w:pPr>
              <w:spacing w:after="0" w:line="240" w:lineRule="auto"/>
              <w:rPr>
                <w:b/>
                <w:bCs/>
              </w:rPr>
            </w:pPr>
            <w:r w:rsidRPr="00F24CE0">
              <w:rPr>
                <w:b/>
                <w:bCs/>
              </w:rPr>
              <w:t xml:space="preserve">Project </w:t>
            </w:r>
            <w:r w:rsidR="006C0D6A">
              <w:rPr>
                <w:b/>
                <w:bCs/>
              </w:rPr>
              <w:t>t</w:t>
            </w:r>
            <w:r w:rsidR="002510B2" w:rsidRPr="00F24CE0">
              <w:rPr>
                <w:b/>
                <w:bCs/>
              </w:rPr>
              <w:t>itle</w:t>
            </w:r>
          </w:p>
        </w:tc>
        <w:tc>
          <w:tcPr>
            <w:tcW w:w="6408" w:type="dxa"/>
            <w:tcBorders>
              <w:top w:val="single" w:sz="8" w:space="0" w:color="000000"/>
              <w:left w:val="single" w:sz="4" w:space="0" w:color="auto"/>
              <w:bottom w:val="single" w:sz="8" w:space="0" w:color="000000"/>
              <w:right w:val="single" w:sz="8" w:space="0" w:color="000000"/>
            </w:tcBorders>
          </w:tcPr>
          <w:p w14:paraId="70688075" w14:textId="420EBB07" w:rsidR="00C664B4" w:rsidRPr="00F24CE0" w:rsidRDefault="004766FE" w:rsidP="00F24CE0">
            <w:pPr>
              <w:spacing w:after="0" w:line="240" w:lineRule="auto"/>
            </w:pPr>
            <w:r>
              <w:t>Tres Rios Constructed</w:t>
            </w:r>
            <w:r w:rsidR="00332DF1">
              <w:t xml:space="preserve"> Treatment</w:t>
            </w:r>
            <w:r>
              <w:t xml:space="preserve"> Wetland</w:t>
            </w:r>
          </w:p>
        </w:tc>
      </w:tr>
      <w:tr w:rsidR="00D96434" w:rsidRPr="00F24CE0" w14:paraId="28E061C8" w14:textId="77777777" w:rsidTr="00285639">
        <w:tc>
          <w:tcPr>
            <w:tcW w:w="3168" w:type="dxa"/>
            <w:tcBorders>
              <w:top w:val="single" w:sz="8" w:space="0" w:color="000000"/>
              <w:bottom w:val="single" w:sz="8" w:space="0" w:color="000000"/>
              <w:right w:val="single" w:sz="4" w:space="0" w:color="auto"/>
            </w:tcBorders>
          </w:tcPr>
          <w:p w14:paraId="64B4283E" w14:textId="77777777" w:rsidR="00D96434" w:rsidRPr="00F24CE0" w:rsidRDefault="00D96434" w:rsidP="006C0D6A">
            <w:pPr>
              <w:spacing w:after="0" w:line="240" w:lineRule="auto"/>
              <w:rPr>
                <w:b/>
                <w:bCs/>
              </w:rPr>
            </w:pPr>
            <w:r w:rsidRPr="00F24CE0">
              <w:rPr>
                <w:b/>
                <w:bCs/>
              </w:rPr>
              <w:t xml:space="preserve">Dataset </w:t>
            </w:r>
            <w:r w:rsidR="006C0D6A">
              <w:rPr>
                <w:b/>
                <w:bCs/>
              </w:rPr>
              <w:t>t</w:t>
            </w:r>
            <w:r w:rsidRPr="00F24CE0">
              <w:rPr>
                <w:b/>
                <w:bCs/>
              </w:rPr>
              <w:t>itle</w:t>
            </w:r>
          </w:p>
        </w:tc>
        <w:tc>
          <w:tcPr>
            <w:tcW w:w="6408" w:type="dxa"/>
            <w:tcBorders>
              <w:left w:val="single" w:sz="4" w:space="0" w:color="auto"/>
            </w:tcBorders>
          </w:tcPr>
          <w:p w14:paraId="5FAFAD4D" w14:textId="17F122C1" w:rsidR="00D96434" w:rsidRDefault="00E9395D" w:rsidP="004766FE">
            <w:pPr>
              <w:spacing w:after="0" w:line="240" w:lineRule="auto"/>
            </w:pPr>
            <w:r>
              <w:t xml:space="preserve">Tres Rios - </w:t>
            </w:r>
            <w:r w:rsidR="005B0548">
              <w:t>Primary Productivity</w:t>
            </w:r>
          </w:p>
          <w:p w14:paraId="74351EF6" w14:textId="50B0E458" w:rsidR="00344D96" w:rsidRDefault="00344D96" w:rsidP="004766FE">
            <w:pPr>
              <w:spacing w:after="0" w:line="240" w:lineRule="auto"/>
            </w:pPr>
            <w:r>
              <w:t xml:space="preserve">Tres Rios </w:t>
            </w:r>
            <w:r w:rsidR="00332DF1">
              <w:t>–</w:t>
            </w:r>
            <w:r>
              <w:t xml:space="preserve"> </w:t>
            </w:r>
            <w:r w:rsidR="00D300B2">
              <w:t>Transpiration</w:t>
            </w:r>
          </w:p>
          <w:p w14:paraId="6E78BC65" w14:textId="593E30D0" w:rsidR="007902F7" w:rsidRPr="00F24CE0" w:rsidRDefault="00D300B2" w:rsidP="00997CD5">
            <w:pPr>
              <w:spacing w:after="0" w:line="240" w:lineRule="auto"/>
            </w:pPr>
            <w:r>
              <w:t>Tres Rios – Water Quality</w:t>
            </w:r>
          </w:p>
        </w:tc>
      </w:tr>
      <w:tr w:rsidR="00D96434" w:rsidRPr="00F24CE0" w14:paraId="5AC67A96" w14:textId="77777777" w:rsidTr="00285639">
        <w:tc>
          <w:tcPr>
            <w:tcW w:w="3168" w:type="dxa"/>
            <w:tcBorders>
              <w:top w:val="single" w:sz="8" w:space="0" w:color="000000"/>
              <w:left w:val="single" w:sz="8" w:space="0" w:color="000000"/>
              <w:bottom w:val="single" w:sz="8" w:space="0" w:color="000000"/>
              <w:right w:val="single" w:sz="4" w:space="0" w:color="auto"/>
            </w:tcBorders>
          </w:tcPr>
          <w:p w14:paraId="43140F7F" w14:textId="67F718E5" w:rsidR="00D96434" w:rsidRPr="00F24CE0" w:rsidRDefault="00D96434" w:rsidP="00F902B2">
            <w:pPr>
              <w:spacing w:after="0" w:line="240" w:lineRule="auto"/>
              <w:rPr>
                <w:b/>
                <w:bCs/>
              </w:rPr>
            </w:pPr>
            <w:r w:rsidRPr="00F24CE0">
              <w:rPr>
                <w:b/>
                <w:bCs/>
              </w:rPr>
              <w:t>Creator (created by)</w:t>
            </w:r>
          </w:p>
        </w:tc>
        <w:tc>
          <w:tcPr>
            <w:tcW w:w="6408" w:type="dxa"/>
            <w:tcBorders>
              <w:top w:val="single" w:sz="8" w:space="0" w:color="000000"/>
              <w:left w:val="single" w:sz="4" w:space="0" w:color="auto"/>
              <w:bottom w:val="single" w:sz="8" w:space="0" w:color="000000"/>
              <w:right w:val="single" w:sz="8" w:space="0" w:color="000000"/>
            </w:tcBorders>
          </w:tcPr>
          <w:p w14:paraId="73A34CCE" w14:textId="77777777" w:rsidR="00D96434" w:rsidRPr="00F24CE0" w:rsidRDefault="004766FE" w:rsidP="00F24CE0">
            <w:pPr>
              <w:spacing w:after="0" w:line="240" w:lineRule="auto"/>
            </w:pPr>
            <w:r>
              <w:t>Christopher Sanchez</w:t>
            </w:r>
          </w:p>
        </w:tc>
      </w:tr>
      <w:tr w:rsidR="00D96434" w:rsidRPr="00F24CE0" w14:paraId="67E7FB78" w14:textId="77777777" w:rsidTr="00285639">
        <w:tc>
          <w:tcPr>
            <w:tcW w:w="3168" w:type="dxa"/>
            <w:tcBorders>
              <w:top w:val="single" w:sz="8" w:space="0" w:color="000000"/>
              <w:bottom w:val="single" w:sz="8" w:space="0" w:color="000000"/>
              <w:right w:val="single" w:sz="4" w:space="0" w:color="auto"/>
            </w:tcBorders>
          </w:tcPr>
          <w:p w14:paraId="0B59C129" w14:textId="77777777" w:rsidR="00D96434" w:rsidRPr="00F24CE0" w:rsidRDefault="00D96434" w:rsidP="00285639">
            <w:pPr>
              <w:spacing w:after="0" w:line="240" w:lineRule="auto"/>
              <w:rPr>
                <w:b/>
                <w:bCs/>
              </w:rPr>
            </w:pPr>
            <w:r w:rsidRPr="00F24CE0">
              <w:rPr>
                <w:b/>
                <w:bCs/>
              </w:rPr>
              <w:t xml:space="preserve">Contact </w:t>
            </w:r>
            <w:r w:rsidR="006C0D6A">
              <w:rPr>
                <w:b/>
                <w:bCs/>
              </w:rPr>
              <w:t>d</w:t>
            </w:r>
            <w:r w:rsidRPr="00F24CE0">
              <w:rPr>
                <w:b/>
                <w:bCs/>
              </w:rPr>
              <w:t>etails</w:t>
            </w:r>
          </w:p>
        </w:tc>
        <w:tc>
          <w:tcPr>
            <w:tcW w:w="6408" w:type="dxa"/>
            <w:tcBorders>
              <w:left w:val="single" w:sz="4" w:space="0" w:color="auto"/>
            </w:tcBorders>
          </w:tcPr>
          <w:p w14:paraId="0D53EE41" w14:textId="77777777" w:rsidR="00D96434" w:rsidRPr="00F24CE0" w:rsidRDefault="004766FE" w:rsidP="00F24CE0">
            <w:pPr>
              <w:spacing w:after="0" w:line="240" w:lineRule="auto"/>
            </w:pPr>
            <w:r>
              <w:t>Lab</w:t>
            </w:r>
            <w:r w:rsidR="00D96434" w:rsidRPr="00F24CE0">
              <w:t xml:space="preserve"> Manager </w:t>
            </w:r>
          </w:p>
        </w:tc>
      </w:tr>
      <w:tr w:rsidR="00D96434" w:rsidRPr="00F24CE0" w14:paraId="1748EE34" w14:textId="77777777" w:rsidTr="00285639">
        <w:tc>
          <w:tcPr>
            <w:tcW w:w="3168" w:type="dxa"/>
            <w:tcBorders>
              <w:top w:val="single" w:sz="8" w:space="0" w:color="000000"/>
              <w:left w:val="single" w:sz="8" w:space="0" w:color="000000"/>
              <w:bottom w:val="single" w:sz="8" w:space="0" w:color="000000"/>
              <w:right w:val="single" w:sz="4" w:space="0" w:color="auto"/>
            </w:tcBorders>
          </w:tcPr>
          <w:p w14:paraId="49A70BDA" w14:textId="77777777"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14:paraId="287E7B32" w14:textId="77777777" w:rsidR="00D96434" w:rsidRPr="00F24CE0" w:rsidRDefault="00D96434" w:rsidP="00F24CE0">
            <w:pPr>
              <w:spacing w:after="0" w:line="240" w:lineRule="auto"/>
            </w:pPr>
            <w:r w:rsidRPr="00F24CE0">
              <w:t>Global Institute of Sustainability</w:t>
            </w:r>
          </w:p>
        </w:tc>
      </w:tr>
      <w:tr w:rsidR="00D96434" w:rsidRPr="00F24CE0" w14:paraId="663A7381" w14:textId="77777777" w:rsidTr="00285639">
        <w:tc>
          <w:tcPr>
            <w:tcW w:w="3168" w:type="dxa"/>
            <w:tcBorders>
              <w:top w:val="single" w:sz="8" w:space="0" w:color="000000"/>
              <w:bottom w:val="single" w:sz="8" w:space="0" w:color="000000"/>
              <w:right w:val="single" w:sz="4" w:space="0" w:color="auto"/>
            </w:tcBorders>
          </w:tcPr>
          <w:p w14:paraId="63E70DD7" w14:textId="77777777" w:rsidR="00D96434" w:rsidRPr="00F24CE0" w:rsidRDefault="00D96434" w:rsidP="00F24CE0">
            <w:pPr>
              <w:spacing w:after="0" w:line="240" w:lineRule="auto"/>
              <w:rPr>
                <w:b/>
                <w:bCs/>
              </w:rPr>
            </w:pPr>
          </w:p>
        </w:tc>
        <w:tc>
          <w:tcPr>
            <w:tcW w:w="6408" w:type="dxa"/>
            <w:tcBorders>
              <w:left w:val="single" w:sz="4" w:space="0" w:color="auto"/>
            </w:tcBorders>
          </w:tcPr>
          <w:p w14:paraId="320ADFDA" w14:textId="77777777" w:rsidR="00D96434" w:rsidRPr="00F24CE0" w:rsidRDefault="00D96434" w:rsidP="00F24CE0">
            <w:pPr>
              <w:spacing w:after="0" w:line="240" w:lineRule="auto"/>
            </w:pPr>
            <w:r w:rsidRPr="00F24CE0">
              <w:t>Arizona State University</w:t>
            </w:r>
          </w:p>
        </w:tc>
      </w:tr>
      <w:tr w:rsidR="00D96434" w:rsidRPr="00F24CE0" w14:paraId="1356144C" w14:textId="77777777" w:rsidTr="00285639">
        <w:tc>
          <w:tcPr>
            <w:tcW w:w="3168" w:type="dxa"/>
            <w:tcBorders>
              <w:top w:val="single" w:sz="8" w:space="0" w:color="000000"/>
              <w:left w:val="single" w:sz="8" w:space="0" w:color="000000"/>
              <w:bottom w:val="single" w:sz="8" w:space="0" w:color="000000"/>
              <w:right w:val="single" w:sz="4" w:space="0" w:color="auto"/>
            </w:tcBorders>
          </w:tcPr>
          <w:p w14:paraId="6B6DF660" w14:textId="77777777"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14:paraId="7491AAE5" w14:textId="77777777" w:rsidR="00D96434" w:rsidRPr="00F24CE0" w:rsidRDefault="00D96434" w:rsidP="00F24CE0">
            <w:pPr>
              <w:spacing w:after="0" w:line="240" w:lineRule="auto"/>
            </w:pPr>
            <w:r w:rsidRPr="00F24CE0">
              <w:t>Tempe</w:t>
            </w:r>
          </w:p>
        </w:tc>
      </w:tr>
      <w:tr w:rsidR="00D96434" w:rsidRPr="00F24CE0" w14:paraId="441BB0E6" w14:textId="77777777" w:rsidTr="00285639">
        <w:tc>
          <w:tcPr>
            <w:tcW w:w="3168" w:type="dxa"/>
            <w:tcBorders>
              <w:top w:val="single" w:sz="8" w:space="0" w:color="000000"/>
              <w:bottom w:val="single" w:sz="8" w:space="0" w:color="000000"/>
              <w:right w:val="single" w:sz="4" w:space="0" w:color="auto"/>
            </w:tcBorders>
          </w:tcPr>
          <w:p w14:paraId="685559E2" w14:textId="77777777" w:rsidR="00D96434" w:rsidRPr="00F24CE0" w:rsidRDefault="00D96434" w:rsidP="00F24CE0">
            <w:pPr>
              <w:spacing w:after="0" w:line="240" w:lineRule="auto"/>
              <w:rPr>
                <w:b/>
                <w:bCs/>
              </w:rPr>
            </w:pPr>
          </w:p>
        </w:tc>
        <w:tc>
          <w:tcPr>
            <w:tcW w:w="6408" w:type="dxa"/>
            <w:tcBorders>
              <w:left w:val="single" w:sz="4" w:space="0" w:color="auto"/>
            </w:tcBorders>
          </w:tcPr>
          <w:p w14:paraId="2D662EBC" w14:textId="77777777" w:rsidR="00D96434" w:rsidRPr="00F24CE0" w:rsidRDefault="00D96434" w:rsidP="00F24CE0">
            <w:pPr>
              <w:spacing w:after="0" w:line="240" w:lineRule="auto"/>
            </w:pPr>
            <w:r w:rsidRPr="00F24CE0">
              <w:t>AZ</w:t>
            </w:r>
          </w:p>
        </w:tc>
      </w:tr>
      <w:tr w:rsidR="00D96434" w:rsidRPr="00F24CE0" w14:paraId="1BD541F2" w14:textId="77777777" w:rsidTr="00285639">
        <w:tc>
          <w:tcPr>
            <w:tcW w:w="3168" w:type="dxa"/>
            <w:tcBorders>
              <w:top w:val="single" w:sz="8" w:space="0" w:color="000000"/>
              <w:left w:val="single" w:sz="8" w:space="0" w:color="000000"/>
              <w:bottom w:val="single" w:sz="8" w:space="0" w:color="000000"/>
              <w:right w:val="single" w:sz="4" w:space="0" w:color="auto"/>
            </w:tcBorders>
          </w:tcPr>
          <w:p w14:paraId="755E2FC8" w14:textId="77777777"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14:paraId="395C0FC1" w14:textId="77777777" w:rsidR="00D96434" w:rsidRPr="00F24CE0" w:rsidRDefault="00D96434" w:rsidP="00F24CE0">
            <w:pPr>
              <w:spacing w:after="0" w:line="240" w:lineRule="auto"/>
            </w:pPr>
            <w:r w:rsidRPr="00F24CE0">
              <w:t>85287</w:t>
            </w:r>
          </w:p>
        </w:tc>
      </w:tr>
      <w:tr w:rsidR="00D96434" w:rsidRPr="00F24CE0" w14:paraId="62B790B2" w14:textId="77777777" w:rsidTr="00285639">
        <w:tc>
          <w:tcPr>
            <w:tcW w:w="3168" w:type="dxa"/>
            <w:tcBorders>
              <w:top w:val="single" w:sz="8" w:space="0" w:color="000000"/>
              <w:bottom w:val="single" w:sz="8" w:space="0" w:color="000000"/>
              <w:right w:val="single" w:sz="4" w:space="0" w:color="auto"/>
            </w:tcBorders>
          </w:tcPr>
          <w:p w14:paraId="5F4FAACB" w14:textId="77777777" w:rsidR="00D96434" w:rsidRPr="00F24CE0" w:rsidRDefault="00D96434" w:rsidP="00F24CE0">
            <w:pPr>
              <w:spacing w:after="0" w:line="240" w:lineRule="auto"/>
              <w:rPr>
                <w:b/>
                <w:bCs/>
              </w:rPr>
            </w:pPr>
          </w:p>
        </w:tc>
        <w:tc>
          <w:tcPr>
            <w:tcW w:w="6408" w:type="dxa"/>
            <w:tcBorders>
              <w:left w:val="single" w:sz="4" w:space="0" w:color="auto"/>
            </w:tcBorders>
          </w:tcPr>
          <w:p w14:paraId="0E580B56" w14:textId="77777777" w:rsidR="00D96434" w:rsidRPr="00F24CE0" w:rsidRDefault="004766FE" w:rsidP="005A64D8">
            <w:pPr>
              <w:spacing w:after="0" w:line="240" w:lineRule="auto"/>
            </w:pPr>
            <w:r>
              <w:t>casanch9</w:t>
            </w:r>
            <w:r w:rsidR="005A64D8">
              <w:t>@</w:t>
            </w:r>
            <w:r w:rsidR="00D96434" w:rsidRPr="00F24CE0">
              <w:t>asu.edu</w:t>
            </w:r>
          </w:p>
        </w:tc>
      </w:tr>
      <w:tr w:rsidR="006A17D5" w:rsidRPr="00F24CE0" w14:paraId="5A69EA9B" w14:textId="77777777" w:rsidTr="00285639">
        <w:tc>
          <w:tcPr>
            <w:tcW w:w="3168" w:type="dxa"/>
            <w:tcBorders>
              <w:top w:val="single" w:sz="8" w:space="0" w:color="000000"/>
              <w:left w:val="single" w:sz="8" w:space="0" w:color="000000"/>
              <w:bottom w:val="single" w:sz="8" w:space="0" w:color="000000"/>
              <w:right w:val="single" w:sz="4" w:space="0" w:color="auto"/>
            </w:tcBorders>
          </w:tcPr>
          <w:p w14:paraId="3736EE2E" w14:textId="77777777" w:rsidR="00D96434" w:rsidRPr="00F24CE0" w:rsidRDefault="006A17D5" w:rsidP="006C0D6A">
            <w:pPr>
              <w:spacing w:after="0" w:line="240" w:lineRule="auto"/>
              <w:rPr>
                <w:b/>
                <w:bCs/>
              </w:rPr>
            </w:pPr>
            <w:r w:rsidRPr="00F24CE0">
              <w:rPr>
                <w:b/>
                <w:bCs/>
              </w:rPr>
              <w:t xml:space="preserve">Publication </w:t>
            </w:r>
            <w:r w:rsidR="006C0D6A">
              <w:rPr>
                <w:b/>
                <w:bCs/>
              </w:rPr>
              <w:t>d</w:t>
            </w:r>
            <w:r w:rsidRPr="00F24CE0">
              <w:rPr>
                <w:b/>
                <w:bCs/>
              </w:rPr>
              <w:t>ate</w:t>
            </w:r>
            <w:r w:rsidR="00975F8D" w:rsidRPr="00F24CE0">
              <w:rPr>
                <w:b/>
                <w:bCs/>
              </w:rPr>
              <w:t xml:space="preserve"> (mm/dd/yyy)</w:t>
            </w:r>
          </w:p>
        </w:tc>
        <w:tc>
          <w:tcPr>
            <w:tcW w:w="6408" w:type="dxa"/>
            <w:tcBorders>
              <w:top w:val="single" w:sz="8" w:space="0" w:color="000000"/>
              <w:left w:val="single" w:sz="4" w:space="0" w:color="auto"/>
              <w:bottom w:val="single" w:sz="8" w:space="0" w:color="000000"/>
              <w:right w:val="single" w:sz="8" w:space="0" w:color="000000"/>
            </w:tcBorders>
          </w:tcPr>
          <w:p w14:paraId="515C3BAB" w14:textId="7C609CD9" w:rsidR="00D96434" w:rsidRPr="00F24CE0" w:rsidRDefault="00467CA9" w:rsidP="00F24CE0">
            <w:pPr>
              <w:spacing w:after="0" w:line="240" w:lineRule="auto"/>
            </w:pPr>
            <w:r>
              <w:t>TBD</w:t>
            </w:r>
          </w:p>
        </w:tc>
      </w:tr>
      <w:tr w:rsidR="006C0D6A" w:rsidRPr="00F24CE0" w14:paraId="2B8FDCDE" w14:textId="77777777" w:rsidTr="00285639">
        <w:tc>
          <w:tcPr>
            <w:tcW w:w="3168" w:type="dxa"/>
            <w:tcBorders>
              <w:top w:val="single" w:sz="8" w:space="0" w:color="000000"/>
              <w:left w:val="single" w:sz="8" w:space="0" w:color="000000"/>
              <w:bottom w:val="single" w:sz="8" w:space="0" w:color="000000"/>
              <w:right w:val="single" w:sz="4" w:space="0" w:color="auto"/>
            </w:tcBorders>
          </w:tcPr>
          <w:p w14:paraId="2C5A3432" w14:textId="77777777" w:rsidR="006C0D6A" w:rsidRPr="00F24CE0" w:rsidRDefault="006C0D6A" w:rsidP="006C0D6A">
            <w:pPr>
              <w:spacing w:after="0" w:line="240" w:lineRule="auto"/>
              <w:rPr>
                <w:b/>
                <w:bCs/>
              </w:rPr>
            </w:pPr>
            <w:r>
              <w:rPr>
                <w:b/>
                <w:bCs/>
              </w:rPr>
              <w:t>Intellectual rights</w:t>
            </w:r>
          </w:p>
        </w:tc>
        <w:tc>
          <w:tcPr>
            <w:tcW w:w="6408" w:type="dxa"/>
            <w:tcBorders>
              <w:top w:val="single" w:sz="8" w:space="0" w:color="000000"/>
              <w:left w:val="single" w:sz="4" w:space="0" w:color="auto"/>
              <w:bottom w:val="single" w:sz="8" w:space="0" w:color="000000"/>
              <w:right w:val="single" w:sz="8" w:space="0" w:color="000000"/>
            </w:tcBorders>
          </w:tcPr>
          <w:p w14:paraId="1B912D9F" w14:textId="43B11ADE" w:rsidR="006C0D6A" w:rsidRPr="00F24CE0" w:rsidRDefault="00467CA9" w:rsidP="00F24CE0">
            <w:pPr>
              <w:spacing w:after="0" w:line="240" w:lineRule="auto"/>
            </w:pPr>
            <w:r>
              <w:t xml:space="preserve">Use CAP LTER default </w:t>
            </w:r>
          </w:p>
        </w:tc>
      </w:tr>
      <w:tr w:rsidR="006A17D5" w:rsidRPr="00F24CE0" w14:paraId="31092BAB" w14:textId="77777777" w:rsidTr="00285639">
        <w:tc>
          <w:tcPr>
            <w:tcW w:w="3168" w:type="dxa"/>
            <w:tcBorders>
              <w:top w:val="single" w:sz="8" w:space="0" w:color="000000"/>
              <w:bottom w:val="single" w:sz="8" w:space="0" w:color="000000"/>
              <w:right w:val="single" w:sz="4" w:space="0" w:color="auto"/>
            </w:tcBorders>
          </w:tcPr>
          <w:p w14:paraId="4918FBA7" w14:textId="77777777" w:rsidR="00D96434" w:rsidRPr="00F24CE0" w:rsidRDefault="006A17D5" w:rsidP="00F24CE0">
            <w:pPr>
              <w:spacing w:after="0" w:line="240" w:lineRule="auto"/>
              <w:rPr>
                <w:b/>
                <w:bCs/>
              </w:rPr>
            </w:pPr>
            <w:r w:rsidRPr="00F24CE0">
              <w:rPr>
                <w:b/>
                <w:bCs/>
              </w:rPr>
              <w:t>Keywords</w:t>
            </w:r>
          </w:p>
        </w:tc>
        <w:tc>
          <w:tcPr>
            <w:tcW w:w="6408" w:type="dxa"/>
            <w:tcBorders>
              <w:left w:val="single" w:sz="4" w:space="0" w:color="auto"/>
            </w:tcBorders>
          </w:tcPr>
          <w:p w14:paraId="5E7B08B0" w14:textId="6FC828A9" w:rsidR="00D96434" w:rsidRPr="00F24CE0" w:rsidRDefault="001016BE" w:rsidP="00344D96">
            <w:pPr>
              <w:spacing w:after="0" w:line="240" w:lineRule="auto"/>
            </w:pPr>
            <w:r>
              <w:t>Tres, Rios, Tres Rios, c</w:t>
            </w:r>
            <w:r w:rsidR="004766FE">
              <w:t xml:space="preserve">onstructed, </w:t>
            </w:r>
            <w:r>
              <w:t>t</w:t>
            </w:r>
            <w:r w:rsidR="00BF436C">
              <w:t xml:space="preserve">reatment, </w:t>
            </w:r>
            <w:r>
              <w:t>w</w:t>
            </w:r>
            <w:r w:rsidR="004766FE">
              <w:t>etland</w:t>
            </w:r>
            <w:r w:rsidR="008D4E5A">
              <w:t>s</w:t>
            </w:r>
            <w:r w:rsidR="004766FE">
              <w:t xml:space="preserve">, </w:t>
            </w:r>
            <w:r>
              <w:t>b</w:t>
            </w:r>
            <w:r w:rsidR="004766FE">
              <w:t xml:space="preserve">iomass, </w:t>
            </w:r>
            <w:r>
              <w:t>evaporation, t</w:t>
            </w:r>
            <w:r w:rsidR="004766FE">
              <w:t>ranspiration,</w:t>
            </w:r>
            <w:r>
              <w:t xml:space="preserve"> evapotranspiration,</w:t>
            </w:r>
            <w:r w:rsidR="004766FE">
              <w:t xml:space="preserve"> </w:t>
            </w:r>
            <w:r>
              <w:t>p</w:t>
            </w:r>
            <w:r w:rsidR="00BF436C">
              <w:t xml:space="preserve">rimary, </w:t>
            </w:r>
            <w:r>
              <w:t>p</w:t>
            </w:r>
            <w:r w:rsidR="00BF436C">
              <w:t xml:space="preserve">roductivity, </w:t>
            </w:r>
            <w:r>
              <w:t>w</w:t>
            </w:r>
            <w:r w:rsidR="00BF436C">
              <w:t xml:space="preserve">ater, </w:t>
            </w:r>
            <w:r>
              <w:t>q</w:t>
            </w:r>
            <w:r w:rsidR="00BF436C">
              <w:t xml:space="preserve">uality, </w:t>
            </w:r>
            <w:r>
              <w:t>b</w:t>
            </w:r>
            <w:r w:rsidR="00BF436C">
              <w:t>udget</w:t>
            </w:r>
            <w:r>
              <w:t xml:space="preserve">, cap, lter, cap lter, phoenix, arid, land, desert, plants, climate, </w:t>
            </w:r>
            <w:r w:rsidR="008D4E5A">
              <w:t xml:space="preserve">nutrient, phosphorus, nitrogen, </w:t>
            </w:r>
            <w:r w:rsidR="00344D96">
              <w:t xml:space="preserve">gas, </w:t>
            </w:r>
            <w:r w:rsidR="008D4E5A">
              <w:t>flux, long, term</w:t>
            </w:r>
          </w:p>
        </w:tc>
      </w:tr>
      <w:tr w:rsidR="006A17D5" w:rsidRPr="00F24CE0" w14:paraId="4C1CB740" w14:textId="77777777" w:rsidTr="00285639">
        <w:tc>
          <w:tcPr>
            <w:tcW w:w="3168" w:type="dxa"/>
            <w:tcBorders>
              <w:top w:val="single" w:sz="8" w:space="0" w:color="000000"/>
              <w:left w:val="single" w:sz="8" w:space="0" w:color="000000"/>
              <w:bottom w:val="single" w:sz="8" w:space="0" w:color="000000"/>
              <w:right w:val="single" w:sz="4" w:space="0" w:color="auto"/>
            </w:tcBorders>
          </w:tcPr>
          <w:p w14:paraId="47DD0FE5" w14:textId="77777777" w:rsidR="00D96434" w:rsidRPr="00F24CE0" w:rsidRDefault="006A17D5" w:rsidP="00F902B2">
            <w:pPr>
              <w:spacing w:after="0" w:line="240" w:lineRule="auto"/>
              <w:rPr>
                <w:b/>
                <w:bCs/>
              </w:rPr>
            </w:pPr>
            <w:r w:rsidRPr="00F24CE0">
              <w:rPr>
                <w:b/>
                <w:bCs/>
              </w:rPr>
              <w:t>Abstract</w:t>
            </w:r>
          </w:p>
        </w:tc>
        <w:tc>
          <w:tcPr>
            <w:tcW w:w="6408" w:type="dxa"/>
            <w:tcBorders>
              <w:top w:val="single" w:sz="8" w:space="0" w:color="000000"/>
              <w:left w:val="single" w:sz="4" w:space="0" w:color="auto"/>
              <w:bottom w:val="single" w:sz="8" w:space="0" w:color="000000"/>
              <w:right w:val="single" w:sz="8" w:space="0" w:color="000000"/>
            </w:tcBorders>
          </w:tcPr>
          <w:p w14:paraId="06B796B1" w14:textId="1007287F" w:rsidR="006C0D6A" w:rsidRPr="00F24CE0" w:rsidRDefault="004A3451" w:rsidP="00F24CE0">
            <w:pPr>
              <w:spacing w:after="0" w:line="240" w:lineRule="auto"/>
            </w:pPr>
            <w:r>
              <w:t>See below</w:t>
            </w:r>
          </w:p>
        </w:tc>
      </w:tr>
    </w:tbl>
    <w:p w14:paraId="04AEFFE0" w14:textId="77777777" w:rsidR="006A17D5" w:rsidRDefault="006A17D5" w:rsidP="006A17D5"/>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438"/>
        <w:gridCol w:w="6138"/>
      </w:tblGrid>
      <w:tr w:rsidR="006A17D5" w:rsidRPr="00F24CE0" w14:paraId="27B18595" w14:textId="77777777" w:rsidTr="00285639">
        <w:tc>
          <w:tcPr>
            <w:tcW w:w="3438" w:type="dxa"/>
            <w:tcBorders>
              <w:top w:val="single" w:sz="8" w:space="0" w:color="000000"/>
              <w:bottom w:val="single" w:sz="8" w:space="0" w:color="000000"/>
              <w:right w:val="single" w:sz="4" w:space="0" w:color="auto"/>
            </w:tcBorders>
            <w:shd w:val="clear" w:color="auto" w:fill="000000"/>
          </w:tcPr>
          <w:p w14:paraId="489ADDE3" w14:textId="77777777" w:rsidR="006A17D5" w:rsidRPr="00F24CE0" w:rsidRDefault="006C0D6A" w:rsidP="006C0D6A">
            <w:pPr>
              <w:spacing w:after="0" w:line="240" w:lineRule="auto"/>
              <w:rPr>
                <w:b/>
                <w:bCs/>
                <w:color w:val="FFFFFF"/>
              </w:rPr>
            </w:pPr>
            <w:r>
              <w:rPr>
                <w:b/>
                <w:bCs/>
                <w:color w:val="FFFFFF"/>
              </w:rPr>
              <w:t>Coverage of study</w:t>
            </w:r>
          </w:p>
        </w:tc>
        <w:tc>
          <w:tcPr>
            <w:tcW w:w="6138" w:type="dxa"/>
            <w:tcBorders>
              <w:left w:val="single" w:sz="4" w:space="0" w:color="auto"/>
            </w:tcBorders>
            <w:shd w:val="clear" w:color="auto" w:fill="000000"/>
          </w:tcPr>
          <w:p w14:paraId="783F1910" w14:textId="77777777" w:rsidR="006A17D5" w:rsidRPr="00F24CE0" w:rsidRDefault="006A17D5" w:rsidP="00F24CE0">
            <w:pPr>
              <w:spacing w:after="0" w:line="240" w:lineRule="auto"/>
              <w:rPr>
                <w:b/>
                <w:bCs/>
                <w:color w:val="FFFFFF"/>
              </w:rPr>
            </w:pPr>
          </w:p>
        </w:tc>
      </w:tr>
      <w:tr w:rsidR="006A17D5" w:rsidRPr="00F24CE0" w14:paraId="59CEF7FE" w14:textId="77777777" w:rsidTr="00285639">
        <w:tc>
          <w:tcPr>
            <w:tcW w:w="3438" w:type="dxa"/>
            <w:tcBorders>
              <w:top w:val="single" w:sz="8" w:space="0" w:color="000000"/>
              <w:left w:val="single" w:sz="8" w:space="0" w:color="000000"/>
              <w:bottom w:val="single" w:sz="8" w:space="0" w:color="000000"/>
              <w:right w:val="single" w:sz="4" w:space="0" w:color="auto"/>
            </w:tcBorders>
          </w:tcPr>
          <w:p w14:paraId="605E67E3" w14:textId="77777777" w:rsidR="006A17D5" w:rsidRPr="00F24CE0" w:rsidRDefault="006A17D5" w:rsidP="00F24CE0">
            <w:pPr>
              <w:spacing w:after="0" w:line="240" w:lineRule="auto"/>
              <w:rPr>
                <w:b/>
                <w:bCs/>
              </w:rPr>
            </w:pPr>
            <w:r w:rsidRPr="00F24CE0">
              <w:rPr>
                <w:b/>
                <w:bCs/>
              </w:rPr>
              <w:t>Geographic coverage:</w:t>
            </w:r>
          </w:p>
        </w:tc>
        <w:tc>
          <w:tcPr>
            <w:tcW w:w="6138" w:type="dxa"/>
            <w:tcBorders>
              <w:top w:val="single" w:sz="8" w:space="0" w:color="000000"/>
              <w:left w:val="single" w:sz="4" w:space="0" w:color="auto"/>
              <w:bottom w:val="single" w:sz="8" w:space="0" w:color="000000"/>
              <w:right w:val="single" w:sz="8" w:space="0" w:color="000000"/>
            </w:tcBorders>
          </w:tcPr>
          <w:p w14:paraId="20C4699A" w14:textId="77777777" w:rsidR="000578E3" w:rsidRPr="00F24CE0" w:rsidRDefault="000578E3" w:rsidP="00F24CE0">
            <w:pPr>
              <w:spacing w:after="0" w:line="240" w:lineRule="auto"/>
            </w:pPr>
            <w:r w:rsidRPr="00F24CE0">
              <w:t xml:space="preserve">Longitude Format:  </w:t>
            </w:r>
            <w:r w:rsidRPr="00F24CE0">
              <w:rPr>
                <w:rFonts w:cs="Calibri"/>
              </w:rPr>
              <w:t>+(E) or –(W)  ddd.</w:t>
            </w:r>
            <w:r w:rsidR="00BA64FC">
              <w:rPr>
                <w:rFonts w:cs="Calibri"/>
              </w:rPr>
              <w:t>dddd</w:t>
            </w:r>
            <w:r w:rsidRPr="00F24CE0">
              <w:rPr>
                <w:rFonts w:cs="Calibri"/>
              </w:rPr>
              <w:t>,</w:t>
            </w:r>
            <w:r w:rsidRPr="00F24CE0">
              <w:t xml:space="preserve"> e.g. -111.2233</w:t>
            </w:r>
          </w:p>
          <w:p w14:paraId="2A13EF45" w14:textId="77777777" w:rsidR="006A17D5" w:rsidRPr="00F24CE0" w:rsidRDefault="000578E3" w:rsidP="00BA64FC">
            <w:pPr>
              <w:spacing w:after="0" w:line="240" w:lineRule="auto"/>
            </w:pPr>
            <w:r w:rsidRPr="00F24CE0">
              <w:t xml:space="preserve">Latitude Format:  </w:t>
            </w:r>
            <w:r w:rsidRPr="00F24CE0">
              <w:rPr>
                <w:rFonts w:cs="Calibri"/>
              </w:rPr>
              <w:t>+ (N) or – (S) dd.</w:t>
            </w:r>
            <w:r w:rsidR="00BA64FC">
              <w:rPr>
                <w:rFonts w:cs="Calibri"/>
              </w:rPr>
              <w:t>dddd</w:t>
            </w:r>
            <w:r w:rsidRPr="00F24CE0">
              <w:rPr>
                <w:rFonts w:cs="Calibri"/>
              </w:rPr>
              <w:t>,</w:t>
            </w:r>
            <w:r w:rsidRPr="00F24CE0">
              <w:t xml:space="preserve"> e.g. +33.2211</w:t>
            </w:r>
          </w:p>
        </w:tc>
      </w:tr>
      <w:tr w:rsidR="000578E3" w:rsidRPr="00F24CE0" w14:paraId="5E17BF0A" w14:textId="77777777" w:rsidTr="00285639">
        <w:tc>
          <w:tcPr>
            <w:tcW w:w="3438" w:type="dxa"/>
            <w:tcBorders>
              <w:top w:val="single" w:sz="8" w:space="0" w:color="000000"/>
              <w:bottom w:val="single" w:sz="8" w:space="0" w:color="000000"/>
              <w:right w:val="single" w:sz="4" w:space="0" w:color="auto"/>
            </w:tcBorders>
          </w:tcPr>
          <w:p w14:paraId="740CA183" w14:textId="77777777" w:rsidR="000578E3" w:rsidRPr="00F24CE0" w:rsidRDefault="000578E3" w:rsidP="006C0D6A">
            <w:pPr>
              <w:spacing w:after="0" w:line="240" w:lineRule="auto"/>
              <w:rPr>
                <w:b/>
                <w:bCs/>
              </w:rPr>
            </w:pPr>
            <w:r w:rsidRPr="00F24CE0">
              <w:rPr>
                <w:b/>
                <w:bCs/>
              </w:rPr>
              <w:t xml:space="preserve">Coverage </w:t>
            </w:r>
            <w:r w:rsidR="006C0D6A">
              <w:rPr>
                <w:b/>
                <w:bCs/>
              </w:rPr>
              <w:t>d</w:t>
            </w:r>
            <w:r w:rsidRPr="00F24CE0">
              <w:rPr>
                <w:b/>
                <w:bCs/>
              </w:rPr>
              <w:t>escription</w:t>
            </w:r>
          </w:p>
        </w:tc>
        <w:tc>
          <w:tcPr>
            <w:tcW w:w="6138" w:type="dxa"/>
            <w:tcBorders>
              <w:left w:val="single" w:sz="4" w:space="0" w:color="auto"/>
            </w:tcBorders>
          </w:tcPr>
          <w:p w14:paraId="239D216B" w14:textId="77777777" w:rsidR="000578E3" w:rsidRPr="00F24CE0" w:rsidRDefault="00BA64FC" w:rsidP="00BA64FC">
            <w:pPr>
              <w:spacing w:after="0" w:line="240" w:lineRule="auto"/>
            </w:pPr>
            <w:r>
              <w:t>(Default is the CAP LTER study area – see below. If your study area varies from this please edit accordingly.)</w:t>
            </w:r>
          </w:p>
        </w:tc>
      </w:tr>
      <w:tr w:rsidR="006A17D5" w:rsidRPr="00F24CE0" w14:paraId="207431C0" w14:textId="77777777" w:rsidTr="00285639">
        <w:tc>
          <w:tcPr>
            <w:tcW w:w="3438" w:type="dxa"/>
            <w:tcBorders>
              <w:top w:val="single" w:sz="8" w:space="0" w:color="000000"/>
              <w:left w:val="single" w:sz="8" w:space="0" w:color="000000"/>
              <w:bottom w:val="single" w:sz="8" w:space="0" w:color="000000"/>
              <w:right w:val="single" w:sz="4" w:space="0" w:color="auto"/>
            </w:tcBorders>
          </w:tcPr>
          <w:p w14:paraId="5008D32D" w14:textId="77777777" w:rsidR="006A17D5" w:rsidRPr="00125EB4" w:rsidRDefault="006A17D5" w:rsidP="00F902B2">
            <w:pPr>
              <w:spacing w:after="0" w:line="240" w:lineRule="auto"/>
              <w:rPr>
                <w:b/>
                <w:bCs/>
              </w:rPr>
            </w:pPr>
            <w:r w:rsidRPr="00125EB4">
              <w:rPr>
                <w:b/>
                <w:bCs/>
              </w:rPr>
              <w:t>East bounding coordinate (Long)</w:t>
            </w:r>
          </w:p>
        </w:tc>
        <w:tc>
          <w:tcPr>
            <w:tcW w:w="6138" w:type="dxa"/>
            <w:tcBorders>
              <w:top w:val="single" w:sz="8" w:space="0" w:color="000000"/>
              <w:left w:val="single" w:sz="4" w:space="0" w:color="auto"/>
              <w:bottom w:val="single" w:sz="8" w:space="0" w:color="000000"/>
              <w:right w:val="single" w:sz="8" w:space="0" w:color="000000"/>
            </w:tcBorders>
          </w:tcPr>
          <w:p w14:paraId="7D9A3871" w14:textId="59C179D3" w:rsidR="006A17D5" w:rsidRPr="00125EB4" w:rsidRDefault="00125EB4" w:rsidP="00F24CE0">
            <w:pPr>
              <w:spacing w:after="0" w:line="240" w:lineRule="auto"/>
            </w:pPr>
            <w:r>
              <w:t>-112.</w:t>
            </w:r>
            <w:r w:rsidR="00C45BD9">
              <w:t>255</w:t>
            </w:r>
          </w:p>
        </w:tc>
      </w:tr>
      <w:tr w:rsidR="006A17D5" w:rsidRPr="00F24CE0" w14:paraId="64227DAD" w14:textId="77777777" w:rsidTr="00285639">
        <w:tc>
          <w:tcPr>
            <w:tcW w:w="3438" w:type="dxa"/>
            <w:tcBorders>
              <w:top w:val="single" w:sz="8" w:space="0" w:color="000000"/>
              <w:bottom w:val="single" w:sz="8" w:space="0" w:color="000000"/>
              <w:right w:val="single" w:sz="4" w:space="0" w:color="auto"/>
            </w:tcBorders>
          </w:tcPr>
          <w:p w14:paraId="24A55F67" w14:textId="77777777" w:rsidR="006A17D5" w:rsidRPr="00125EB4" w:rsidRDefault="006A17D5" w:rsidP="00F902B2">
            <w:pPr>
              <w:spacing w:after="0" w:line="240" w:lineRule="auto"/>
              <w:rPr>
                <w:b/>
                <w:bCs/>
              </w:rPr>
            </w:pPr>
            <w:r w:rsidRPr="00125EB4">
              <w:rPr>
                <w:b/>
                <w:bCs/>
              </w:rPr>
              <w:t>West bounding coordinate (Long)</w:t>
            </w:r>
          </w:p>
        </w:tc>
        <w:tc>
          <w:tcPr>
            <w:tcW w:w="6138" w:type="dxa"/>
            <w:tcBorders>
              <w:left w:val="single" w:sz="4" w:space="0" w:color="auto"/>
            </w:tcBorders>
          </w:tcPr>
          <w:p w14:paraId="7749C549" w14:textId="082C62A2" w:rsidR="006A17D5" w:rsidRPr="00125EB4" w:rsidRDefault="00125EB4" w:rsidP="00F24CE0">
            <w:pPr>
              <w:spacing w:after="0" w:line="240" w:lineRule="auto"/>
            </w:pPr>
            <w:r>
              <w:t>-112.267</w:t>
            </w:r>
          </w:p>
        </w:tc>
      </w:tr>
      <w:tr w:rsidR="000578E3" w:rsidRPr="00F24CE0" w14:paraId="13DACB28" w14:textId="77777777" w:rsidTr="00285639">
        <w:tc>
          <w:tcPr>
            <w:tcW w:w="3438" w:type="dxa"/>
            <w:tcBorders>
              <w:top w:val="single" w:sz="8" w:space="0" w:color="000000"/>
              <w:left w:val="single" w:sz="8" w:space="0" w:color="000000"/>
              <w:bottom w:val="single" w:sz="8" w:space="0" w:color="000000"/>
              <w:right w:val="single" w:sz="4" w:space="0" w:color="auto"/>
            </w:tcBorders>
          </w:tcPr>
          <w:p w14:paraId="1A3C2EF1" w14:textId="77777777" w:rsidR="006A17D5" w:rsidRPr="00125EB4" w:rsidRDefault="006A17D5" w:rsidP="00F902B2">
            <w:pPr>
              <w:spacing w:after="0" w:line="240" w:lineRule="auto"/>
              <w:rPr>
                <w:b/>
                <w:bCs/>
              </w:rPr>
            </w:pPr>
            <w:r w:rsidRPr="00125EB4">
              <w:rPr>
                <w:b/>
                <w:bCs/>
              </w:rPr>
              <w:t>North bounding coordinate (Lat)</w:t>
            </w:r>
          </w:p>
        </w:tc>
        <w:tc>
          <w:tcPr>
            <w:tcW w:w="6138" w:type="dxa"/>
            <w:tcBorders>
              <w:top w:val="single" w:sz="8" w:space="0" w:color="000000"/>
              <w:left w:val="single" w:sz="4" w:space="0" w:color="auto"/>
              <w:bottom w:val="single" w:sz="8" w:space="0" w:color="000000"/>
              <w:right w:val="single" w:sz="8" w:space="0" w:color="000000"/>
            </w:tcBorders>
          </w:tcPr>
          <w:p w14:paraId="11E185E8" w14:textId="0E5BC880" w:rsidR="006A17D5" w:rsidRPr="00125EB4" w:rsidRDefault="00C45BD9" w:rsidP="00F24CE0">
            <w:pPr>
              <w:spacing w:after="0" w:line="240" w:lineRule="auto"/>
            </w:pPr>
            <w:r>
              <w:t>+33.399</w:t>
            </w:r>
          </w:p>
        </w:tc>
      </w:tr>
      <w:tr w:rsidR="000578E3" w:rsidRPr="00F24CE0" w14:paraId="1FBABDE1" w14:textId="77777777" w:rsidTr="00285639">
        <w:tc>
          <w:tcPr>
            <w:tcW w:w="3438" w:type="dxa"/>
            <w:tcBorders>
              <w:top w:val="single" w:sz="8" w:space="0" w:color="000000"/>
              <w:bottom w:val="single" w:sz="8" w:space="0" w:color="000000"/>
              <w:right w:val="single" w:sz="4" w:space="0" w:color="auto"/>
            </w:tcBorders>
          </w:tcPr>
          <w:p w14:paraId="4BB08802" w14:textId="77777777" w:rsidR="006A17D5" w:rsidRPr="00125EB4" w:rsidRDefault="006A17D5" w:rsidP="00F902B2">
            <w:pPr>
              <w:spacing w:after="0" w:line="240" w:lineRule="auto"/>
              <w:rPr>
                <w:b/>
                <w:bCs/>
              </w:rPr>
            </w:pPr>
            <w:r w:rsidRPr="00125EB4">
              <w:rPr>
                <w:b/>
                <w:bCs/>
              </w:rPr>
              <w:t>South bounding coordinate (Lat)</w:t>
            </w:r>
          </w:p>
        </w:tc>
        <w:tc>
          <w:tcPr>
            <w:tcW w:w="6138" w:type="dxa"/>
            <w:tcBorders>
              <w:left w:val="single" w:sz="4" w:space="0" w:color="auto"/>
            </w:tcBorders>
          </w:tcPr>
          <w:p w14:paraId="4E5EA3B2" w14:textId="723869BD" w:rsidR="006A17D5" w:rsidRPr="00125EB4" w:rsidRDefault="00C45BD9" w:rsidP="00F24CE0">
            <w:pPr>
              <w:spacing w:after="0" w:line="240" w:lineRule="auto"/>
            </w:pPr>
            <w:r>
              <w:t>+33.388</w:t>
            </w:r>
          </w:p>
        </w:tc>
      </w:tr>
      <w:tr w:rsidR="000578E3" w:rsidRPr="00F24CE0" w14:paraId="26B04823" w14:textId="77777777" w:rsidTr="00285639">
        <w:tc>
          <w:tcPr>
            <w:tcW w:w="3438" w:type="dxa"/>
            <w:tcBorders>
              <w:top w:val="single" w:sz="8" w:space="0" w:color="000000"/>
              <w:left w:val="single" w:sz="8" w:space="0" w:color="000000"/>
              <w:bottom w:val="single" w:sz="8" w:space="0" w:color="000000"/>
              <w:right w:val="single" w:sz="4" w:space="0" w:color="auto"/>
            </w:tcBorders>
          </w:tcPr>
          <w:p w14:paraId="5A132EE3" w14:textId="77777777" w:rsidR="006A17D5" w:rsidRPr="00F24CE0" w:rsidRDefault="006A17D5" w:rsidP="00F24CE0">
            <w:pPr>
              <w:spacing w:after="0" w:line="240" w:lineRule="auto"/>
              <w:rPr>
                <w:b/>
                <w:bCs/>
              </w:rPr>
            </w:pPr>
            <w:r w:rsidRPr="00F24CE0">
              <w:rPr>
                <w:b/>
                <w:bCs/>
              </w:rPr>
              <w:t>Taxonomic coverage:</w:t>
            </w:r>
          </w:p>
        </w:tc>
        <w:tc>
          <w:tcPr>
            <w:tcW w:w="6138" w:type="dxa"/>
            <w:tcBorders>
              <w:top w:val="single" w:sz="8" w:space="0" w:color="000000"/>
              <w:left w:val="single" w:sz="4" w:space="0" w:color="auto"/>
              <w:bottom w:val="single" w:sz="8" w:space="0" w:color="000000"/>
              <w:right w:val="single" w:sz="8" w:space="0" w:color="000000"/>
            </w:tcBorders>
          </w:tcPr>
          <w:p w14:paraId="2CFAA59D" w14:textId="77777777" w:rsidR="006A17D5" w:rsidRPr="00F24CE0" w:rsidRDefault="006A17D5" w:rsidP="00F24CE0">
            <w:pPr>
              <w:spacing w:after="0" w:line="240" w:lineRule="auto"/>
            </w:pPr>
          </w:p>
        </w:tc>
      </w:tr>
      <w:tr w:rsidR="000578E3" w:rsidRPr="00F24CE0" w14:paraId="26751A9E" w14:textId="77777777" w:rsidTr="00285639">
        <w:tc>
          <w:tcPr>
            <w:tcW w:w="3438" w:type="dxa"/>
            <w:tcBorders>
              <w:top w:val="single" w:sz="8" w:space="0" w:color="000000"/>
              <w:bottom w:val="single" w:sz="8" w:space="0" w:color="000000"/>
              <w:right w:val="single" w:sz="4" w:space="0" w:color="auto"/>
            </w:tcBorders>
          </w:tcPr>
          <w:p w14:paraId="53CC20DC" w14:textId="77777777" w:rsidR="006A17D5" w:rsidRPr="00F24CE0" w:rsidRDefault="006A17D5" w:rsidP="00F902B2">
            <w:pPr>
              <w:pStyle w:val="ListParagraph"/>
              <w:numPr>
                <w:ilvl w:val="0"/>
                <w:numId w:val="4"/>
              </w:numPr>
              <w:spacing w:after="0" w:line="240" w:lineRule="auto"/>
              <w:rPr>
                <w:b/>
                <w:bCs/>
              </w:rPr>
            </w:pPr>
            <w:r w:rsidRPr="00F24CE0">
              <w:rPr>
                <w:b/>
                <w:bCs/>
              </w:rPr>
              <w:t>Taxonomic classification</w:t>
            </w:r>
          </w:p>
        </w:tc>
        <w:tc>
          <w:tcPr>
            <w:tcW w:w="6138" w:type="dxa"/>
            <w:tcBorders>
              <w:left w:val="single" w:sz="4" w:space="0" w:color="auto"/>
            </w:tcBorders>
          </w:tcPr>
          <w:p w14:paraId="59156FF6" w14:textId="7309F077" w:rsidR="006A17D5" w:rsidRPr="00F24CE0" w:rsidRDefault="00467CA9" w:rsidP="00F24CE0">
            <w:pPr>
              <w:spacing w:after="0" w:line="240" w:lineRule="auto"/>
            </w:pPr>
            <w:r>
              <w:t>Typha latifolia, Typha domingensis, Schoenoplectus americanus, Schoenoplectus acutus, Schoenoplectus tabernaemontani, Schoenoplectus mar</w:t>
            </w:r>
            <w:r w:rsidR="00125EB4">
              <w:t>i</w:t>
            </w:r>
            <w:r>
              <w:t>timus</w:t>
            </w:r>
            <w:r w:rsidR="00125EB4">
              <w:t>, Schoenoplectus californicus</w:t>
            </w:r>
          </w:p>
        </w:tc>
      </w:tr>
      <w:tr w:rsidR="006A17D5" w:rsidRPr="00F24CE0" w14:paraId="3E67730B" w14:textId="77777777" w:rsidTr="00285639">
        <w:tc>
          <w:tcPr>
            <w:tcW w:w="3438" w:type="dxa"/>
            <w:tcBorders>
              <w:top w:val="single" w:sz="8" w:space="0" w:color="000000"/>
              <w:left w:val="single" w:sz="8" w:space="0" w:color="000000"/>
              <w:bottom w:val="single" w:sz="8" w:space="0" w:color="000000"/>
              <w:right w:val="single" w:sz="4" w:space="0" w:color="auto"/>
            </w:tcBorders>
          </w:tcPr>
          <w:p w14:paraId="758AE89A" w14:textId="77777777" w:rsidR="006A17D5" w:rsidRPr="00F24CE0" w:rsidRDefault="006A17D5" w:rsidP="00F24CE0">
            <w:pPr>
              <w:spacing w:after="0" w:line="240" w:lineRule="auto"/>
              <w:rPr>
                <w:b/>
                <w:bCs/>
              </w:rPr>
            </w:pPr>
            <w:r w:rsidRPr="00F24CE0">
              <w:rPr>
                <w:b/>
                <w:bCs/>
              </w:rPr>
              <w:lastRenderedPageBreak/>
              <w:t>Temporal coverage:</w:t>
            </w:r>
          </w:p>
        </w:tc>
        <w:tc>
          <w:tcPr>
            <w:tcW w:w="6138" w:type="dxa"/>
            <w:tcBorders>
              <w:top w:val="single" w:sz="8" w:space="0" w:color="000000"/>
              <w:left w:val="single" w:sz="4" w:space="0" w:color="auto"/>
              <w:bottom w:val="single" w:sz="8" w:space="0" w:color="000000"/>
              <w:right w:val="single" w:sz="8" w:space="0" w:color="000000"/>
            </w:tcBorders>
          </w:tcPr>
          <w:p w14:paraId="6D0A478A" w14:textId="77777777" w:rsidR="006A17D5" w:rsidRPr="00F24CE0" w:rsidRDefault="004766FE" w:rsidP="00F24CE0">
            <w:pPr>
              <w:spacing w:after="0" w:line="240" w:lineRule="auto"/>
            </w:pPr>
            <w:r>
              <w:t>(mm</w:t>
            </w:r>
            <w:r w:rsidR="00CE57A9" w:rsidRPr="00F24CE0">
              <w:t>/dd/yyyy)</w:t>
            </w:r>
          </w:p>
        </w:tc>
      </w:tr>
      <w:tr w:rsidR="006A17D5" w:rsidRPr="00F24CE0" w14:paraId="481BE323" w14:textId="77777777" w:rsidTr="00285639">
        <w:tc>
          <w:tcPr>
            <w:tcW w:w="3438" w:type="dxa"/>
            <w:tcBorders>
              <w:top w:val="single" w:sz="8" w:space="0" w:color="000000"/>
              <w:bottom w:val="single" w:sz="8" w:space="0" w:color="000000"/>
              <w:right w:val="single" w:sz="4" w:space="0" w:color="auto"/>
            </w:tcBorders>
          </w:tcPr>
          <w:p w14:paraId="21B534DB" w14:textId="77777777" w:rsidR="006A17D5" w:rsidRPr="00F24CE0" w:rsidRDefault="00CE57A9" w:rsidP="00F902B2">
            <w:pPr>
              <w:pStyle w:val="ListParagraph"/>
              <w:numPr>
                <w:ilvl w:val="0"/>
                <w:numId w:val="4"/>
              </w:numPr>
              <w:spacing w:after="0" w:line="240" w:lineRule="auto"/>
              <w:rPr>
                <w:b/>
                <w:bCs/>
              </w:rPr>
            </w:pPr>
            <w:r w:rsidRPr="00F24CE0">
              <w:rPr>
                <w:b/>
                <w:bCs/>
              </w:rPr>
              <w:t>Begin</w:t>
            </w:r>
            <w:r w:rsidR="006A17D5" w:rsidRPr="00F24CE0">
              <w:rPr>
                <w:b/>
                <w:bCs/>
              </w:rPr>
              <w:t xml:space="preserve"> date</w:t>
            </w:r>
          </w:p>
        </w:tc>
        <w:tc>
          <w:tcPr>
            <w:tcW w:w="6138" w:type="dxa"/>
            <w:tcBorders>
              <w:left w:val="single" w:sz="4" w:space="0" w:color="auto"/>
            </w:tcBorders>
          </w:tcPr>
          <w:p w14:paraId="3FB97074" w14:textId="77777777" w:rsidR="006A17D5" w:rsidRPr="00F24CE0" w:rsidRDefault="005B0548" w:rsidP="00F24CE0">
            <w:pPr>
              <w:spacing w:after="0" w:line="240" w:lineRule="auto"/>
            </w:pPr>
            <w:r>
              <w:t>07/1/2011</w:t>
            </w:r>
          </w:p>
        </w:tc>
      </w:tr>
      <w:tr w:rsidR="006A17D5" w:rsidRPr="00F24CE0" w14:paraId="4DC8F7A7" w14:textId="77777777" w:rsidTr="00285639">
        <w:tc>
          <w:tcPr>
            <w:tcW w:w="3438" w:type="dxa"/>
            <w:tcBorders>
              <w:top w:val="single" w:sz="8" w:space="0" w:color="000000"/>
              <w:left w:val="single" w:sz="8" w:space="0" w:color="000000"/>
              <w:bottom w:val="single" w:sz="8" w:space="0" w:color="000000"/>
              <w:right w:val="single" w:sz="4" w:space="0" w:color="auto"/>
            </w:tcBorders>
          </w:tcPr>
          <w:p w14:paraId="70E59D1D" w14:textId="77777777" w:rsidR="006A17D5" w:rsidRPr="00F24CE0" w:rsidRDefault="00CE57A9" w:rsidP="00F902B2">
            <w:pPr>
              <w:pStyle w:val="ListParagraph"/>
              <w:numPr>
                <w:ilvl w:val="0"/>
                <w:numId w:val="4"/>
              </w:numPr>
              <w:spacing w:after="0" w:line="240" w:lineRule="auto"/>
              <w:rPr>
                <w:b/>
                <w:bCs/>
              </w:rPr>
            </w:pPr>
            <w:r w:rsidRPr="00F24CE0">
              <w:rPr>
                <w:b/>
                <w:bCs/>
              </w:rPr>
              <w:t>End</w:t>
            </w:r>
            <w:r w:rsidR="006A17D5" w:rsidRPr="00F24CE0">
              <w:rPr>
                <w:b/>
                <w:bCs/>
              </w:rPr>
              <w:t xml:space="preserve"> date</w:t>
            </w:r>
          </w:p>
        </w:tc>
        <w:tc>
          <w:tcPr>
            <w:tcW w:w="6138" w:type="dxa"/>
            <w:tcBorders>
              <w:top w:val="single" w:sz="8" w:space="0" w:color="000000"/>
              <w:left w:val="single" w:sz="4" w:space="0" w:color="auto"/>
              <w:bottom w:val="single" w:sz="8" w:space="0" w:color="000000"/>
              <w:right w:val="single" w:sz="8" w:space="0" w:color="000000"/>
            </w:tcBorders>
          </w:tcPr>
          <w:p w14:paraId="33C954DA" w14:textId="61CC0D3F" w:rsidR="006A17D5" w:rsidRPr="00F24CE0" w:rsidRDefault="00D300B2" w:rsidP="00F24CE0">
            <w:pPr>
              <w:spacing w:after="0" w:line="240" w:lineRule="auto"/>
            </w:pPr>
            <w:r>
              <w:t>01/12</w:t>
            </w:r>
            <w:r w:rsidR="009E354F">
              <w:t>/2018</w:t>
            </w:r>
          </w:p>
        </w:tc>
      </w:tr>
    </w:tbl>
    <w:p w14:paraId="31D18DF2" w14:textId="77777777" w:rsidR="006A17D5" w:rsidRDefault="006A17D5" w:rsidP="006A17D5"/>
    <w:p w14:paraId="4F3F534E" w14:textId="77777777" w:rsidR="006C0D6A" w:rsidRDefault="006C0D6A" w:rsidP="006A17D5"/>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58"/>
        <w:gridCol w:w="7218"/>
      </w:tblGrid>
      <w:tr w:rsidR="006A17D5" w:rsidRPr="00F24CE0" w14:paraId="538D4C0B" w14:textId="77777777" w:rsidTr="00285639">
        <w:tc>
          <w:tcPr>
            <w:tcW w:w="2358" w:type="dxa"/>
            <w:tcBorders>
              <w:top w:val="single" w:sz="8" w:space="0" w:color="000000"/>
              <w:right w:val="single" w:sz="4" w:space="0" w:color="auto"/>
            </w:tcBorders>
            <w:shd w:val="clear" w:color="auto" w:fill="000000"/>
          </w:tcPr>
          <w:p w14:paraId="4B6BC1BC" w14:textId="77777777" w:rsidR="006A17D5" w:rsidRPr="00F24CE0" w:rsidRDefault="006C0D6A" w:rsidP="006C0D6A">
            <w:pPr>
              <w:spacing w:after="0" w:line="240" w:lineRule="auto"/>
              <w:rPr>
                <w:b/>
                <w:bCs/>
                <w:color w:val="FFFFFF"/>
              </w:rPr>
            </w:pPr>
            <w:r>
              <w:rPr>
                <w:b/>
                <w:bCs/>
                <w:color w:val="FFFFFF"/>
              </w:rPr>
              <w:t>Detailed Descriptions</w:t>
            </w:r>
          </w:p>
        </w:tc>
        <w:tc>
          <w:tcPr>
            <w:tcW w:w="7218" w:type="dxa"/>
            <w:tcBorders>
              <w:left w:val="single" w:sz="4" w:space="0" w:color="auto"/>
            </w:tcBorders>
            <w:shd w:val="clear" w:color="auto" w:fill="000000"/>
          </w:tcPr>
          <w:p w14:paraId="7FF4206F" w14:textId="77777777" w:rsidR="006A17D5" w:rsidRPr="00F24CE0" w:rsidRDefault="006A17D5" w:rsidP="00F24CE0">
            <w:pPr>
              <w:spacing w:after="0" w:line="240" w:lineRule="auto"/>
              <w:rPr>
                <w:b/>
                <w:bCs/>
                <w:color w:val="FFFFFF"/>
              </w:rPr>
            </w:pPr>
          </w:p>
        </w:tc>
      </w:tr>
      <w:tr w:rsidR="006A17D5" w:rsidRPr="00F24CE0" w14:paraId="393527EC" w14:textId="77777777" w:rsidTr="00285639">
        <w:tc>
          <w:tcPr>
            <w:tcW w:w="2358" w:type="dxa"/>
            <w:tcBorders>
              <w:right w:val="single" w:sz="4" w:space="0" w:color="auto"/>
            </w:tcBorders>
          </w:tcPr>
          <w:p w14:paraId="6EAB1670" w14:textId="77777777" w:rsidR="006A17D5" w:rsidRPr="00F24CE0" w:rsidRDefault="006A17D5" w:rsidP="00F902B2">
            <w:pPr>
              <w:spacing w:after="0" w:line="240" w:lineRule="auto"/>
              <w:rPr>
                <w:b/>
                <w:bCs/>
              </w:rPr>
            </w:pPr>
            <w:r w:rsidRPr="00F24CE0">
              <w:rPr>
                <w:b/>
                <w:bCs/>
              </w:rPr>
              <w:t>Project description</w:t>
            </w:r>
          </w:p>
        </w:tc>
        <w:tc>
          <w:tcPr>
            <w:tcW w:w="7218" w:type="dxa"/>
            <w:tcBorders>
              <w:left w:val="single" w:sz="4" w:space="0" w:color="auto"/>
            </w:tcBorders>
          </w:tcPr>
          <w:p w14:paraId="7C969DEA" w14:textId="092CBF6C" w:rsidR="00285639" w:rsidRPr="00F24CE0" w:rsidRDefault="00856593" w:rsidP="00856593">
            <w:pPr>
              <w:spacing w:after="0" w:line="240" w:lineRule="auto"/>
            </w:pPr>
            <w:r>
              <w:t>See below</w:t>
            </w:r>
            <w:bookmarkStart w:id="0" w:name="_GoBack"/>
            <w:bookmarkEnd w:id="0"/>
          </w:p>
        </w:tc>
      </w:tr>
      <w:tr w:rsidR="006A17D5" w:rsidRPr="00F24CE0" w14:paraId="678D03B7" w14:textId="77777777" w:rsidTr="00285639">
        <w:tc>
          <w:tcPr>
            <w:tcW w:w="2358" w:type="dxa"/>
            <w:tcBorders>
              <w:top w:val="single" w:sz="8" w:space="0" w:color="000000"/>
              <w:left w:val="single" w:sz="8" w:space="0" w:color="000000"/>
              <w:bottom w:val="single" w:sz="8" w:space="0" w:color="000000"/>
              <w:right w:val="single" w:sz="4" w:space="0" w:color="auto"/>
            </w:tcBorders>
          </w:tcPr>
          <w:p w14:paraId="474963C6" w14:textId="77777777" w:rsidR="006A17D5" w:rsidRPr="00F24CE0" w:rsidRDefault="006A17D5" w:rsidP="00F902B2">
            <w:pPr>
              <w:spacing w:after="0" w:line="240" w:lineRule="auto"/>
              <w:rPr>
                <w:b/>
                <w:bCs/>
              </w:rPr>
            </w:pPr>
            <w:r w:rsidRPr="00F24CE0">
              <w:rPr>
                <w:b/>
                <w:bCs/>
              </w:rPr>
              <w:t>Method description</w:t>
            </w:r>
          </w:p>
        </w:tc>
        <w:tc>
          <w:tcPr>
            <w:tcW w:w="7218" w:type="dxa"/>
            <w:tcBorders>
              <w:top w:val="single" w:sz="8" w:space="0" w:color="000000"/>
              <w:left w:val="single" w:sz="4" w:space="0" w:color="auto"/>
              <w:bottom w:val="single" w:sz="8" w:space="0" w:color="000000"/>
              <w:right w:val="single" w:sz="8" w:space="0" w:color="000000"/>
            </w:tcBorders>
          </w:tcPr>
          <w:p w14:paraId="4B4D178B" w14:textId="25AE469E" w:rsidR="00C42745" w:rsidRPr="00F24CE0" w:rsidRDefault="00C42745" w:rsidP="00F24CE0">
            <w:pPr>
              <w:spacing w:after="0" w:line="240" w:lineRule="auto"/>
            </w:pPr>
            <w:r>
              <w:t>See below</w:t>
            </w:r>
          </w:p>
        </w:tc>
      </w:tr>
    </w:tbl>
    <w:p w14:paraId="0BB324FC" w14:textId="77777777" w:rsidR="001016BE" w:rsidRDefault="001016BE" w:rsidP="00343D59"/>
    <w:p w14:paraId="220A7AC6" w14:textId="34F8E569" w:rsidR="007A405F" w:rsidRDefault="00467CA9" w:rsidP="00343D59">
      <w:r w:rsidRPr="007D672F">
        <w:rPr>
          <w:b/>
        </w:rPr>
        <w:t>Abstract</w:t>
      </w:r>
      <w:r>
        <w:t xml:space="preserve">: </w:t>
      </w:r>
      <w:r w:rsidR="008F2EF1">
        <w:t>C</w:t>
      </w:r>
      <w:r w:rsidR="00891E16">
        <w:t xml:space="preserve">onstructed treatment wetlands provide cost effective and ecosystem-service based solutions to the problem of urban water reuse. </w:t>
      </w:r>
      <w:r w:rsidR="0002621E">
        <w:t xml:space="preserve">They are a particularly attractive option for water reuse in arid urban systems where water resources are scarce, and understanding how they function in these environments is critical to facilitating sustainable water use practices. </w:t>
      </w:r>
      <w:r w:rsidR="00891E16">
        <w:t xml:space="preserve">Although constructed treatment wetlands </w:t>
      </w:r>
      <w:r w:rsidR="0002621E">
        <w:t xml:space="preserve">are </w:t>
      </w:r>
      <w:r w:rsidR="00891E16">
        <w:t xml:space="preserve">well established and studied in mesic climates, how they function in and respond to hot, arid climates is </w:t>
      </w:r>
      <w:r w:rsidR="0002621E">
        <w:t xml:space="preserve">comparatively </w:t>
      </w:r>
      <w:r w:rsidR="00891E16">
        <w:t xml:space="preserve">not well understood. Specifically, large atmospheric water losses via evaporation and plant transpiration may comprise a much larger component of the whole-system water budget than in mesic climates. Additionally, </w:t>
      </w:r>
      <w:r w:rsidR="0002621E">
        <w:t>given the primary role that emergent macrophytes play in nutrient removal, particularly nitrogen removal, the effects of</w:t>
      </w:r>
      <w:r w:rsidR="00891E16">
        <w:t xml:space="preserve"> plant community composition and primary productivity patterns </w:t>
      </w:r>
      <w:r w:rsidR="0002621E">
        <w:t>on system performance</w:t>
      </w:r>
      <w:r w:rsidR="008F2EF1">
        <w:t xml:space="preserve"> in the context of aridland constructed treatment wetlands</w:t>
      </w:r>
      <w:r w:rsidR="0002621E">
        <w:t xml:space="preserve"> </w:t>
      </w:r>
      <w:r w:rsidR="007A405F">
        <w:t>have not been extensively studied</w:t>
      </w:r>
      <w:r w:rsidR="0002621E" w:rsidRPr="007A405F">
        <w:t>.</w:t>
      </w:r>
      <w:r w:rsidR="0002621E">
        <w:t xml:space="preserve">  </w:t>
      </w:r>
    </w:p>
    <w:p w14:paraId="090D11C3" w14:textId="7D1ECF9A" w:rsidR="00C66BA4" w:rsidRDefault="008F2EF1" w:rsidP="00343D59">
      <w:r>
        <w:t xml:space="preserve">Our goal was to develop a model of how these “working wetlands” perform in arid climates by developing and comparing nutrient and water budgets. At the Tres Rios constructed treatment wetland in Phoenix, AZ, USA, we measured atmospheric water losses via evaporative pathways (plant transpiration and open water evaporation) as well as inorganic N fluxes between the whole system and the vegetated marsh areas. </w:t>
      </w:r>
      <w:r w:rsidR="007D672F">
        <w:t xml:space="preserve"> Total water losses via evaporative pathways peaked at 300,000 m</w:t>
      </w:r>
      <w:r w:rsidR="007D672F">
        <w:rPr>
          <w:vertAlign w:val="superscript"/>
        </w:rPr>
        <w:t>3</w:t>
      </w:r>
      <w:r w:rsidR="007D672F">
        <w:t>/mo</w:t>
      </w:r>
      <w:r w:rsidR="007D672F">
        <w:rPr>
          <w:vertAlign w:val="superscript"/>
        </w:rPr>
        <w:t>-1</w:t>
      </w:r>
      <w:r w:rsidR="007D672F">
        <w:t xml:space="preserve"> (714 L H</w:t>
      </w:r>
      <w:r w:rsidR="007D672F">
        <w:rPr>
          <w:vertAlign w:val="subscript"/>
        </w:rPr>
        <w:t>2</w:t>
      </w:r>
      <w:r w:rsidR="007D672F">
        <w:t>O m</w:t>
      </w:r>
      <w:r w:rsidR="007D672F">
        <w:rPr>
          <w:vertAlign w:val="superscript"/>
        </w:rPr>
        <w:t>-2</w:t>
      </w:r>
      <w:r w:rsidR="007D672F">
        <w:t xml:space="preserve"> mo</w:t>
      </w:r>
      <w:r w:rsidR="007D672F">
        <w:rPr>
          <w:vertAlign w:val="superscript"/>
        </w:rPr>
        <w:t>-1</w:t>
      </w:r>
      <w:r w:rsidR="007D672F">
        <w:t xml:space="preserve">) in the hot summer months and represented more than 70% of the whole-system water budget over a 27 month time period. These evaporative losses are nearly an order or magnitude higher than rates observed in mesic systems. Peaks in above-ground biomass ranged from 1586±179 to 2666±164 gdw </w:t>
      </w:r>
      <w:r w:rsidR="00856593">
        <w:t>m</w:t>
      </w:r>
      <w:r w:rsidR="00856593">
        <w:rPr>
          <w:vertAlign w:val="superscript"/>
        </w:rPr>
        <w:t>-2</w:t>
      </w:r>
      <w:r w:rsidR="007D672F">
        <w:t xml:space="preserve">, with </w:t>
      </w:r>
      <w:r w:rsidR="007D672F">
        <w:rPr>
          <w:i/>
        </w:rPr>
        <w:t>Typha spp</w:t>
      </w:r>
      <w:r w:rsidR="007D672F">
        <w:t xml:space="preserve">. accounting for up to 2/3 of total biomass.  Overall, the vegetated marsh removed almost all of the inorganic N supplied to it, and large transpirative water losses </w:t>
      </w:r>
      <w:r w:rsidR="00BD4F52">
        <w:t>were</w:t>
      </w:r>
      <w:r w:rsidR="007D672F">
        <w:t xml:space="preserve"> observed to move large volumes of replace</w:t>
      </w:r>
      <w:r w:rsidR="00BD4F52">
        <w:t xml:space="preserve">ment water into the marsh via a plant-mediated </w:t>
      </w:r>
      <w:r w:rsidR="007D672F">
        <w:t>“bio</w:t>
      </w:r>
      <w:r w:rsidR="00BD4F52">
        <w:t>logical tide.</w:t>
      </w:r>
      <w:r w:rsidR="007D672F">
        <w:t>”</w:t>
      </w:r>
      <w:r w:rsidR="00BD4F52">
        <w:t xml:space="preserve"> This process </w:t>
      </w:r>
      <w:r w:rsidR="007D672F">
        <w:t>providing additional opportunities for soil microbes and emergent mac</w:t>
      </w:r>
      <w:r w:rsidR="00BD4F52">
        <w:t>rophytes to process target solutes, and potentially enhancing the treatment efficacy of the aridland Tres Rios constructed treatment wetland relative to more humid and mesic systems.</w:t>
      </w:r>
    </w:p>
    <w:p w14:paraId="6A8F348F" w14:textId="77777777" w:rsidR="00C66BA4" w:rsidRDefault="00C66BA4">
      <w:pPr>
        <w:spacing w:after="0" w:line="240" w:lineRule="auto"/>
      </w:pPr>
      <w:r>
        <w:br w:type="page"/>
      </w:r>
    </w:p>
    <w:p w14:paraId="55214C57" w14:textId="7864E0E5" w:rsidR="00891E16" w:rsidRDefault="00C66BA4" w:rsidP="00343D59">
      <w:r>
        <w:rPr>
          <w:b/>
        </w:rPr>
        <w:t>Project Description</w:t>
      </w:r>
      <w:r>
        <w:t xml:space="preserve">: In order to better understand the water, nutrient and treatment dynamics of aridland constructed treatment wetlands, we </w:t>
      </w:r>
      <w:r w:rsidR="007A405F">
        <w:t>have developed datasets tracking primary productivity, water quality, and water budget dynamics at the Tres Rios wetlands</w:t>
      </w:r>
      <w:r w:rsidR="001A4B18">
        <w:t>, operated by the City of Phoenix Water Services Department,</w:t>
      </w:r>
      <w:r w:rsidR="007A405F">
        <w:t xml:space="preserve"> since Summer 2011. </w:t>
      </w:r>
      <w:r w:rsidR="001A4B18">
        <w:t xml:space="preserve">The 3-cell Tres Rios Wetlands </w:t>
      </w:r>
      <w:r w:rsidR="00856593">
        <w:t>were completed in 2010</w:t>
      </w:r>
      <w:r w:rsidR="001A4B18">
        <w:t xml:space="preserve"> and are associated with the 91</w:t>
      </w:r>
      <w:r w:rsidR="001A4B18" w:rsidRPr="00856593">
        <w:rPr>
          <w:vertAlign w:val="superscript"/>
        </w:rPr>
        <w:t>st</w:t>
      </w:r>
      <w:r w:rsidR="001A4B18">
        <w:t xml:space="preserve"> Avenue Wastewater Treatment Plant, the largest in Phoenix</w:t>
      </w:r>
      <w:r w:rsidR="00856593">
        <w:t xml:space="preserve">. This project is focused on the largest of the three wetlands treatment cells, FRW3, which was the first to be planted and become operational as of Summer 2010. Each wetland cell is bounded by roads (the “shoreline”), and </w:t>
      </w:r>
      <w:r w:rsidR="00493102">
        <w:t>FRW3 in particular is 42 ha in size, approximately half of which is open water and half of which is fringing vegetated marsh. Water depth was consistent across the marsh (approximately 25cm), while effluent inflow to the cell varied seasonally from 95,000 to over 270,000 m</w:t>
      </w:r>
      <w:r w:rsidR="00493102">
        <w:rPr>
          <w:vertAlign w:val="superscript"/>
        </w:rPr>
        <w:t>3</w:t>
      </w:r>
      <w:r w:rsidR="00493102">
        <w:t xml:space="preserve"> d</w:t>
      </w:r>
      <w:r w:rsidR="00493102">
        <w:rPr>
          <w:vertAlign w:val="superscript"/>
        </w:rPr>
        <w:t>-1</w:t>
      </w:r>
      <w:r w:rsidR="00493102">
        <w:t>. Measurements were taken</w:t>
      </w:r>
      <w:r w:rsidR="007A405F">
        <w:t xml:space="preserve"> along two gradients</w:t>
      </w:r>
      <w:r w:rsidR="00493102">
        <w:t xml:space="preserve"> representing the two hydraulic pathways of the system</w:t>
      </w:r>
      <w:r w:rsidR="007A405F">
        <w:t>: whole-system inflow and outflow, as well as the inflow (open water</w:t>
      </w:r>
      <w:r w:rsidR="00856593">
        <w:t>-marsh interface</w:t>
      </w:r>
      <w:r w:rsidR="007A405F">
        <w:t>) and outflow (sho</w:t>
      </w:r>
      <w:r w:rsidR="00493102">
        <w:t>reline) of the vegetated marsh at evenly distributed locations across the system.</w:t>
      </w:r>
    </w:p>
    <w:p w14:paraId="5C461A6D" w14:textId="70C6B60C" w:rsidR="001844EB" w:rsidRPr="00AD5A55" w:rsidRDefault="00856593" w:rsidP="00AD5A55">
      <w:pPr>
        <w:rPr>
          <w:i/>
        </w:rPr>
      </w:pPr>
      <w:r>
        <w:rPr>
          <w:b/>
        </w:rPr>
        <w:t>Methods</w:t>
      </w:r>
      <w:r>
        <w:t>:</w:t>
      </w:r>
      <w:r w:rsidR="00997CD5">
        <w:br/>
      </w:r>
      <w:r w:rsidR="00FF38BE" w:rsidRPr="000D3CD1">
        <w:rPr>
          <w:i/>
        </w:rPr>
        <w:t>Transpiration</w:t>
      </w:r>
      <w:r w:rsidR="001844EB" w:rsidRPr="000D3CD1">
        <w:rPr>
          <w:i/>
        </w:rPr>
        <w:br/>
      </w:r>
      <w:r w:rsidR="001844EB" w:rsidRPr="000D3CD1">
        <w:rPr>
          <w:rFonts w:cs="Arial"/>
          <w:color w:val="000000"/>
        </w:rPr>
        <w:t>Leaf-specific transpiration rates were measured using a LICOR LI-6400 infrared gas analyzer bi-monthly along marsh transects that contained all species groups. Measurements were made on individual plant leaves at 50-cm intervals from the water surface to the top of the plant canopy. Where plants did not have leaves but only thick stems (</w:t>
      </w:r>
      <w:r w:rsidR="001844EB" w:rsidRPr="000D3CD1">
        <w:rPr>
          <w:rFonts w:cs="Arial"/>
          <w:i/>
          <w:iCs/>
          <w:color w:val="000000"/>
        </w:rPr>
        <w:t>Schoenoplectus spp.</w:t>
      </w:r>
      <w:r w:rsidR="001844EB" w:rsidRPr="000D3CD1">
        <w:rPr>
          <w:rFonts w:cs="Arial"/>
          <w:color w:val="000000"/>
        </w:rPr>
        <w:t xml:space="preserve">), we used custom-made extensions of the stock LI-6400 IRGA sampling chamber to ensure an </w:t>
      </w:r>
      <w:r w:rsidR="000D3CD1" w:rsidRPr="000D3CD1">
        <w:rPr>
          <w:rFonts w:cs="Arial"/>
          <w:color w:val="000000"/>
        </w:rPr>
        <w:t>airtight</w:t>
      </w:r>
      <w:r w:rsidR="001844EB" w:rsidRPr="000D3CD1">
        <w:rPr>
          <w:rFonts w:cs="Arial"/>
          <w:color w:val="000000"/>
        </w:rPr>
        <w:t xml:space="preserve"> seal without </w:t>
      </w:r>
      <w:r w:rsidR="000D3CD1">
        <w:rPr>
          <w:rFonts w:cs="Arial"/>
          <w:color w:val="000000"/>
        </w:rPr>
        <w:t>damaging</w:t>
      </w:r>
      <w:r w:rsidR="001844EB" w:rsidRPr="000D3CD1">
        <w:rPr>
          <w:rFonts w:cs="Arial"/>
          <w:color w:val="000000"/>
        </w:rPr>
        <w:t xml:space="preserve"> plant tissue. Gas flux data were collected on one transect at a time from sunrise until as late as possible. These data included measurements of leaf-specific transpiration rate (Tr mmol H m-2 sec -1), photosynthetically active radiation (PAR, μmol photons), relative humidity (%), and ambient air temperature (degrees celsius), all of which were captured using the IRGA’s default sensors. While the IRGA reports transpiration data in units of leaf surface area, we </w:t>
      </w:r>
      <w:r w:rsidR="000D3CD1">
        <w:rPr>
          <w:rFonts w:cs="Arial"/>
          <w:color w:val="000000"/>
        </w:rPr>
        <w:t xml:space="preserve">expressed them in units of dry weight biomass by weighing 8-10 samples of different tissue samples from the IRGA’s chamber and generating relationships between dry weight biomass and surface area for all plant species. </w:t>
      </w:r>
      <w:r w:rsidR="001A4B18">
        <w:rPr>
          <w:rFonts w:cs="Arial"/>
          <w:color w:val="000000"/>
        </w:rPr>
        <w:br/>
        <w:t xml:space="preserve">To scale the daily plant-specific transpiration measurements across space, IRGA measurements corrected for dry-weight biomass we to re combined with whole system live macrophyte biomass estimates as calculated by the bimonthly data collected along the 10 sampling transects (see biomass section for details). To scale the plant-specific measurements in time, micrometeorological data as collected by the IRGA at the time of transpiration sampling were regressed with simultaneous data from an on-site meteorological station operated by the City of Phoenix. In addition, as plant transpiration in Tres Rios is largely driven by temperature, photosynthetically active radiation, and humidity, we regressed plant transpiration rates against these variables to be able to predict transpiration using meteorological data. Combined with the IRGA-meteorological station regressions, these </w:t>
      </w:r>
      <w:r w:rsidR="00A26DFD">
        <w:rPr>
          <w:rFonts w:cs="Arial"/>
          <w:color w:val="000000"/>
        </w:rPr>
        <w:t>models allowed us to interpolate our plant-specific measurements through time, resulting in total transpiration losses for the whole system (m</w:t>
      </w:r>
      <w:r w:rsidR="00A26DFD">
        <w:rPr>
          <w:rFonts w:cs="Arial"/>
          <w:color w:val="000000"/>
          <w:vertAlign w:val="superscript"/>
        </w:rPr>
        <w:t>3</w:t>
      </w:r>
      <w:r w:rsidR="00A26DFD">
        <w:rPr>
          <w:rFonts w:cs="Arial"/>
          <w:color w:val="000000"/>
        </w:rPr>
        <w:t>/mo</w:t>
      </w:r>
      <w:r w:rsidR="00A26DFD">
        <w:rPr>
          <w:rFonts w:cs="Arial"/>
          <w:color w:val="000000"/>
          <w:vertAlign w:val="superscript"/>
        </w:rPr>
        <w:t>-1</w:t>
      </w:r>
      <w:r w:rsidR="00A26DFD">
        <w:rPr>
          <w:rFonts w:cs="Arial"/>
          <w:color w:val="000000"/>
        </w:rPr>
        <w:t xml:space="preserve">). See Sanchez et al. (2016) for more details. </w:t>
      </w:r>
    </w:p>
    <w:p w14:paraId="5999A0C2" w14:textId="2DF7097F" w:rsidR="00194EBA" w:rsidRPr="00194EBA" w:rsidRDefault="00FF38BE" w:rsidP="00343D59">
      <w:r>
        <w:rPr>
          <w:i/>
        </w:rPr>
        <w:t>Biomass</w:t>
      </w:r>
      <w:r w:rsidR="00194EBA">
        <w:rPr>
          <w:i/>
        </w:rPr>
        <w:br/>
      </w:r>
      <w:r w:rsidR="00194EBA">
        <w:t>We used a point intercept transect approach across 10 approximately 50m transects that were evenly distributed across the wetland cell from inflow to outflow. Every two months we measured live aboveground biomass in five 0.25m</w:t>
      </w:r>
      <w:r w:rsidR="00194EBA">
        <w:rPr>
          <w:vertAlign w:val="superscript"/>
        </w:rPr>
        <w:t>2</w:t>
      </w:r>
      <w:r w:rsidR="00194EBA">
        <w:t xml:space="preserve"> quadrats that were randomly distributed along each transect. In each quadrat, we measured plant culm and various plant characteristics (stem height, number of leaves, etc.) and converted these measurements to dry weight biomass for each plant using established phenometric biomass models (see Weller et al. 2016 more detail). Plant weights in each quadrat were summed </w:t>
      </w:r>
      <w:r w:rsidR="00C76B4B">
        <w:t xml:space="preserve">for each quadrat. These measurements were </w:t>
      </w:r>
      <w:r w:rsidR="00194EBA">
        <w:t>scaled</w:t>
      </w:r>
      <w:r w:rsidR="00C76B4B">
        <w:t xml:space="preserve"> to the whole-system</w:t>
      </w:r>
      <w:r w:rsidR="00194EBA">
        <w:t xml:space="preserve"> by averaging quadrat-specific estimates </w:t>
      </w:r>
      <w:r w:rsidR="00C76B4B">
        <w:t>across each transect, multiplying by 1/10</w:t>
      </w:r>
      <w:r w:rsidR="00C76B4B" w:rsidRPr="00C76B4B">
        <w:rPr>
          <w:vertAlign w:val="superscript"/>
        </w:rPr>
        <w:t>th</w:t>
      </w:r>
      <w:r w:rsidR="00C76B4B">
        <w:t xml:space="preserve"> of the total vegetated area (21ha), and summing across all transects.</w:t>
      </w:r>
      <w:r w:rsidR="00744FE7">
        <w:t xml:space="preserve"> ADD SECTION WITH SPP CODES</w:t>
      </w:r>
    </w:p>
    <w:p w14:paraId="755E027F" w14:textId="35DC815A" w:rsidR="00FF38BE" w:rsidRPr="00FA6F19" w:rsidRDefault="00FF38BE" w:rsidP="00FA6F19">
      <w:pPr>
        <w:widowControl w:val="0"/>
        <w:tabs>
          <w:tab w:val="left" w:pos="220"/>
          <w:tab w:val="left" w:pos="720"/>
        </w:tabs>
        <w:autoSpaceDE w:val="0"/>
        <w:autoSpaceDN w:val="0"/>
        <w:adjustRightInd w:val="0"/>
        <w:spacing w:after="240"/>
        <w:contextualSpacing/>
        <w:rPr>
          <w:rFonts w:cs="Times"/>
        </w:rPr>
      </w:pPr>
      <w:r>
        <w:rPr>
          <w:i/>
        </w:rPr>
        <w:t>Water Quality</w:t>
      </w:r>
      <w:r w:rsidR="00C76B4B">
        <w:rPr>
          <w:i/>
        </w:rPr>
        <w:br/>
      </w:r>
      <w:r w:rsidR="001A4B18">
        <w:t xml:space="preserve">We used a point intercept transect approach across 10 approximately 50m transects that were evenly distributed across the wetland cell from inflow to outflow. These are the same transects used for biomass measurements. </w:t>
      </w:r>
      <w:r w:rsidR="00C76B4B">
        <w:t>Bimonthly triplicate surface water grab samples were collected at the whole-system inflow and outflow</w:t>
      </w:r>
      <w:r w:rsidR="00FA6F19">
        <w:t xml:space="preserve"> using acid-washed 1 L Nalgene bottles</w:t>
      </w:r>
      <w:r w:rsidR="00C76B4B">
        <w:t>,</w:t>
      </w:r>
      <w:r w:rsidR="00FA6F19">
        <w:t xml:space="preserve"> while single grab samples were collected at</w:t>
      </w:r>
      <w:r w:rsidR="00C76B4B">
        <w:t xml:space="preserve"> the beginning and end of each transect. </w:t>
      </w:r>
      <w:r w:rsidR="00FA6F19">
        <w:t xml:space="preserve">A Lachat QC 8000 Quickchem Flow Injection Analyzer (detection limit </w:t>
      </w:r>
      <w:r w:rsidR="00FA6F19" w:rsidRPr="007E050B">
        <w:t>0.85 μg NO</w:t>
      </w:r>
      <w:r w:rsidR="00FA6F19" w:rsidRPr="007E050B">
        <w:rPr>
          <w:position w:val="-3"/>
        </w:rPr>
        <w:t>3</w:t>
      </w:r>
      <w:r w:rsidR="00FA6F19" w:rsidRPr="007E050B">
        <w:t>-N L</w:t>
      </w:r>
      <w:r w:rsidR="00FA6F19">
        <w:rPr>
          <w:vertAlign w:val="superscript"/>
        </w:rPr>
        <w:t>-1</w:t>
      </w:r>
      <w:r w:rsidR="00FA6F19" w:rsidRPr="007E050B">
        <w:rPr>
          <w:position w:val="16"/>
        </w:rPr>
        <w:t xml:space="preserve"> </w:t>
      </w:r>
      <w:r w:rsidR="00FA6F19" w:rsidRPr="007E050B">
        <w:t>and 3.01 μg NH</w:t>
      </w:r>
      <w:r w:rsidR="00FA6F19" w:rsidRPr="007E050B">
        <w:rPr>
          <w:position w:val="-3"/>
        </w:rPr>
        <w:t>4</w:t>
      </w:r>
      <w:r w:rsidR="00FA6F19">
        <w:t>- N L</w:t>
      </w:r>
      <w:r w:rsidR="00FA6F19">
        <w:rPr>
          <w:vertAlign w:val="superscript"/>
        </w:rPr>
        <w:t>-1</w:t>
      </w:r>
      <w:r w:rsidR="00FA6F19">
        <w:t>) was used to centrifuge and analyze unfiltered samples for inorganic nitrogen (NO</w:t>
      </w:r>
      <w:r w:rsidR="00FA6F19">
        <w:rPr>
          <w:vertAlign w:val="subscript"/>
        </w:rPr>
        <w:t>3</w:t>
      </w:r>
      <w:r w:rsidR="00FA6F19">
        <w:rPr>
          <w:vertAlign w:val="superscript"/>
        </w:rPr>
        <w:t>-</w:t>
      </w:r>
      <w:r w:rsidR="00FA6F19">
        <w:t>, NO</w:t>
      </w:r>
      <w:r w:rsidR="00FA6F19">
        <w:rPr>
          <w:vertAlign w:val="subscript"/>
        </w:rPr>
        <w:t>2</w:t>
      </w:r>
      <w:r w:rsidR="00FA6F19">
        <w:rPr>
          <w:vertAlign w:val="superscript"/>
        </w:rPr>
        <w:t>-</w:t>
      </w:r>
      <w:r w:rsidR="00FA6F19">
        <w:t>, and NH</w:t>
      </w:r>
      <w:r w:rsidR="00FA6F19">
        <w:rPr>
          <w:vertAlign w:val="subscript"/>
        </w:rPr>
        <w:t>4</w:t>
      </w:r>
      <w:r w:rsidR="00FA6F19">
        <w:rPr>
          <w:vertAlign w:val="superscript"/>
        </w:rPr>
        <w:t>+</w:t>
      </w:r>
      <w:r w:rsidR="00FA6F19">
        <w:t>)</w:t>
      </w:r>
      <w:r w:rsidR="001A4B18">
        <w:t xml:space="preserve"> and soluble reactive phosphorus (SRP, PO</w:t>
      </w:r>
      <w:r w:rsidR="001A4B18">
        <w:rPr>
          <w:vertAlign w:val="subscript"/>
        </w:rPr>
        <w:t>4</w:t>
      </w:r>
      <w:r w:rsidR="001A4B18">
        <w:rPr>
          <w:vertAlign w:val="superscript"/>
        </w:rPr>
        <w:t>-3</w:t>
      </w:r>
      <w:r w:rsidR="001A4B18">
        <w:t>)</w:t>
      </w:r>
      <w:r w:rsidR="00FA6F19">
        <w:t xml:space="preserve">. At the sample locations where grab samples were taken, a YSI Pro 2030 meter was used to measure conductance and temperature while a YSI Ecosense ph100 meter was used to measure pH. </w:t>
      </w:r>
    </w:p>
    <w:sectPr w:rsidR="00FF38BE" w:rsidRPr="00FA6F19" w:rsidSect="001B09C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FC3D7" w14:textId="77777777" w:rsidR="00CA1143" w:rsidRDefault="00CA1143" w:rsidP="0067276E">
      <w:pPr>
        <w:spacing w:after="0" w:line="240" w:lineRule="auto"/>
      </w:pPr>
      <w:r>
        <w:separator/>
      </w:r>
    </w:p>
  </w:endnote>
  <w:endnote w:type="continuationSeparator" w:id="0">
    <w:p w14:paraId="725ECCB8" w14:textId="77777777" w:rsidR="00CA1143" w:rsidRDefault="00CA1143" w:rsidP="0067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BF4DA" w14:textId="77777777" w:rsidR="001A4B18" w:rsidRDefault="001A4B18">
    <w:pPr>
      <w:pStyle w:val="Footer"/>
      <w:jc w:val="right"/>
    </w:pPr>
    <w:r>
      <w:fldChar w:fldCharType="begin"/>
    </w:r>
    <w:r>
      <w:instrText xml:space="preserve"> PAGE   \* MERGEFORMAT </w:instrText>
    </w:r>
    <w:r>
      <w:fldChar w:fldCharType="separate"/>
    </w:r>
    <w:r w:rsidR="00D300B2">
      <w:rPr>
        <w:noProof/>
      </w:rPr>
      <w:t>1</w:t>
    </w:r>
    <w:r>
      <w:fldChar w:fldCharType="end"/>
    </w:r>
  </w:p>
  <w:p w14:paraId="6DED3505" w14:textId="77777777" w:rsidR="001A4B18" w:rsidRDefault="001A4B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18664" w14:textId="77777777" w:rsidR="00CA1143" w:rsidRDefault="00CA1143" w:rsidP="0067276E">
      <w:pPr>
        <w:spacing w:after="0" w:line="240" w:lineRule="auto"/>
      </w:pPr>
      <w:r>
        <w:separator/>
      </w:r>
    </w:p>
  </w:footnote>
  <w:footnote w:type="continuationSeparator" w:id="0">
    <w:p w14:paraId="0A17C362" w14:textId="77777777" w:rsidR="00CA1143" w:rsidRDefault="00CA1143" w:rsidP="006727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5DADA6" w14:textId="77777777" w:rsidR="001A4B18" w:rsidRDefault="001A4B18" w:rsidP="00285639">
    <w:pPr>
      <w:pStyle w:val="Header"/>
      <w:pBdr>
        <w:bottom w:val="thickThinSmallGap" w:sz="24" w:space="1" w:color="622423"/>
      </w:pBdr>
      <w:jc w:val="center"/>
    </w:pPr>
    <w:r>
      <w:rPr>
        <w:rFonts w:ascii="Cambria" w:eastAsia="Times New Roman" w:hAnsi="Cambria"/>
        <w:sz w:val="32"/>
        <w:szCs w:val="32"/>
      </w:rPr>
      <w:t>GIOS Dataset Metadata Submission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528"/>
    <w:multiLevelType w:val="hybridMultilevel"/>
    <w:tmpl w:val="EE0A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F0CED"/>
    <w:multiLevelType w:val="hybridMultilevel"/>
    <w:tmpl w:val="067A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01EE8"/>
    <w:multiLevelType w:val="hybridMultilevel"/>
    <w:tmpl w:val="D1BC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60AC6"/>
    <w:multiLevelType w:val="multilevel"/>
    <w:tmpl w:val="F8E632E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414C5E"/>
    <w:multiLevelType w:val="hybridMultilevel"/>
    <w:tmpl w:val="BC0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0F662D"/>
    <w:multiLevelType w:val="hybridMultilevel"/>
    <w:tmpl w:val="202A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13C33"/>
    <w:multiLevelType w:val="hybridMultilevel"/>
    <w:tmpl w:val="61BC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72"/>
    <w:rsid w:val="0002621E"/>
    <w:rsid w:val="00031CD3"/>
    <w:rsid w:val="000578E3"/>
    <w:rsid w:val="00082672"/>
    <w:rsid w:val="000A0C6C"/>
    <w:rsid w:val="000B1AD0"/>
    <w:rsid w:val="000C4BF3"/>
    <w:rsid w:val="000D0D8A"/>
    <w:rsid w:val="000D3CD1"/>
    <w:rsid w:val="001016BE"/>
    <w:rsid w:val="00125EB4"/>
    <w:rsid w:val="0016771A"/>
    <w:rsid w:val="001844EB"/>
    <w:rsid w:val="00194EBA"/>
    <w:rsid w:val="001A2FA6"/>
    <w:rsid w:val="001A4B18"/>
    <w:rsid w:val="001B09CB"/>
    <w:rsid w:val="00215C51"/>
    <w:rsid w:val="002233B1"/>
    <w:rsid w:val="00245ECA"/>
    <w:rsid w:val="002510B2"/>
    <w:rsid w:val="00285639"/>
    <w:rsid w:val="002E68C0"/>
    <w:rsid w:val="002F1C6E"/>
    <w:rsid w:val="002F4A7A"/>
    <w:rsid w:val="00316B88"/>
    <w:rsid w:val="00332DF1"/>
    <w:rsid w:val="00343D59"/>
    <w:rsid w:val="00344D96"/>
    <w:rsid w:val="00383F35"/>
    <w:rsid w:val="00387EF9"/>
    <w:rsid w:val="003D011B"/>
    <w:rsid w:val="00467CA9"/>
    <w:rsid w:val="0047404B"/>
    <w:rsid w:val="004766FE"/>
    <w:rsid w:val="0049077A"/>
    <w:rsid w:val="00493102"/>
    <w:rsid w:val="004A3451"/>
    <w:rsid w:val="004C33DC"/>
    <w:rsid w:val="00533089"/>
    <w:rsid w:val="005A64D8"/>
    <w:rsid w:val="005A7438"/>
    <w:rsid w:val="005B0548"/>
    <w:rsid w:val="005E57CC"/>
    <w:rsid w:val="006243B0"/>
    <w:rsid w:val="0067276E"/>
    <w:rsid w:val="00686373"/>
    <w:rsid w:val="006A17D5"/>
    <w:rsid w:val="006C0D6A"/>
    <w:rsid w:val="006C5873"/>
    <w:rsid w:val="007043AD"/>
    <w:rsid w:val="00744FE7"/>
    <w:rsid w:val="0078633E"/>
    <w:rsid w:val="007902F7"/>
    <w:rsid w:val="007A405F"/>
    <w:rsid w:val="007D672F"/>
    <w:rsid w:val="00831DE0"/>
    <w:rsid w:val="00856593"/>
    <w:rsid w:val="0086122B"/>
    <w:rsid w:val="00891E16"/>
    <w:rsid w:val="008B7957"/>
    <w:rsid w:val="008D4E5A"/>
    <w:rsid w:val="008E697C"/>
    <w:rsid w:val="008F2EF1"/>
    <w:rsid w:val="00975F8D"/>
    <w:rsid w:val="00983A76"/>
    <w:rsid w:val="00997CD5"/>
    <w:rsid w:val="009D1071"/>
    <w:rsid w:val="009E354F"/>
    <w:rsid w:val="00A26DFD"/>
    <w:rsid w:val="00AD5A55"/>
    <w:rsid w:val="00AE77CF"/>
    <w:rsid w:val="00B349C4"/>
    <w:rsid w:val="00BA64FC"/>
    <w:rsid w:val="00BD4F52"/>
    <w:rsid w:val="00BE7608"/>
    <w:rsid w:val="00BF436C"/>
    <w:rsid w:val="00C075A4"/>
    <w:rsid w:val="00C162AC"/>
    <w:rsid w:val="00C42745"/>
    <w:rsid w:val="00C45BD9"/>
    <w:rsid w:val="00C664B4"/>
    <w:rsid w:val="00C66BA4"/>
    <w:rsid w:val="00C76B4B"/>
    <w:rsid w:val="00CA1143"/>
    <w:rsid w:val="00CE57A9"/>
    <w:rsid w:val="00D0547B"/>
    <w:rsid w:val="00D300B2"/>
    <w:rsid w:val="00D849C5"/>
    <w:rsid w:val="00D96434"/>
    <w:rsid w:val="00DB6F7A"/>
    <w:rsid w:val="00E17C60"/>
    <w:rsid w:val="00E23720"/>
    <w:rsid w:val="00E9395D"/>
    <w:rsid w:val="00ED2027"/>
    <w:rsid w:val="00F24CE0"/>
    <w:rsid w:val="00F56CAF"/>
    <w:rsid w:val="00F902B2"/>
    <w:rsid w:val="00FA6F19"/>
    <w:rsid w:val="00FD3033"/>
    <w:rsid w:val="00FF3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28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CB"/>
    <w:pPr>
      <w:spacing w:after="200" w:line="276" w:lineRule="auto"/>
    </w:pPr>
    <w:rPr>
      <w:sz w:val="22"/>
      <w:szCs w:val="22"/>
    </w:rPr>
  </w:style>
  <w:style w:type="paragraph" w:styleId="Heading1">
    <w:name w:val="heading 1"/>
    <w:basedOn w:val="Normal"/>
    <w:next w:val="Normal"/>
    <w:link w:val="Heading1Char"/>
    <w:uiPriority w:val="9"/>
    <w:qFormat/>
    <w:rsid w:val="0067276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76E"/>
  </w:style>
  <w:style w:type="paragraph" w:styleId="Footer">
    <w:name w:val="footer"/>
    <w:basedOn w:val="Normal"/>
    <w:link w:val="FooterChar"/>
    <w:uiPriority w:val="99"/>
    <w:unhideWhenUsed/>
    <w:rsid w:val="0067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76E"/>
  </w:style>
  <w:style w:type="paragraph" w:styleId="BalloonText">
    <w:name w:val="Balloon Text"/>
    <w:basedOn w:val="Normal"/>
    <w:link w:val="BalloonTextChar"/>
    <w:uiPriority w:val="99"/>
    <w:semiHidden/>
    <w:unhideWhenUsed/>
    <w:rsid w:val="006727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276E"/>
    <w:rPr>
      <w:rFonts w:ascii="Tahoma" w:hAnsi="Tahoma" w:cs="Tahoma"/>
      <w:sz w:val="16"/>
      <w:szCs w:val="16"/>
    </w:rPr>
  </w:style>
  <w:style w:type="character" w:customStyle="1" w:styleId="Heading1Char">
    <w:name w:val="Heading 1 Char"/>
    <w:link w:val="Heading1"/>
    <w:uiPriority w:val="9"/>
    <w:rsid w:val="0067276E"/>
    <w:rPr>
      <w:rFonts w:ascii="Cambria" w:eastAsia="Times New Roman" w:hAnsi="Cambria" w:cs="Times New Roman"/>
      <w:b/>
      <w:bCs/>
      <w:color w:val="365F91"/>
      <w:sz w:val="28"/>
      <w:szCs w:val="28"/>
    </w:rPr>
  </w:style>
  <w:style w:type="paragraph" w:styleId="ListParagraph">
    <w:name w:val="List Paragraph"/>
    <w:basedOn w:val="Normal"/>
    <w:uiPriority w:val="34"/>
    <w:qFormat/>
    <w:rsid w:val="0067276E"/>
    <w:pPr>
      <w:ind w:left="720"/>
      <w:contextualSpacing/>
    </w:pPr>
  </w:style>
  <w:style w:type="table" w:styleId="TableGrid">
    <w:name w:val="Table Grid"/>
    <w:basedOn w:val="TableNormal"/>
    <w:uiPriority w:val="59"/>
    <w:rsid w:val="00D964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60"/>
    <w:rsid w:val="00D9643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031CD3"/>
    <w:rPr>
      <w:color w:val="0000FF"/>
      <w:u w:val="single"/>
    </w:rPr>
  </w:style>
  <w:style w:type="table" w:styleId="LightList">
    <w:name w:val="Light List"/>
    <w:basedOn w:val="TableNormal"/>
    <w:uiPriority w:val="61"/>
    <w:rsid w:val="00C664B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831DE0"/>
    <w:rPr>
      <w:color w:val="808080"/>
    </w:rPr>
  </w:style>
  <w:style w:type="paragraph" w:styleId="NormalWeb">
    <w:name w:val="Normal (Web)"/>
    <w:basedOn w:val="Normal"/>
    <w:uiPriority w:val="99"/>
    <w:semiHidden/>
    <w:unhideWhenUsed/>
    <w:rsid w:val="00C42745"/>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CB"/>
    <w:pPr>
      <w:spacing w:after="200" w:line="276" w:lineRule="auto"/>
    </w:pPr>
    <w:rPr>
      <w:sz w:val="22"/>
      <w:szCs w:val="22"/>
    </w:rPr>
  </w:style>
  <w:style w:type="paragraph" w:styleId="Heading1">
    <w:name w:val="heading 1"/>
    <w:basedOn w:val="Normal"/>
    <w:next w:val="Normal"/>
    <w:link w:val="Heading1Char"/>
    <w:uiPriority w:val="9"/>
    <w:qFormat/>
    <w:rsid w:val="0067276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76E"/>
  </w:style>
  <w:style w:type="paragraph" w:styleId="Footer">
    <w:name w:val="footer"/>
    <w:basedOn w:val="Normal"/>
    <w:link w:val="FooterChar"/>
    <w:uiPriority w:val="99"/>
    <w:unhideWhenUsed/>
    <w:rsid w:val="0067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76E"/>
  </w:style>
  <w:style w:type="paragraph" w:styleId="BalloonText">
    <w:name w:val="Balloon Text"/>
    <w:basedOn w:val="Normal"/>
    <w:link w:val="BalloonTextChar"/>
    <w:uiPriority w:val="99"/>
    <w:semiHidden/>
    <w:unhideWhenUsed/>
    <w:rsid w:val="006727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276E"/>
    <w:rPr>
      <w:rFonts w:ascii="Tahoma" w:hAnsi="Tahoma" w:cs="Tahoma"/>
      <w:sz w:val="16"/>
      <w:szCs w:val="16"/>
    </w:rPr>
  </w:style>
  <w:style w:type="character" w:customStyle="1" w:styleId="Heading1Char">
    <w:name w:val="Heading 1 Char"/>
    <w:link w:val="Heading1"/>
    <w:uiPriority w:val="9"/>
    <w:rsid w:val="0067276E"/>
    <w:rPr>
      <w:rFonts w:ascii="Cambria" w:eastAsia="Times New Roman" w:hAnsi="Cambria" w:cs="Times New Roman"/>
      <w:b/>
      <w:bCs/>
      <w:color w:val="365F91"/>
      <w:sz w:val="28"/>
      <w:szCs w:val="28"/>
    </w:rPr>
  </w:style>
  <w:style w:type="paragraph" w:styleId="ListParagraph">
    <w:name w:val="List Paragraph"/>
    <w:basedOn w:val="Normal"/>
    <w:uiPriority w:val="34"/>
    <w:qFormat/>
    <w:rsid w:val="0067276E"/>
    <w:pPr>
      <w:ind w:left="720"/>
      <w:contextualSpacing/>
    </w:pPr>
  </w:style>
  <w:style w:type="table" w:styleId="TableGrid">
    <w:name w:val="Table Grid"/>
    <w:basedOn w:val="TableNormal"/>
    <w:uiPriority w:val="59"/>
    <w:rsid w:val="00D964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60"/>
    <w:rsid w:val="00D96434"/>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031CD3"/>
    <w:rPr>
      <w:color w:val="0000FF"/>
      <w:u w:val="single"/>
    </w:rPr>
  </w:style>
  <w:style w:type="table" w:styleId="LightList">
    <w:name w:val="Light List"/>
    <w:basedOn w:val="TableNormal"/>
    <w:uiPriority w:val="61"/>
    <w:rsid w:val="00C664B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831DE0"/>
    <w:rPr>
      <w:color w:val="808080"/>
    </w:rPr>
  </w:style>
  <w:style w:type="paragraph" w:styleId="NormalWeb">
    <w:name w:val="Normal (Web)"/>
    <w:basedOn w:val="Normal"/>
    <w:uiPriority w:val="99"/>
    <w:semiHidden/>
    <w:unhideWhenUsed/>
    <w:rsid w:val="00C42745"/>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49396">
      <w:bodyDiv w:val="1"/>
      <w:marLeft w:val="0"/>
      <w:marRight w:val="0"/>
      <w:marTop w:val="0"/>
      <w:marBottom w:val="0"/>
      <w:divBdr>
        <w:top w:val="none" w:sz="0" w:space="0" w:color="auto"/>
        <w:left w:val="none" w:sz="0" w:space="0" w:color="auto"/>
        <w:bottom w:val="none" w:sz="0" w:space="0" w:color="auto"/>
        <w:right w:val="none" w:sz="0" w:space="0" w:color="auto"/>
      </w:divBdr>
    </w:div>
    <w:div w:id="573902914">
      <w:bodyDiv w:val="1"/>
      <w:marLeft w:val="0"/>
      <w:marRight w:val="0"/>
      <w:marTop w:val="0"/>
      <w:marBottom w:val="0"/>
      <w:divBdr>
        <w:top w:val="none" w:sz="0" w:space="0" w:color="auto"/>
        <w:left w:val="none" w:sz="0" w:space="0" w:color="auto"/>
        <w:bottom w:val="none" w:sz="0" w:space="0" w:color="auto"/>
        <w:right w:val="none" w:sz="0" w:space="0" w:color="auto"/>
      </w:divBdr>
      <w:divsChild>
        <w:div w:id="1388265697">
          <w:marLeft w:val="0"/>
          <w:marRight w:val="0"/>
          <w:marTop w:val="0"/>
          <w:marBottom w:val="0"/>
          <w:divBdr>
            <w:top w:val="none" w:sz="0" w:space="0" w:color="auto"/>
            <w:left w:val="none" w:sz="0" w:space="0" w:color="auto"/>
            <w:bottom w:val="none" w:sz="0" w:space="0" w:color="auto"/>
            <w:right w:val="none" w:sz="0" w:space="0" w:color="auto"/>
          </w:divBdr>
          <w:divsChild>
            <w:div w:id="54820725">
              <w:marLeft w:val="0"/>
              <w:marRight w:val="0"/>
              <w:marTop w:val="0"/>
              <w:marBottom w:val="0"/>
              <w:divBdr>
                <w:top w:val="none" w:sz="0" w:space="0" w:color="auto"/>
                <w:left w:val="none" w:sz="0" w:space="0" w:color="auto"/>
                <w:bottom w:val="none" w:sz="0" w:space="0" w:color="auto"/>
                <w:right w:val="none" w:sz="0" w:space="0" w:color="auto"/>
              </w:divBdr>
              <w:divsChild>
                <w:div w:id="18377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plter.data@asu.edu"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rran\Desktop\GIOS_metadata_form_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F92F3-4FAC-054C-8B2F-2E899FF61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\Users\ptarran\Desktop\GIOS_metadata_form_dataset_v1.dotx</Template>
  <TotalTime>2</TotalTime>
  <Pages>4</Pages>
  <Words>1476</Words>
  <Characters>8417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GIOS Dataset Metadata Definition</vt:lpstr>
    </vt:vector>
  </TitlesOfParts>
  <Company>Global Institute of Sustainability</Company>
  <LinksUpToDate>false</LinksUpToDate>
  <CharactersWithSpaces>9874</CharactersWithSpaces>
  <SharedDoc>false</SharedDoc>
  <HLinks>
    <vt:vector size="6" baseType="variant">
      <vt:variant>
        <vt:i4>1966205</vt:i4>
      </vt:variant>
      <vt:variant>
        <vt:i4>0</vt:i4>
      </vt:variant>
      <vt:variant>
        <vt:i4>0</vt:i4>
      </vt:variant>
      <vt:variant>
        <vt:i4>5</vt:i4>
      </vt:variant>
      <vt:variant>
        <vt:lpwstr>mailto:caplter.data@asu.edu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GIOS Dataset Metadata Definition</dc:title>
  <dc:creator>Philip Tarrant</dc:creator>
  <cp:lastModifiedBy>Chris Sanchez</cp:lastModifiedBy>
  <cp:revision>3</cp:revision>
  <dcterms:created xsi:type="dcterms:W3CDTF">2018-02-16T18:41:00Z</dcterms:created>
  <dcterms:modified xsi:type="dcterms:W3CDTF">2018-02-16T20:11:00Z</dcterms:modified>
</cp:coreProperties>
</file>