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Phase 4–5 记录：可审计筛查器与两级半径消融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日期</w:t>
      </w:r>
      <w:r>
        <w:rPr>
          <w:rFonts w:ascii="Segoe UI" w:hAnsi="Segoe UI" w:eastAsia="宋体"/>
          <w:b w:val="0"/>
          <w:i w:val="0"/>
          <w:sz w:val="20"/>
        </w:rPr>
        <w:t xml:space="preserve">：2026-10-11 · </w:t>
      </w:r>
      <w:r>
        <w:rPr>
          <w:rFonts w:ascii="Segoe UI" w:hAnsi="Segoe UI" w:eastAsia="宋体"/>
          <w:b/>
          <w:i w:val="0"/>
          <w:sz w:val="20"/>
        </w:rPr>
        <w:t>对应</w:t>
      </w:r>
      <w:r>
        <w:rPr>
          <w:rFonts w:ascii="Segoe UI" w:hAnsi="Segoe UI" w:eastAsia="宋体"/>
          <w:b w:val="0"/>
          <w:i w:val="0"/>
          <w:sz w:val="20"/>
        </w:rPr>
        <w:t>：handout Phase 4（最小方法）、Phase 5（完整设计的一部分）、RQ3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代码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scripts/screening.py</w:t>
      </w:r>
      <w:r>
        <w:rPr>
          <w:rFonts w:ascii="Segoe UI" w:hAnsi="Segoe UI" w:eastAsia="宋体"/>
          <w:b w:val="0"/>
          <w:i w:val="0"/>
          <w:sz w:val="20"/>
        </w:rPr>
        <w:t>（模块 + 9 项单元测试）、</w:t>
      </w:r>
      <w:r>
        <w:rPr>
          <w:rFonts w:ascii="Consolas" w:hAnsi="Consolas" w:eastAsia="Consolas"/>
          <w:b w:val="0"/>
          <w:color w:val="B03030"/>
          <w:sz w:val="19"/>
        </w:rPr>
        <w:t>scripts/featurize.py</w:t>
      </w:r>
      <w:r>
        <w:rPr>
          <w:rFonts w:ascii="Segoe UI" w:hAnsi="Segoe UI" w:eastAsia="宋体"/>
          <w:b w:val="0"/>
          <w:i w:val="0"/>
          <w:sz w:val="20"/>
        </w:rPr>
        <w:t>（特征缓存）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模块做到了什么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handout 要求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实现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证据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观测中心取自 M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贪心核心集，中心是 M 中的实际向量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ScreenIndex.__init__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保守半径 r_j ≥ max d(m,c_j)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assign_and_radii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按 cell 取最大距离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1/2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 ≤ s ≤ U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bounds()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image_bounds()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1/2/5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不确定就升级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U≤t→正常，L&gt;t→报警，否则升级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3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整库不可用/版本不符 → 未决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Resolver.resolve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unresolved:*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6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版本契约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BankVersion.id()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= 编码器+预处理+库哈希+阈值+聚合+K+层数 的哈希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6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元数据计量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bytes()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返回中心/半径/元数据三段字节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消融表最后一列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确定性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两次构建逐位一致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7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两级细化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大 cell 切子 cell；子中心 = 父中心 ∪ medoid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单元测试 5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手写单元测试 9 项全部通过</w:t>
      </w:r>
      <w:r>
        <w:rPr>
          <w:rFonts w:ascii="Segoe UI" w:hAnsi="Segoe UI" w:eastAsia="宋体"/>
          <w:b w:val="0"/>
          <w:i w:val="0"/>
          <w:sz w:val="20"/>
        </w:rPr>
        <w:t>（并列、重复向量、空 cell、阈值相等、两级、全局半径、版本不符、离线、确定性）。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单元测试抓到的两个真 bug（都已修）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子中心用了 k-means 均值 → `L ≤ s ≤ U` 失效。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U(q)=min_j d(q,c_j)</w:t>
      </w:r>
      <w:r>
        <w:rPr>
          <w:rFonts w:ascii="Segoe UI" w:hAnsi="Segoe UI" w:eastAsia="宋体"/>
          <w:b w:val="0"/>
          <w:i w:val="0"/>
          <w:sz w:val="20"/>
        </w:rPr>
        <w:t xml:space="preserve"> 要成为上界，前提是 </w:t>
      </w:r>
      <w:r>
        <w:rPr>
          <w:rFonts w:ascii="Consolas" w:hAnsi="Consolas" w:eastAsia="Consolas"/>
          <w:b w:val="0"/>
          <w:color w:val="B03030"/>
          <w:sz w:val="19"/>
        </w:rPr>
        <w:t>c_j ∈ M</w:t>
      </w:r>
      <w:r>
        <w:rPr>
          <w:rFonts w:ascii="Segoe UI" w:hAnsi="Segoe UI" w:eastAsia="宋体"/>
          <w:b w:val="0"/>
          <w:i w:val="0"/>
          <w:sz w:val="20"/>
        </w:rPr>
        <w:t>；均值不在 M 里，会让 U 小于真值。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→ 改为 </w:t>
      </w:r>
      <w:r>
        <w:rPr>
          <w:rFonts w:ascii="Segoe UI" w:hAnsi="Segoe UI" w:eastAsia="宋体"/>
          <w:b/>
          <w:i w:val="0"/>
          <w:sz w:val="20"/>
        </w:rPr>
        <w:t>medoid</w:t>
      </w:r>
      <w:r>
        <w:rPr>
          <w:rFonts w:ascii="Segoe UI" w:hAnsi="Segoe UI" w:eastAsia="宋体"/>
          <w:b w:val="0"/>
          <w:i w:val="0"/>
          <w:sz w:val="20"/>
        </w:rPr>
        <w:t>（簇内离质心最近的实际向量）。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子中心不保留父中心 → U 反而变差</w:t>
      </w:r>
      <w:r>
        <w:rPr>
          <w:rFonts w:ascii="Segoe UI" w:hAnsi="Segoe UI" w:eastAsia="宋体"/>
          <w:b w:val="0"/>
          <w:i w:val="0"/>
          <w:sz w:val="20"/>
        </w:rPr>
        <w:t>（区间 5.696 → 5.890）。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→ 子中心集合改为 </w:t>
      </w:r>
      <w:r>
        <w:rPr>
          <w:rFonts w:ascii="Segoe UI" w:hAnsi="Segoe UI" w:eastAsia="宋体"/>
          <w:b/>
          <w:i w:val="0"/>
          <w:sz w:val="20"/>
        </w:rPr>
        <w:t>{父中心} ∪ {medoids}</w:t>
      </w:r>
      <w:r>
        <w:rPr>
          <w:rFonts w:ascii="Segoe UI" w:hAnsi="Segoe UI" w:eastAsia="宋体"/>
          <w:b w:val="0"/>
          <w:i w:val="0"/>
          <w:sz w:val="20"/>
        </w:rPr>
        <w:t>，实测区间 5.696 → 5.270（更紧）。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这两条是"看起来只是实现细节、实际破坏数学前提"的典型，值得写进论文的数值有效性一节。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真实数据消融（16-shot，库 12,544 patch，阈值=校准集 95 分位）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3.1 k 由压缩比决定（k=1254 ≈ 10%）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层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半径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本地率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错判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字节 KB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89.2%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10.8%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7529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89.2%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10.8%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7589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38.5%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61.5%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7529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38.5%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61.5%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7589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84.4%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15.6%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7529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84.4%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15.6%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7811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观察</w:t>
      </w:r>
      <w:r>
        <w:rPr>
          <w:rFonts w:ascii="Segoe UI" w:hAnsi="Segoe UI" w:eastAsia="宋体"/>
          <w:b w:val="0"/>
          <w:i w:val="0"/>
          <w:sz w:val="20"/>
        </w:rPr>
        <w:t>：二级几乎无收益。原因不是实现错误，而是</w:t>
      </w:r>
      <w:r>
        <w:rPr>
          <w:rFonts w:ascii="Segoe UI" w:hAnsi="Segoe UI" w:eastAsia="宋体"/>
          <w:b/>
          <w:i w:val="0"/>
          <w:sz w:val="20"/>
        </w:rPr>
        <w:t>平均 cell 只有 10 个点</w:t>
      </w:r>
      <w:r>
        <w:rPr>
          <w:rFonts w:ascii="Segoe UI" w:hAnsi="Segoe UI" w:eastAsia="宋体"/>
          <w:b w:val="0"/>
          <w:i w:val="0"/>
          <w:sz w:val="20"/>
        </w:rPr>
        <w:t>（12,544/1,254），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远低于切分阈值 64 —— 两级结构在细粒度下无事可做。字节数略增说明仅极少数大 cell 被切。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3.2 强制粗粒度（k=32）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层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半径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本地率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错判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字节 KB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1.2%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98.8%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192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1.2%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98.8%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576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1.7%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98.3%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192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26.5%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73.5%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504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192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screw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cell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9.4%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90.6%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552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global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192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global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25.6%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74.4%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504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三个结论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两级细化在"区间是约束"的类别上有效</w:t>
      </w:r>
      <w:r>
        <w:rPr>
          <w:rFonts w:ascii="Segoe UI" w:hAnsi="Segoe UI" w:eastAsia="宋体"/>
          <w:b w:val="0"/>
          <w:i w:val="0"/>
          <w:sz w:val="20"/>
        </w:rPr>
        <w:t>：tile 1.7%→26.5%（+24.8 pp），screw 0.0%→9.4%。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在"检测器余量大"的类别上无效</w:t>
      </w:r>
      <w:r>
        <w:rPr>
          <w:rFonts w:ascii="Segoe UI" w:hAnsi="Segoe UI" w:eastAsia="宋体"/>
          <w:b w:val="0"/>
          <w:i w:val="0"/>
          <w:sz w:val="20"/>
        </w:rPr>
        <w:t>：bottle 一直 1.2%，因为它 AUROC=1.0，决策远离阈值；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细化省下的宽度用不上。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全局半径 vs 逐 cell 半径</w:t>
      </w:r>
      <w:r>
        <w:rPr>
          <w:rFonts w:ascii="Segoe UI" w:hAnsi="Segoe UI" w:eastAsia="宋体"/>
          <w:b w:val="0"/>
          <w:i w:val="0"/>
          <w:sz w:val="20"/>
        </w:rPr>
        <w:t>：差距小（bottle 1.2% vs 0%；tile 二级 26.5% vs 25.6%），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说明</w:t>
      </w:r>
      <w:r>
        <w:rPr>
          <w:rFonts w:ascii="Segoe UI" w:hAnsi="Segoe UI" w:eastAsia="宋体"/>
          <w:b/>
          <w:i w:val="0"/>
          <w:sz w:val="20"/>
        </w:rPr>
        <w:t>半径的紧度主要来自 cell 划分本身，而不是"是否逐 cell 取半径"</w:t>
      </w:r>
      <w:r>
        <w:rPr>
          <w:rFonts w:ascii="Segoe UI" w:hAnsi="Segoe UI" w:eastAsia="宋体"/>
          <w:b w:val="0"/>
          <w:i w:val="0"/>
          <w:sz w:val="20"/>
        </w:rPr>
        <w:t>。这是个反直觉但可解释的结果。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代价</w:t>
      </w:r>
      <w:r>
        <w:rPr>
          <w:rFonts w:ascii="Segoe UI" w:hAnsi="Segoe UI" w:eastAsia="宋体"/>
          <w:b w:val="0"/>
          <w:i w:val="0"/>
          <w:sz w:val="20"/>
        </w:rPr>
        <w:t>：两级把中心数从 32 扩到约 100，字节 192 → 504–576 KB（约 3×）。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与 Phase 3 数字的一致性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Phase 3（</w:t>
      </w:r>
      <w:r>
        <w:rPr>
          <w:rFonts w:ascii="Consolas" w:hAnsi="Consolas" w:eastAsia="Consolas"/>
          <w:b w:val="0"/>
          <w:color w:val="B03030"/>
          <w:sz w:val="19"/>
        </w:rPr>
        <w:t>w3_decision_16shot.json</w:t>
      </w:r>
      <w:r>
        <w:rPr>
          <w:rFonts w:ascii="Segoe UI" w:hAnsi="Segoe UI" w:eastAsia="宋体"/>
          <w:b w:val="0"/>
          <w:i w:val="0"/>
          <w:sz w:val="20"/>
        </w:rPr>
        <w:t>）在 10% 压缩下 bottle 的升级率是 8.4%，本模块给出 10.8%。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差异来源：Phase 3 的 </w:t>
      </w:r>
      <w:r>
        <w:rPr>
          <w:rFonts w:ascii="Consolas" w:hAnsi="Consolas" w:eastAsia="Consolas"/>
          <w:b w:val="0"/>
          <w:color w:val="B03030"/>
          <w:sz w:val="19"/>
        </w:rPr>
        <w:t>screen_scores</w:t>
      </w:r>
      <w:r>
        <w:rPr>
          <w:rFonts w:ascii="Segoe UI" w:hAnsi="Segoe UI" w:eastAsia="宋体"/>
          <w:b w:val="0"/>
          <w:i w:val="0"/>
          <w:sz w:val="20"/>
        </w:rPr>
        <w:t xml:space="preserve"> 用 GPU </w:t>
      </w:r>
      <w:r>
        <w:rPr>
          <w:rFonts w:ascii="Consolas" w:hAnsi="Consolas" w:eastAsia="Consolas"/>
          <w:b w:val="0"/>
          <w:color w:val="B03030"/>
          <w:sz w:val="19"/>
        </w:rPr>
        <w:t>cdist</w:t>
      </w:r>
      <w:r>
        <w:rPr>
          <w:rFonts w:ascii="Segoe UI" w:hAnsi="Segoe UI" w:eastAsia="宋体"/>
          <w:b w:val="0"/>
          <w:i w:val="0"/>
          <w:sz w:val="20"/>
        </w:rPr>
        <w:t xml:space="preserve"> 且 radii 的浮点保护量不同；本模块用 </w:t>
      </w:r>
      <w:r>
        <w:rPr>
          <w:rFonts w:ascii="Consolas" w:hAnsi="Consolas" w:eastAsia="Consolas"/>
          <w:b w:val="0"/>
          <w:color w:val="B03030"/>
          <w:sz w:val="19"/>
        </w:rPr>
        <w:t>GUARD=1e-6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两者都在 8–11% 量级，方向一致</w:t>
      </w:r>
      <w:r>
        <w:rPr>
          <w:rFonts w:ascii="Segoe UI" w:hAnsi="Segoe UI" w:eastAsia="宋体"/>
          <w:b w:val="0"/>
          <w:i w:val="0"/>
          <w:sz w:val="20"/>
        </w:rPr>
        <w:t>；但</w:t>
      </w:r>
      <w:r>
        <w:rPr>
          <w:rFonts w:ascii="Segoe UI" w:hAnsi="Segoe UI" w:eastAsia="宋体"/>
          <w:b/>
          <w:i w:val="0"/>
          <w:sz w:val="20"/>
        </w:rPr>
        <w:t>同一实验的两个实现出现 2.4 pp 差异，必须在报告里说明</w:t>
      </w:r>
      <w:r>
        <w:rPr>
          <w:rFonts w:ascii="Segoe UI" w:hAnsi="Segoe UI" w:eastAsia="宋体"/>
          <w:b w:val="0"/>
          <w:i w:val="0"/>
          <w:sz w:val="20"/>
        </w:rPr>
        <w:t>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Phase 6 应统一到同一个实现（以本模块为准）并重跑 Phase 3 的筛查列。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待办（Phase 5–9）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项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断网/版本不符的端到端演示（真实数据）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单测覆盖，未做端到端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批处理吞吐与时延（p50/p95）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未做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精确树基线（BallTree/cover-tree）对照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未做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多种子、多参考数量的主网格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未做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位移/微小缺陷/失败图库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未做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分析笔记（证明、复杂度、盈亏平衡）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未做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论文草稿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未做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复现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python scripts\featurize.py --categories bottle tile screw         # 特征缓存（约 7 分钟）</w:t>
      </w:r>
      <w:r>
        <w:br/>
      </w:r>
      <w:r>
        <w:rPr>
          <w:rFonts w:ascii="Consolas" w:hAnsi="Consolas" w:eastAsia="Consolas"/>
          <w:sz w:val="16"/>
        </w:rPr>
        <w:t>python scripts\screening.py --selftest                             # 9 项单测</w:t>
      </w:r>
      <w:r>
        <w:br/>
      </w:r>
      <w:r>
        <w:rPr>
          <w:rFonts w:ascii="Consolas" w:hAnsi="Consolas" w:eastAsia="Consolas"/>
          <w:sz w:val="16"/>
        </w:rPr>
        <w:t>python scripts\screening.py --category all --ratio 0.10 --levels 1 2 --radius cell global</w:t>
      </w:r>
      <w:r>
        <w:br/>
      </w:r>
      <w:r>
        <w:rPr>
          <w:rFonts w:ascii="Consolas" w:hAnsi="Consolas" w:eastAsia="Consolas"/>
          <w:sz w:val="16"/>
        </w:rPr>
        <w:t>python scripts\screening.py --category all --k 32 --levels 1 2 --radius cell global --out logs\w4_screening_k32.json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