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i w:val="0"/>
          <w:color w:val="5C6673"/>
          <w:sz w:val="20"/>
        </w:rPr>
        <w:t>TECHCRM</w:t>
      </w:r>
    </w:p>
    <w:p>
      <w:pPr>
        <w:spacing w:after="80"/>
        <w:jc w:val="center"/>
      </w:pPr>
      <w:r>
        <w:rPr>
          <w:b/>
          <w:i w:val="0"/>
          <w:color w:val="15181D"/>
          <w:sz w:val="52"/>
        </w:rPr>
        <w:t>AI Architecture and Model Accuracy</w:t>
      </w:r>
    </w:p>
    <w:p>
      <w:pPr>
        <w:spacing w:after="600"/>
        <w:jc w:val="center"/>
      </w:pPr>
      <w:r>
        <w:rPr>
          <w:b w:val="0"/>
          <w:i w:val="0"/>
          <w:color w:val="5C6673"/>
          <w:sz w:val="26"/>
        </w:rPr>
        <w:t>Deal scoring, lead scoring, and LLM extraction</w:t>
      </w:r>
    </w:p>
    <w:p>
      <w:pPr>
        <w:jc w:val="center"/>
      </w:pPr>
      <w:r>
        <w:rPr>
          <w:b w:val="0"/>
          <w:i w:val="0"/>
          <w:color w:val="5C6673"/>
          <w:sz w:val="20"/>
        </w:rPr>
        <w:t>11 September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160"/>
            <w:shd w:val="clear" w:fill="00625E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7200"/>
            <w:shd w:val="clear" w:fill="00625E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Repository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/>
            <w:r>
              <w:rPr>
                <w:sz w:val="18"/>
              </w:rPr>
              <w:t>D:\CRM  ·  branch main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Stack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/>
            <w:r>
              <w:rPr>
                <w:sz w:val="18"/>
              </w:rPr>
              <w:t>React 18 · Spring Boot 4 · PostgreSQL 14 · FastAPI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Deal scorer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/>
            <w:r>
              <w:rPr>
                <w:sz w:val="18"/>
              </w:rPr>
              <w:t>XGBoost 3.3.0 regressor, 1,000 training rows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Language models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/>
            <w:r>
              <w:rPr>
                <w:sz w:val="18"/>
              </w:rPr>
              <w:t>Llama 3.1 8B Instruct + 3 QLoRA adapters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Hardware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/>
            <w:r>
              <w:rPr>
                <w:sz w:val="18"/>
              </w:rPr>
              <w:t>NVIDIA RTX A4000, 16 GB · 7.4 GB used in service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Verification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/>
            <w:r>
              <w:rPr>
                <w:sz w:val="18"/>
              </w:rPr>
              <w:t>Live end-to-end run, all services up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 Executive summary</w:t>
      </w:r>
    </w:p>
    <w:p>
      <w:r>
        <w:rPr>
          <w:b w:val="0"/>
          <w:i w:val="0"/>
          <w:color w:val="15181D"/>
          <w:sz w:val="21"/>
        </w:rPr>
        <w:t>TechCRM scores sales leads and deals using two different kinds of model, deliberately separated. Language models read unstructured meeting text and produce structured fields; a gradient-boosted regressor turns those fields into a score. The language model never produces a score, and the regressor never reads text.</w:t>
      </w:r>
    </w:p>
    <w:p>
      <w:pPr>
        <w:pStyle w:val="Heading3"/>
      </w:pPr>
      <w:r>
        <w:t>Headline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736"/>
            <w:shd w:val="clear" w:fill="00625E"/>
          </w:tcPr>
          <w:p>
            <w:r/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3312"/>
            <w:shd w:val="clear" w:fill="00625E"/>
          </w:tcPr>
          <w:p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456"/>
            <w:shd w:val="clear" w:fill="00625E"/>
          </w:tcPr>
          <w:p>
            <w:r/>
            <w:r>
              <w:rPr>
                <w:b/>
                <w:color w:val="FFFFFF"/>
                <w:sz w:val="18"/>
              </w:rPr>
              <w:t>Headline accuracy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/>
                <w:color w:val="00625E"/>
                <w:sz w:val="18"/>
              </w:rPr>
              <w:t>XGBoost deal scorer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/>
                <w:color w:val="00625E"/>
                <w:sz w:val="18"/>
              </w:rPr>
              <w:t>17 fields → deal score 0–100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/>
                <w:color w:val="00625E"/>
                <w:sz w:val="18"/>
              </w:rPr>
              <w:t>R² 0.903 · MAE 4.36 points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/>
                <w:color w:val="00625E"/>
                <w:sz w:val="18"/>
              </w:rPr>
              <w:t>deal_state adapter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/>
                <w:color w:val="00625E"/>
                <w:sz w:val="18"/>
              </w:rPr>
              <w:t>meeting + previous state → 17 fields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/>
                <w:color w:val="00625E"/>
                <w:sz w:val="18"/>
              </w:rPr>
              <w:t>0.29 points end-to-end error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sz w:val="18"/>
              </w:rPr>
              <w:t>meeting_extraction adapter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sz w:val="18"/>
              </w:rPr>
              <w:t>lead meeting → 5 signals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sz w:val="18"/>
              </w:rPr>
              <w:t>99.57% token accuracy (task-level not measured)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sz w:val="18"/>
              </w:rPr>
              <w:t>lead_scoring adapter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sz w:val="18"/>
              </w:rPr>
              <w:t>lead profile → score 0–100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sz w:val="18"/>
              </w:rPr>
              <w:t>96.11% token accuracy (task-level not measured)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color w:val="15181D"/>
          <w:sz w:val="21"/>
        </w:rPr>
        <w:t>Two findings deserve attention before the numbers are read as comparable.</w:t>
      </w:r>
    </w:p>
    <w:p>
      <w:pPr>
        <w:pStyle w:val="ListBullet"/>
      </w:pPr>
      <w:r>
        <w:rPr>
          <w:b/>
          <w:sz w:val="21"/>
        </w:rPr>
        <w:t xml:space="preserve">Only one of the three adapters </w:t>
      </w:r>
      <w:r>
        <w:rPr>
          <w:sz w:val="21"/>
        </w:rPr>
        <w:t>has been measured on the job it actually does. The other two report only token-level metrics, which say whether the next token was predicted correctly, not whether the business answer was right.</w:t>
      </w:r>
    </w:p>
    <w:p>
      <w:pPr>
        <w:pStyle w:val="ListBullet"/>
      </w:pPr>
      <w:r>
        <w:rPr>
          <w:b/>
          <w:sz w:val="21"/>
        </w:rPr>
        <w:t xml:space="preserve">The lead_scoring adapter </w:t>
      </w:r>
      <w:r>
        <w:rPr>
          <w:sz w:val="21"/>
        </w:rPr>
        <w:t>is the weakest-measured model in the system and the one with the widest reach — it assigns a priority to every lead that enters the CRM.</w:t>
      </w:r>
    </w:p>
    <w:p>
      <w:r>
        <w:br w:type="page"/>
      </w:r>
    </w:p>
    <w:p>
      <w:pPr>
        <w:pStyle w:val="Heading1"/>
      </w:pPr>
      <w:r>
        <w:t>2.  System architecture</w:t>
      </w:r>
    </w:p>
    <w:p>
      <w:r>
        <w:rPr>
          <w:b w:val="0"/>
          <w:i w:val="0"/>
          <w:color w:val="15181D"/>
          <w:sz w:val="21"/>
        </w:rPr>
        <w:t>Five processes. The browser talks only to the Spring API; the model services are reachable from the backend alone.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0744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74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i/>
          <w:color w:val="5C6673"/>
          <w:sz w:val="17"/>
        </w:rPr>
        <w:t>Figure 1 — Service topology. Everything the browser sees passes through port 8080.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160"/>
            <w:shd w:val="clear" w:fill="00625E"/>
          </w:tcPr>
          <w:p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864"/>
            <w:shd w:val="clear" w:fill="00625E"/>
          </w:tcPr>
          <w:p>
            <w:r/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type="dxa" w:w="3312"/>
            <w:shd w:val="clear" w:fill="00625E"/>
          </w:tcPr>
          <w:p>
            <w:r/>
            <w:r>
              <w:rPr>
                <w:b/>
                <w:color w:val="FFFFFF"/>
                <w:sz w:val="18"/>
              </w:rPr>
              <w:t>Entry point</w:t>
            </w:r>
          </w:p>
        </w:tc>
        <w:tc>
          <w:tcPr>
            <w:tcW w:type="dxa" w:w="3168"/>
            <w:shd w:val="clear" w:fill="00625E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React SPA</w:t>
            </w:r>
          </w:p>
        </w:tc>
        <w:tc>
          <w:tcPr>
            <w:tcW w:type="dxa" w:w="864"/>
          </w:tcPr>
          <w:p>
            <w:pPr>
              <w:spacing w:after="40" w:before="40"/>
              <w:jc w:val="right"/>
            </w:pPr>
            <w:r/>
            <w:r>
              <w:rPr>
                <w:sz w:val="18"/>
              </w:rPr>
              <w:t>5173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sz w:val="18"/>
              </w:rPr>
              <w:t>frontend/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sz w:val="18"/>
              </w:rPr>
              <w:t>User interface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Spring Boot API</w:t>
            </w:r>
          </w:p>
        </w:tc>
        <w:tc>
          <w:tcPr>
            <w:tcW w:type="dxa" w:w="864"/>
          </w:tcPr>
          <w:p>
            <w:pPr>
              <w:spacing w:after="40" w:before="40"/>
              <w:jc w:val="right"/>
            </w:pPr>
            <w:r/>
            <w:r>
              <w:rPr>
                <w:sz w:val="18"/>
              </w:rPr>
              <w:t>8080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sz w:val="18"/>
              </w:rPr>
              <w:t>backend/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sz w:val="18"/>
              </w:rPr>
              <w:t>Orchestration, persistence, auth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PostgreSQL</w:t>
            </w:r>
          </w:p>
        </w:tc>
        <w:tc>
          <w:tcPr>
            <w:tcW w:type="dxa" w:w="864"/>
          </w:tcPr>
          <w:p>
            <w:pPr>
              <w:spacing w:after="40" w:before="40"/>
              <w:jc w:val="right"/>
            </w:pPr>
            <w:r/>
            <w:r>
              <w:rPr>
                <w:sz w:val="18"/>
              </w:rPr>
              <w:t>5432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sz w:val="18"/>
              </w:rPr>
              <w:t>crm_spring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sz w:val="18"/>
              </w:rPr>
              <w:t>21 Flyway migrations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XGBoost scorer</w:t>
            </w:r>
          </w:p>
        </w:tc>
        <w:tc>
          <w:tcPr>
            <w:tcW w:type="dxa" w:w="864"/>
          </w:tcPr>
          <w:p>
            <w:pPr>
              <w:spacing w:after="40" w:before="40"/>
              <w:jc w:val="right"/>
            </w:pPr>
            <w:r/>
            <w:r>
              <w:rPr>
                <w:sz w:val="18"/>
              </w:rPr>
              <w:t>8000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sz w:val="18"/>
              </w:rPr>
              <w:t>XgBoost/serve_api.py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sz w:val="18"/>
              </w:rPr>
              <w:t>Deal score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LLM server</w:t>
            </w:r>
          </w:p>
        </w:tc>
        <w:tc>
          <w:tcPr>
            <w:tcW w:type="dxa" w:w="864"/>
          </w:tcPr>
          <w:p>
            <w:pPr>
              <w:spacing w:after="40" w:before="40"/>
              <w:jc w:val="right"/>
            </w:pPr>
            <w:r/>
            <w:r>
              <w:rPr>
                <w:sz w:val="18"/>
              </w:rPr>
              <w:t>8001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sz w:val="18"/>
              </w:rPr>
              <w:t>Llama3_CRM/scripts/main.py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sz w:val="18"/>
              </w:rPr>
              <w:t>All three LoRA adapters</w:t>
            </w:r>
          </w:p>
        </w:tc>
      </w:tr>
    </w:tbl>
    <w:p>
      <w:pPr>
        <w:spacing w:after="40"/>
      </w:pPr>
    </w:p>
    <w:p>
      <w:r>
        <w:rPr>
          <w:b w:val="0"/>
          <w:i w:val="0"/>
          <w:color w:val="15181D"/>
          <w:sz w:val="21"/>
        </w:rPr>
        <w:t>The backend degrades rather than fails when a model service is unavailable. A meeting write-up is always saved; a deal keeps its previous score rather than being wiped; a lead is stored unscored and can be re-scored later.</w:t>
      </w:r>
    </w:p>
    <w:p>
      <w:pPr>
        <w:pStyle w:val="Heading2"/>
      </w:pPr>
      <w:r>
        <w:t>2.1  One base model, three adapters</w:t>
      </w:r>
    </w:p>
    <w:p>
      <w:r>
        <w:rPr>
          <w:b w:val="0"/>
          <w:i w:val="0"/>
          <w:color w:val="15181D"/>
          <w:sz w:val="21"/>
        </w:rPr>
        <w:t>All three fine-tunes attach to a single 4-bit copy of Llama 3.1 8B Instruct. A LoRA adapter is roughly 160 MB of low-rank deltas against a ~6 GB quantised base, so the marginal cost of a third task is negligible — while running each in its own process would mean a second and third full copy of the base model, which does not fit in 16 GB of VRAM.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7214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dapt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21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i/>
          <w:color w:val="5C6673"/>
          <w:sz w:val="17"/>
        </w:rPr>
        <w:t>Figure 2 — Adapters are swapped per request by set_adapter(). Measured footprint: 7.4 GB of 16 GB with all three attached.</w:t>
      </w:r>
    </w:p>
    <w:p>
      <w:r>
        <w:br w:type="page"/>
      </w:r>
    </w:p>
    <w:p>
      <w:pPr>
        <w:pStyle w:val="Heading1"/>
      </w:pPr>
      <w:r>
        <w:t>3.  Lead workflow</w:t>
      </w:r>
    </w:p>
    <w:p>
      <w:r>
        <w:rPr>
          <w:b w:val="0"/>
          <w:i w:val="0"/>
          <w:color w:val="15181D"/>
          <w:sz w:val="21"/>
        </w:rPr>
        <w:t>A lead is captured, scored by the first adapter, worked through a sequence of meetings that move its score, and finally qualified by a person before it can become an opportunity.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199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lead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19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i/>
          <w:color w:val="5C6673"/>
          <w:sz w:val="17"/>
        </w:rPr>
        <w:t>Figure 3 — Lead lifecycle. Green steps call a language model; the orange step is a human decision the model cannot make.</w:t>
      </w:r>
    </w:p>
    <w:p>
      <w:r>
        <w:rPr>
          <w:b w:val="0"/>
          <w:i w:val="0"/>
          <w:color w:val="15181D"/>
          <w:sz w:val="21"/>
        </w:rPr>
        <w:t>The model advises and a person decides. Re-scoring a lead never overturns a qualification decision already made: applyAiScore deliberately leaves qualification_status untouched in every case.</w:t>
      </w:r>
    </w:p>
    <w:p>
      <w:pPr>
        <w:pStyle w:val="Heading2"/>
      </w:pPr>
      <w:r>
        <w:t>3.1  How the score moves</w:t>
      </w:r>
    </w:p>
    <w:p>
      <w:pPr>
        <w:pStyle w:val="ListBullet"/>
      </w:pPr>
      <w:r>
        <w:rPr>
          <w:sz w:val="21"/>
        </w:rPr>
        <w:t>The reading is recomputed on save rather than trusted from the preview call — the notes may have been edited in between.</w:t>
      </w:r>
    </w:p>
    <w:p>
      <w:pPr>
        <w:pStyle w:val="ListBullet"/>
      </w:pPr>
      <w:r>
        <w:rPr>
          <w:sz w:val="21"/>
        </w:rPr>
        <w:t>A lead's capture-time score is written lazily as meeting 0, so its timeline starts where the lead actually began.</w:t>
      </w:r>
    </w:p>
    <w:p>
      <w:pPr>
        <w:pStyle w:val="ListBullet"/>
      </w:pPr>
      <w:r>
        <w:rPr>
          <w:sz w:val="21"/>
        </w:rPr>
        <w:t>If extraction is unavailable, a keyword heuristic substitutes and the row is tagged HEURISTIC rather than MODEL.</w:t>
      </w:r>
    </w:p>
    <w:p>
      <w:r>
        <w:br w:type="page"/>
      </w:r>
    </w:p>
    <w:p>
      <w:pPr>
        <w:pStyle w:val="Heading1"/>
      </w:pPr>
      <w:r>
        <w:t>4.  Deal scoring</w:t>
      </w:r>
    </w:p>
    <w:p>
      <w:r>
        <w:rPr>
          <w:b w:val="0"/>
          <w:i w:val="0"/>
          <w:color w:val="15181D"/>
          <w:sz w:val="21"/>
        </w:rPr>
        <w:t>One POST runs the entire chain synchronously. Every stage is committed before the next runs, so a failure halfway through leaves a partial chain that can be inspected rather than nothing at all.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0167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deal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016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i/>
          <w:color w:val="5C6673"/>
          <w:sz w:val="17"/>
        </w:rPr>
        <w:t>Figure 4 — Deal scoring. Three extraction attempts in order; the first that answers wins. feature_sets is written at the end and read back as the next meeting's input.</w:t>
      </w:r>
    </w:p>
    <w:p>
      <w:pPr>
        <w:pStyle w:val="Heading2"/>
      </w:pPr>
      <w:r>
        <w:t>4.1  Where the 17 model inputs come from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160"/>
            <w:shd w:val="clear" w:fill="00625E"/>
          </w:tcPr>
          <w:p>
            <w:r/>
            <w:r>
              <w:rPr>
                <w:b/>
                <w:color w:val="FFFFFF"/>
                <w:sz w:val="18"/>
              </w:rPr>
              <w:t>Kind</w:t>
            </w:r>
          </w:p>
        </w:tc>
        <w:tc>
          <w:tcPr>
            <w:tcW w:type="dxa" w:w="864"/>
            <w:shd w:val="clear" w:fill="00625E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6480"/>
            <w:shd w:val="clear" w:fill="00625E"/>
          </w:tcPr>
          <w:p>
            <w:r/>
            <w:r>
              <w:rPr>
                <w:b/>
                <w:color w:val="FFFFFF"/>
                <w:sz w:val="18"/>
              </w:rPr>
              <w:t>Handling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Categoricals</w:t>
            </w:r>
          </w:p>
        </w:tc>
        <w:tc>
          <w:tcPr>
            <w:tcW w:type="dxa" w:w="864"/>
          </w:tcPr>
          <w:p>
            <w:pPr>
              <w:spacing w:after="40" w:before="40"/>
              <w:jc w:val="right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sz w:val="18"/>
              </w:rPr>
              <w:t>Snapped onto the trained vocabulary — exact, then case-insensitive, then substring. No match falls back to a neutral default and is recorded in imputed_fields.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relationship_strength</w:t>
            </w:r>
          </w:p>
        </w:tc>
        <w:tc>
          <w:tcPr>
            <w:tcW w:type="dxa" w:w="864"/>
          </w:tcPr>
          <w:p>
            <w:pPr>
              <w:spacing w:after="40" w:before="40"/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sz w:val="18"/>
              </w:rPr>
              <w:t>First number wins: "7", "7/10" and "7 out of 10" all give 7.0. Clamped 0–10.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main_objections</w:t>
            </w:r>
          </w:p>
        </w:tc>
        <w:tc>
          <w:tcPr>
            <w:tcW w:type="dxa" w:w="864"/>
          </w:tcPr>
          <w:p>
            <w:pPr>
              <w:spacing w:after="40" w:before="40"/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sz w:val="18"/>
              </w:rPr>
              <w:t>Split on ; or , then each token matched against the ten known objections and rejoined.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Supplied by the CRM</w:t>
            </w:r>
          </w:p>
        </w:tc>
        <w:tc>
          <w:tcPr>
            <w:tcW w:type="dxa" w:w="864"/>
          </w:tcPr>
          <w:p>
            <w:pPr>
              <w:spacing w:after="40" w:before="40"/>
              <w:jc w:val="right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sz w:val="18"/>
              </w:rPr>
              <w:t>total_meetings, lead_score and engagement_score are arithmetic the backend performs exactly. They are discarded from the model's reply and recomputed.</w:t>
            </w:r>
          </w:p>
        </w:tc>
      </w:tr>
    </w:tbl>
    <w:p>
      <w:pPr>
        <w:spacing w:after="40"/>
      </w:pPr>
    </w:p>
    <w:p>
      <w:r>
        <w:rPr>
          <w:b w:val="0"/>
          <w:i w:val="0"/>
          <w:color w:val="15181D"/>
          <w:sz w:val="21"/>
        </w:rPr>
        <w:t>That last row matters for accuracy. The deal_state adapter's own provenance records 40% field accuracy on lead_score — it is a weighted sum an 8B model cannot reliably land. Because the backend recomputes it, the weakness never reaches the scorer.</w:t>
      </w:r>
    </w:p>
    <w:p>
      <w:pPr>
        <w:pStyle w:val="Heading2"/>
      </w:pPr>
      <w:r>
        <w:t>4.2  What the scorer returns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160"/>
            <w:shd w:val="clear" w:fill="00625E"/>
          </w:tcPr>
          <w:p>
            <w:r/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7344"/>
            <w:shd w:val="clear" w:fill="00625E"/>
          </w:tcPr>
          <w:p>
            <w:r/>
            <w:r>
              <w:rPr>
                <w:b/>
                <w:color w:val="FFFFFF"/>
                <w:sz w:val="18"/>
              </w:rPr>
              <w:t>How it is produced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deal_score</w:t>
            </w:r>
          </w:p>
        </w:tc>
        <w:tc>
          <w:tcPr>
            <w:tcW w:type="dxa" w:w="7344"/>
          </w:tcPr>
          <w:p>
            <w:pPr>
              <w:spacing w:after="40" w:before="40"/>
            </w:pPr>
            <w:r/>
            <w:r>
              <w:rPr>
                <w:sz w:val="18"/>
              </w:rPr>
              <w:t>XGBoost regression, clipped to 0–100. A clipped flag marks predictions that fell outside.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band</w:t>
            </w:r>
          </w:p>
        </w:tc>
        <w:tc>
          <w:tcPr>
            <w:tcW w:type="dxa" w:w="7344"/>
          </w:tcPr>
          <w:p>
            <w:pPr>
              <w:spacing w:after="40" w:before="40"/>
            </w:pPr>
            <w:r/>
            <w:r>
              <w:rPr>
                <w:sz w:val="18"/>
              </w:rPr>
              <w:t>≥ 75 HIGH · ≥ 50 MEDIUM · ≥ 25 LOW · otherwise VERY LOW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win_probability</w:t>
            </w:r>
          </w:p>
        </w:tc>
        <w:tc>
          <w:tcPr>
            <w:tcW w:type="dxa" w:w="7344"/>
          </w:tcPr>
          <w:p>
            <w:pPr>
              <w:spacing w:after="40" w:before="40"/>
            </w:pPr>
            <w:r/>
            <w:r>
              <w:rPr>
                <w:sz w:val="18"/>
              </w:rPr>
              <w:t>A logistic squash of the score, tuned so 75 maps to 0.75. NOT a trained classifier — no win/loss label was ever in the training data.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confidence</w:t>
            </w:r>
          </w:p>
        </w:tc>
        <w:tc>
          <w:tcPr>
            <w:tcW w:type="dxa" w:w="7344"/>
          </w:tcPr>
          <w:p>
            <w:pPr>
              <w:spacing w:after="40" w:before="40"/>
            </w:pPr>
            <w:r/>
            <w:r>
              <w:rPr>
                <w:sz w:val="18"/>
              </w:rPr>
              <w:t>Mean extraction confidence, counting imputed fields as zero so a heavily-defaulted reading reports as less trustworthy.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 Model accuracy</w:t>
      </w:r>
    </w:p>
    <w:p>
      <w:pPr>
        <w:pStyle w:val="Heading2"/>
      </w:pPr>
      <w:r>
        <w:t>5.1  XGBoost deal scorer</w:t>
      </w:r>
    </w:p>
    <w:p>
      <w:r>
        <w:rPr>
          <w:b w:val="0"/>
          <w:i w:val="0"/>
          <w:color w:val="15181D"/>
          <w:sz w:val="21"/>
        </w:rPr>
        <w:t>Trained on 1000 rows split 800 train / 200 test, seed 42.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0421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xgb_metr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4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i/>
          <w:color w:val="5C6673"/>
          <w:sz w:val="17"/>
        </w:rPr>
        <w:t>Figure 5 — Deal scorer performance. The error bar on CV mean is ±1 standard deviation across five folds.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fill="00625E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160"/>
            <w:shd w:val="clear" w:fill="00625E"/>
          </w:tcPr>
          <w:p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fill="00625E"/>
          </w:tcPr>
          <w:p>
            <w:r/>
            <w:r>
              <w:rPr>
                <w:b/>
                <w:color w:val="FFFFFF"/>
                <w:sz w:val="18"/>
              </w:rPr>
              <w:t>Train</w:t>
            </w:r>
          </w:p>
        </w:tc>
        <w:tc>
          <w:tcPr>
            <w:tcW w:type="dxa" w:w="2736"/>
            <w:shd w:val="clear" w:fill="00625E"/>
          </w:tcPr>
          <w:p>
            <w:r/>
            <w:r>
              <w:rPr>
                <w:b/>
                <w:color w:val="FFFFFF"/>
                <w:sz w:val="18"/>
              </w:rPr>
              <w:t>5-fold CV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/>
                <w:color w:val="00625E"/>
                <w:sz w:val="18"/>
              </w:rPr>
              <w:t>R²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00625E"/>
                <w:sz w:val="18"/>
              </w:rPr>
              <w:t>0.9026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00625E"/>
                <w:sz w:val="18"/>
              </w:rPr>
              <w:t>0.9536</w:t>
            </w:r>
          </w:p>
        </w:tc>
        <w:tc>
          <w:tcPr>
            <w:tcW w:type="dxa" w:w="2736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00625E"/>
                <w:sz w:val="18"/>
              </w:rPr>
              <w:t>0.9048 ± 0.0142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sz w:val="18"/>
              </w:rPr>
              <w:t>Adjusted R²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sz w:val="18"/>
              </w:rPr>
              <w:t>0.8773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sz w:val="18"/>
              </w:rPr>
              <w:t>0.9511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/>
                <w:color w:val="00625E"/>
                <w:sz w:val="18"/>
              </w:rPr>
              <w:t>MAE (points)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00625E"/>
                <w:sz w:val="18"/>
              </w:rPr>
              <w:t>4.357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00625E"/>
                <w:sz w:val="18"/>
              </w:rPr>
              <w:t>2.972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/>
                <w:color w:val="00625E"/>
                <w:sz w:val="18"/>
              </w:rPr>
              <w:t>—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sz w:val="18"/>
              </w:rPr>
              <w:t>RMSE (points)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sz w:val="18"/>
              </w:rPr>
              <w:t>5.554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sz w:val="18"/>
              </w:rPr>
              <w:t>3.781</w:t>
            </w:r>
          </w:p>
        </w:tc>
        <w:tc>
          <w:tcPr>
            <w:tcW w:type="dxa" w:w="2736"/>
          </w:tcPr>
          <w:p>
            <w:pPr>
              <w:spacing w:after="40" w:before="40"/>
              <w:jc w:val="right"/>
            </w:pPr>
            <w:r/>
            <w:r>
              <w:rPr>
                <w:sz w:val="18"/>
              </w:rPr>
              <w:t>5.382 ± 0.287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sz w:val="18"/>
              </w:rPr>
              <w:t>MAPE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sz w:val="18"/>
              </w:rPr>
              <w:t>10.26%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sz w:val="18"/>
              </w:rPr>
              <w:t>6.97%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sz w:val="18"/>
              </w:rPr>
              <w:t>SMAPE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sz w:val="18"/>
              </w:rPr>
              <w:t>9.71%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sz w:val="18"/>
              </w:rPr>
              <w:t>6.83%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sz w:val="18"/>
              </w:rPr>
              <w:t>Rows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sz w:val="18"/>
              </w:rPr>
              <w:t>800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spacing w:after="240"/>
      </w:pPr>
      <w:r>
        <w:rPr>
          <w:b w:val="0"/>
          <w:i w:val="0"/>
          <w:color w:val="15181D"/>
          <w:sz w:val="21"/>
        </w:rPr>
        <w:t>The train-to-test R² gap is 0.0510 and the cross-validated R² varies by only ±0.0142 across folds. Both indicate the model is not overfitting. A typical prediction is within 4.4 points of the correct value on a 0–100 scale — comfortably inside a 25-point priority band.</w:t>
      </w:r>
    </w:p>
    <w:p>
      <w:pPr>
        <w:pStyle w:val="Heading2"/>
      </w:pPr>
      <w:r>
        <w:t>5.2  The three LoRA adapters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0411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adapter_metr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41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i/>
          <w:color w:val="5C6673"/>
          <w:sz w:val="17"/>
        </w:rPr>
        <w:t>Figure 6 — Training-level metrics. These measure token prediction, not task success.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2304"/>
            <w:shd w:val="clear" w:fill="00625E"/>
          </w:tcPr>
          <w:p>
            <w:r/>
            <w:r>
              <w:rPr>
                <w:b/>
                <w:color w:val="FFFFFF"/>
                <w:sz w:val="18"/>
              </w:rPr>
              <w:t>Adapter</w:t>
            </w:r>
          </w:p>
        </w:tc>
        <w:tc>
          <w:tcPr>
            <w:tcW w:type="dxa" w:w="864"/>
            <w:shd w:val="clear" w:fill="00625E"/>
          </w:tcPr>
          <w:p>
            <w:r/>
            <w:r>
              <w:rPr>
                <w:b/>
                <w:color w:val="FFFFFF"/>
                <w:sz w:val="18"/>
              </w:rPr>
              <w:t>Rows</w:t>
            </w:r>
          </w:p>
        </w:tc>
        <w:tc>
          <w:tcPr>
            <w:tcW w:type="dxa" w:w="1008"/>
            <w:shd w:val="clear" w:fill="00625E"/>
          </w:tcPr>
          <w:p>
            <w:r/>
            <w:r>
              <w:rPr>
                <w:b/>
                <w:color w:val="FFFFFF"/>
                <w:sz w:val="18"/>
              </w:rPr>
              <w:t>Epochs</w:t>
            </w:r>
          </w:p>
        </w:tc>
        <w:tc>
          <w:tcPr>
            <w:tcW w:type="dxa" w:w="1296"/>
            <w:shd w:val="clear" w:fill="00625E"/>
          </w:tcPr>
          <w:p>
            <w:r/>
            <w:r>
              <w:rPr>
                <w:b/>
                <w:color w:val="FFFFFF"/>
                <w:sz w:val="18"/>
              </w:rPr>
              <w:t>Eval loss</w:t>
            </w:r>
          </w:p>
        </w:tc>
        <w:tc>
          <w:tcPr>
            <w:tcW w:type="dxa" w:w="1296"/>
            <w:shd w:val="clear" w:fill="00625E"/>
          </w:tcPr>
          <w:p>
            <w:r/>
            <w:r>
              <w:rPr>
                <w:b/>
                <w:color w:val="FFFFFF"/>
                <w:sz w:val="18"/>
              </w:rPr>
              <w:t>Token acc.</w:t>
            </w:r>
          </w:p>
        </w:tc>
        <w:tc>
          <w:tcPr>
            <w:tcW w:type="dxa" w:w="2160"/>
            <w:shd w:val="clear" w:fill="00625E"/>
          </w:tcPr>
          <w:p>
            <w:r/>
            <w:r>
              <w:rPr>
                <w:b/>
                <w:color w:val="FFFFFF"/>
                <w:sz w:val="18"/>
              </w:rPr>
              <w:t>Task-level eval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sz w:val="18"/>
              </w:rPr>
              <w:t>lead_scoring</w:t>
            </w:r>
          </w:p>
        </w:tc>
        <w:tc>
          <w:tcPr>
            <w:tcW w:type="dxa" w:w="864"/>
          </w:tcPr>
          <w:p>
            <w:pPr>
              <w:spacing w:after="40" w:before="40"/>
              <w:jc w:val="right"/>
            </w:pPr>
            <w:r/>
            <w:r>
              <w:rPr>
                <w:sz w:val="18"/>
              </w:rPr>
              <w:t>500</w:t>
            </w:r>
          </w:p>
        </w:tc>
        <w:tc>
          <w:tcPr>
            <w:tcW w:type="dxa" w:w="1008"/>
          </w:tcPr>
          <w:p>
            <w:pPr>
              <w:spacing w:after="40" w:before="40"/>
              <w:jc w:val="right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296"/>
          </w:tcPr>
          <w:p>
            <w:pPr>
              <w:spacing w:after="40" w:before="40"/>
              <w:jc w:val="right"/>
            </w:pPr>
            <w:r/>
            <w:r>
              <w:rPr>
                <w:sz w:val="18"/>
              </w:rPr>
              <w:t>0.15493</w:t>
            </w:r>
          </w:p>
        </w:tc>
        <w:tc>
          <w:tcPr>
            <w:tcW w:type="dxa" w:w="1296"/>
          </w:tcPr>
          <w:p>
            <w:pPr>
              <w:spacing w:after="40" w:before="40"/>
              <w:jc w:val="right"/>
            </w:pPr>
            <w:r/>
            <w:r>
              <w:rPr>
                <w:sz w:val="18"/>
              </w:rPr>
              <w:t>96.11%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Not measured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sz w:val="18"/>
              </w:rPr>
              <w:t>meeting_extraction</w:t>
            </w:r>
          </w:p>
        </w:tc>
        <w:tc>
          <w:tcPr>
            <w:tcW w:type="dxa" w:w="864"/>
          </w:tcPr>
          <w:p>
            <w:pPr>
              <w:spacing w:after="40" w:before="40"/>
              <w:jc w:val="right"/>
            </w:pPr>
            <w:r/>
            <w:r>
              <w:rPr>
                <w:sz w:val="18"/>
              </w:rPr>
              <w:t>494</w:t>
            </w:r>
          </w:p>
        </w:tc>
        <w:tc>
          <w:tcPr>
            <w:tcW w:type="dxa" w:w="1008"/>
          </w:tcPr>
          <w:p>
            <w:pPr>
              <w:spacing w:after="40" w:before="40"/>
              <w:jc w:val="right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296"/>
          </w:tcPr>
          <w:p>
            <w:pPr>
              <w:spacing w:after="40" w:before="40"/>
              <w:jc w:val="right"/>
            </w:pPr>
            <w:r/>
            <w:r>
              <w:rPr>
                <w:sz w:val="18"/>
              </w:rPr>
              <w:t>0.01335</w:t>
            </w:r>
          </w:p>
        </w:tc>
        <w:tc>
          <w:tcPr>
            <w:tcW w:type="dxa" w:w="1296"/>
          </w:tcPr>
          <w:p>
            <w:pPr>
              <w:spacing w:after="40" w:before="40"/>
              <w:jc w:val="right"/>
            </w:pPr>
            <w:r/>
            <w:r>
              <w:rPr>
                <w:sz w:val="18"/>
              </w:rPr>
              <w:t>99.57%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8"/>
              </w:rPr>
              <w:t>Not measured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/>
                <w:color w:val="00625E"/>
                <w:sz w:val="18"/>
              </w:rPr>
              <w:t>deal_state</w:t>
            </w:r>
          </w:p>
        </w:tc>
        <w:tc>
          <w:tcPr>
            <w:tcW w:type="dxa" w:w="864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00625E"/>
                <w:sz w:val="18"/>
              </w:rPr>
              <w:t>800</w:t>
            </w:r>
          </w:p>
        </w:tc>
        <w:tc>
          <w:tcPr>
            <w:tcW w:type="dxa" w:w="1008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00625E"/>
                <w:sz w:val="18"/>
              </w:rPr>
              <w:t>5</w:t>
            </w:r>
          </w:p>
        </w:tc>
        <w:tc>
          <w:tcPr>
            <w:tcW w:type="dxa" w:w="1296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00625E"/>
                <w:sz w:val="18"/>
              </w:rPr>
              <w:t>0.01420</w:t>
            </w:r>
          </w:p>
        </w:tc>
        <w:tc>
          <w:tcPr>
            <w:tcW w:type="dxa" w:w="1296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00625E"/>
                <w:sz w:val="18"/>
              </w:rPr>
              <w:t>99.58%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/>
                <w:color w:val="00625E"/>
                <w:sz w:val="18"/>
              </w:rPr>
              <w:t>Yes — see 5.4</w:t>
            </w:r>
          </w:p>
        </w:tc>
      </w:tr>
    </w:tbl>
    <w:p>
      <w:pPr>
        <w:spacing w:after="40"/>
      </w:pPr>
    </w:p>
    <w:p>
      <w:pPr>
        <w:pStyle w:val="Heading2"/>
      </w:pPr>
      <w:r>
        <w:t>5.3  Why token accuracy is not accuracy</w:t>
      </w:r>
    </w:p>
    <w:p>
      <w:r>
        <w:rPr>
          <w:b w:val="0"/>
          <w:i w:val="0"/>
          <w:color w:val="15181D"/>
          <w:sz w:val="21"/>
        </w:rPr>
        <w:t>Most of a structured target is braces, field names and quoting, which a model predicts almost perfectly from the first training steps. That inflates token accuracy and depresses eval loss regardless of whether the business reading is correct. A run can look converged while getting every field wrong.</w:t>
      </w:r>
    </w:p>
    <w:p>
      <w:pPr>
        <w:spacing w:after="240"/>
      </w:pPr>
      <w:r>
        <w:rPr>
          <w:b w:val="0"/>
          <w:i w:val="0"/>
          <w:color w:val="15181D"/>
          <w:sz w:val="21"/>
        </w:rPr>
        <w:t>This is not a hypothetical: the deal_state adapter scores 99.58% token accuracy and only 33.3% on exact whole-state correctness. The first number says the JSON is well-formed; the second says what fraction of readings were completely right.</w:t>
      </w:r>
    </w:p>
    <w:p>
      <w:pPr>
        <w:pStyle w:val="Heading2"/>
      </w:pPr>
      <w:r>
        <w:t>5.4  Deal-state adapter — task-level accuracy</w:t>
      </w:r>
    </w:p>
    <w:p>
      <w:r>
        <w:rPr>
          <w:b w:val="0"/>
          <w:i w:val="0"/>
          <w:color w:val="15181D"/>
          <w:sz w:val="21"/>
        </w:rPr>
        <w:t>Measured over 30 held-out deal journeys the adapter never saw.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9122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task_metric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1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i/>
          <w:color w:val="5C6673"/>
          <w:sz w:val="17"/>
        </w:rPr>
        <w:t>Figure 7 — Task-level accuracy. The categorical fields the scorer depends on are 100% correct; the exact-match figure is dragged down by two arithmetic fields.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448"/>
            <w:shd w:val="clear" w:fill="00625E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296"/>
            <w:shd w:val="clear" w:fill="00625E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5760"/>
            <w:shd w:val="clear" w:fill="00625E"/>
          </w:tcPr>
          <w:p>
            <w:r/>
            <w:r>
              <w:rPr>
                <w:b/>
                <w:color w:val="FFFFFF"/>
                <w:sz w:val="18"/>
              </w:rPr>
              <w:t>What it means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/>
                <w:color w:val="00625E"/>
                <w:sz w:val="18"/>
              </w:rPr>
              <w:t>JSON valid</w:t>
            </w:r>
          </w:p>
        </w:tc>
        <w:tc>
          <w:tcPr>
            <w:tcW w:type="dxa" w:w="1296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00625E"/>
                <w:sz w:val="18"/>
              </w:rPr>
              <w:t>100%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b/>
                <w:color w:val="00625E"/>
                <w:sz w:val="18"/>
              </w:rPr>
              <w:t>Always emitted a parseable object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/>
                <w:color w:val="00625E"/>
                <w:sz w:val="18"/>
              </w:rPr>
              <w:t>Scoreable, zero repairs</w:t>
            </w:r>
          </w:p>
        </w:tc>
        <w:tc>
          <w:tcPr>
            <w:tcW w:type="dxa" w:w="1296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00625E"/>
                <w:sz w:val="18"/>
              </w:rPr>
              <w:t>100%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b/>
                <w:color w:val="00625E"/>
                <w:sz w:val="18"/>
              </w:rPr>
              <w:t>Output needed no correction to be accepted by the scorer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/>
                <w:color w:val="00625E"/>
                <w:sz w:val="18"/>
              </w:rPr>
              <w:t>Categorical fields</w:t>
            </w:r>
          </w:p>
        </w:tc>
        <w:tc>
          <w:tcPr>
            <w:tcW w:type="dxa" w:w="1296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00625E"/>
                <w:sz w:val="18"/>
              </w:rPr>
              <w:t>100%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b/>
                <w:color w:val="00625E"/>
                <w:sz w:val="18"/>
              </w:rPr>
              <w:t>Every word-valued field correct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sz w:val="18"/>
              </w:rPr>
              <w:t>Unchanged precision</w:t>
            </w:r>
          </w:p>
        </w:tc>
        <w:tc>
          <w:tcPr>
            <w:tcW w:type="dxa" w:w="1296"/>
          </w:tcPr>
          <w:p>
            <w:pPr>
              <w:spacing w:after="40" w:before="40"/>
              <w:jc w:val="right"/>
            </w:pPr>
            <w:r/>
            <w:r>
              <w:rPr>
                <w:sz w:val="18"/>
              </w:rPr>
              <w:t>98.6%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sz w:val="18"/>
              </w:rPr>
              <w:t>Fields it left alone were correctly left alone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sz w:val="18"/>
              </w:rPr>
              <w:t>Field accuracy (mean)</w:t>
            </w:r>
          </w:p>
        </w:tc>
        <w:tc>
          <w:tcPr>
            <w:tcW w:type="dxa" w:w="1296"/>
          </w:tcPr>
          <w:p>
            <w:pPr>
              <w:spacing w:after="40" w:before="40"/>
              <w:jc w:val="right"/>
            </w:pPr>
            <w:r/>
            <w:r>
              <w:rPr>
                <w:sz w:val="18"/>
              </w:rPr>
              <w:t>94.9%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sz w:val="18"/>
              </w:rPr>
              <w:t>Per-field correctness across all 17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sz w:val="18"/>
              </w:rPr>
              <w:t>Changed recall</w:t>
            </w:r>
          </w:p>
        </w:tc>
        <w:tc>
          <w:tcPr>
            <w:tcW w:type="dxa" w:w="1296"/>
          </w:tcPr>
          <w:p>
            <w:pPr>
              <w:spacing w:after="40" w:before="40"/>
              <w:jc w:val="right"/>
            </w:pPr>
            <w:r/>
            <w:r>
              <w:rPr>
                <w:sz w:val="18"/>
              </w:rPr>
              <w:t>86.6%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sz w:val="18"/>
              </w:rPr>
              <w:t>Of fields that should have moved, how many did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sz w:val="18"/>
              </w:rPr>
              <w:t>Exact state, all 17</w:t>
            </w:r>
          </w:p>
        </w:tc>
        <w:tc>
          <w:tcPr>
            <w:tcW w:type="dxa" w:w="1296"/>
          </w:tcPr>
          <w:p>
            <w:pPr>
              <w:spacing w:after="40" w:before="40"/>
              <w:jc w:val="right"/>
            </w:pPr>
            <w:r/>
            <w:r>
              <w:rPr>
                <w:sz w:val="18"/>
              </w:rPr>
              <w:t>33.3%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sz w:val="18"/>
              </w:rPr>
              <w:t>Every field right simultaneously</w:t>
            </w:r>
          </w:p>
        </w:tc>
      </w:tr>
    </w:tbl>
    <w:p>
      <w:pPr>
        <w:spacing w:after="40"/>
      </w:pPr>
    </w:p>
    <w:p>
      <w:pPr>
        <w:pStyle w:val="Heading3"/>
      </w:pPr>
      <w:r>
        <w:t>Known weakness, and why it does not reach the score</w:t>
      </w:r>
    </w:p>
    <w:p>
      <w:pPr>
        <w:spacing w:after="240"/>
      </w:pPr>
      <w:r>
        <w:rPr>
          <w:b w:val="0"/>
          <w:i w:val="0"/>
          <w:color w:val="15181D"/>
          <w:sz w:val="21"/>
        </w:rPr>
        <w:t>Two numeric fields are weak: lead_score at 40% and engagement_score at 80% field accuracy. Both are weighted sums the model must land exactly, and an 8B model does not do reliable multi-term arithmetic. Both are pure functions of fields the model gets right, and the backend recomputes both — so the error is discarded before scoring.</w:t>
      </w:r>
    </w:p>
    <w:p>
      <w:pPr>
        <w:pStyle w:val="Heading2"/>
      </w:pPr>
      <w:r>
        <w:t>5.5  Output accuracy — what the errors actually cost</w:t>
      </w:r>
    </w:p>
    <w:p>
      <w:r>
        <w:rPr>
          <w:b w:val="0"/>
          <w:i w:val="0"/>
          <w:color w:val="15181D"/>
          <w:sz w:val="21"/>
        </w:rPr>
        <w:t>Field accuracy answers how often a field is right. It does not answer how wrong the final number is, and the two come apart: a field can be wrong and barely move the score, or wrong in a way that moves it twenty points. Only the regressor knows which. So the real chain is run twice per held-out example — once from the ground-truth state, once from the model's — and the scores compared.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7217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end_to_e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2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i/>
          <w:color w:val="5C6673"/>
          <w:sz w:val="17"/>
        </w:rPr>
        <w:t>Figure 8 — End-to-end error in deal-score points, with the scorer's own test error shown for scale.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320"/>
            <w:shd w:val="clear" w:fill="00625E"/>
          </w:tcPr>
          <w:p>
            <w:r/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2016"/>
            <w:shd w:val="clear" w:fill="00625E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/>
                <w:color w:val="00625E"/>
                <w:sz w:val="18"/>
              </w:rPr>
              <w:t>Mean absolute error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/>
                <w:color w:val="00625E"/>
                <w:sz w:val="18"/>
              </w:rPr>
              <w:t>0.29 points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sz w:val="18"/>
              </w:rPr>
              <w:t>Median absolute error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sz w:val="18"/>
              </w:rPr>
              <w:t>0.14 points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sz w:val="18"/>
              </w:rPr>
              <w:t>Worst case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sz w:val="18"/>
              </w:rPr>
              <w:t>1.43 points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sz w:val="18"/>
              </w:rPr>
              <w:t>Bias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sz w:val="18"/>
              </w:rPr>
              <w:t>0.07 points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sz w:val="18"/>
              </w:rPr>
              <w:t>Within 3 points of ground truth</w:t>
            </w:r>
          </w:p>
        </w:tc>
        <w:tc>
          <w:tcPr>
            <w:tcW w:type="dxa" w:w="2016"/>
          </w:tcPr>
          <w:p>
            <w:pPr>
              <w:spacing w:after="40" w:before="40"/>
              <w:jc w:val="right"/>
            </w:pPr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/>
                <w:color w:val="00625E"/>
                <w:sz w:val="18"/>
              </w:rPr>
              <w:t>Same priority band</w:t>
            </w:r>
          </w:p>
        </w:tc>
        <w:tc>
          <w:tcPr>
            <w:tcW w:type="dxa" w:w="2016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00625E"/>
                <w:sz w:val="18"/>
              </w:rPr>
              <w:t>100%</w:t>
            </w:r>
          </w:p>
        </w:tc>
      </w:tr>
    </w:tbl>
    <w:p>
      <w:pPr>
        <w:spacing w:after="40"/>
      </w:pPr>
    </w:p>
    <w:p>
      <w:r>
        <w:rPr>
          <w:b w:val="0"/>
          <w:i w:val="0"/>
          <w:color w:val="15181D"/>
          <w:sz w:val="21"/>
        </w:rPr>
        <w:t>The extraction step contributes 0.29 points of error to a score whose own model has a test error of 4.36 points. The language model is therefore not the limiting factor in deal-score accuracy — the regressor is. Every held-out case landed in the same priority band as the ground truth.</w:t>
      </w:r>
    </w:p>
    <w:p>
      <w:r>
        <w:br w:type="page"/>
      </w:r>
    </w:p>
    <w:p>
      <w:pPr>
        <w:pStyle w:val="Heading1"/>
      </w:pPr>
      <w:r>
        <w:t>6.  Live end-to-end verification</w:t>
      </w:r>
    </w:p>
    <w:p>
      <w:r>
        <w:rPr>
          <w:b w:val="0"/>
          <w:i w:val="0"/>
          <w:color w:val="15181D"/>
          <w:sz w:val="21"/>
        </w:rPr>
        <w:t>Run on 11 September 2026 against all services, through the backend REST API rather than by calling the models directly.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592"/>
            <w:shd w:val="clear" w:fill="00625E"/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184"/>
            <w:shd w:val="clear" w:fill="00625E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440"/>
            <w:shd w:val="clear" w:fill="00625E"/>
          </w:tcPr>
          <w:p>
            <w:r/>
            <w:r>
              <w:rPr>
                <w:b/>
                <w:color w:val="FFFFFF"/>
                <w:sz w:val="18"/>
              </w:rPr>
              <w:t>Latency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sz w:val="18"/>
              </w:rPr>
              <w:t>Sign up, organization created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sz w:val="18"/>
              </w:rPr>
              <w:t>user role ADMIN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sz w:val="18"/>
              </w:rPr>
              <w:t>Create lead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sz w:val="18"/>
              </w:rPr>
              <w:t>aiScore 50 · WARM · qualification PENDING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sz w:val="18"/>
              </w:rPr>
              <w:t>10.3 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sz w:val="18"/>
              </w:rPr>
              <w:t>Qualify (human step)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sz w:val="18"/>
              </w:rPr>
              <w:t>HTTP 200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sz w:val="18"/>
              </w:rPr>
              <w:t>Convert to opportunity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sz w:val="18"/>
              </w:rPr>
              <w:t>OPP-000019 · account auto-created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/>
                <w:color w:val="00625E"/>
                <w:sz w:val="18"/>
              </w:rPr>
              <w:t>Meeting 1 submitted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b/>
                <w:color w:val="00625E"/>
                <w:sz w:val="18"/>
              </w:rPr>
              <w:t>deal-state/1.0.0 · 0 repairs · score 36.41 LOW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/>
                <w:color w:val="00625E"/>
                <w:sz w:val="18"/>
              </w:rPr>
              <w:t>14.9 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/>
                <w:color w:val="00625E"/>
                <w:sz w:val="18"/>
              </w:rPr>
              <w:t>Meeting 2 submitted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b/>
                <w:color w:val="00625E"/>
                <w:sz w:val="18"/>
              </w:rPr>
              <w:t>deal-state/1.0.0 · 0 repairs · score 62.21 MEDIUM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/>
                <w:color w:val="00625E"/>
                <w:sz w:val="18"/>
              </w:rPr>
              <w:t>14.1 s</w:t>
            </w:r>
          </w:p>
        </w:tc>
      </w:tr>
    </w:tbl>
    <w:p>
      <w:pPr>
        <w:spacing w:after="40"/>
      </w:pPr>
    </w:p>
    <w:p>
      <w:pPr>
        <w:pStyle w:val="Heading2"/>
      </w:pPr>
      <w:r>
        <w:t>6.1  The carry-forward behaviour, demonstrated</w:t>
      </w:r>
    </w:p>
    <w:p>
      <w:r>
        <w:rPr>
          <w:b w:val="0"/>
          <w:i w:val="0"/>
          <w:color w:val="15181D"/>
          <w:sz w:val="21"/>
        </w:rPr>
        <w:t>Meeting 1 established customer_requirements = "Customized Integration". Meeting 2 discussed budget approval and a competitor, and never mentioned integration at all. The field was nonetheless carried forward rather than reverting to a neutral default:</w:t>
      </w:r>
    </w:p>
    <w:p>
      <w:pPr>
        <w:spacing w:after="200"/>
        <w:ind w:left="360"/>
      </w:pPr>
      <w:r>
        <w:rPr>
          <w:rFonts w:ascii="Consolas" w:hAnsi="Consolas"/>
          <w:color w:val="5C6673"/>
          <w:sz w:val="18"/>
        </w:rPr>
        <w:t>customer_sentiment          Positive                 Updated by this meeting.</w:t>
        <w:br/>
      </w:r>
      <w:r>
        <w:rPr>
          <w:rFonts w:ascii="Consolas" w:hAnsi="Consolas"/>
          <w:color w:val="5C6673"/>
          <w:sz w:val="18"/>
        </w:rPr>
        <w:t>budget_status               Fully Approved           Updated by this meeting.</w:t>
        <w:br/>
      </w:r>
      <w:r>
        <w:rPr>
          <w:rFonts w:ascii="Consolas" w:hAnsi="Consolas"/>
          <w:color w:val="5C6673"/>
          <w:sz w:val="18"/>
        </w:rPr>
        <w:t>decision_maker_involvement  Yes                      Updated by this meeting.</w:t>
        <w:br/>
      </w:r>
      <w:r>
        <w:rPr>
          <w:rFonts w:ascii="Consolas" w:hAnsi="Consolas"/>
          <w:color w:val="5C6673"/>
          <w:sz w:val="18"/>
        </w:rPr>
        <w:t>main_objections             No Objections            Updated by this meeting.</w:t>
        <w:br/>
      </w:r>
      <w:r>
        <w:rPr>
          <w:rFonts w:ascii="Consolas" w:hAnsi="Consolas"/>
          <w:color w:val="5C6673"/>
          <w:sz w:val="18"/>
        </w:rPr>
        <w:t>customer_requirements       Customized Integration   Carried forward from meeting 1.</w:t>
        <w:br/>
      </w:r>
      <w:r>
        <w:rPr>
          <w:rFonts w:ascii="Consolas" w:hAnsi="Consolas"/>
          <w:color w:val="5C6673"/>
          <w:sz w:val="18"/>
        </w:rPr>
        <w:t>risk_factors                No Risk Identified       Carried forward from meeting 1.</w:t>
        <w:br/>
      </w:r>
      <w:r>
        <w:rPr>
          <w:rFonts w:ascii="Consolas" w:hAnsi="Consolas"/>
          <w:color w:val="5C6673"/>
          <w:sz w:val="18"/>
        </w:rPr>
        <w:t>implementation_readiness    Partially Ready          Carried forward from meeting 1.</w:t>
      </w:r>
    </w:p>
    <w:p>
      <w:r>
        <w:rPr>
          <w:b w:val="0"/>
          <w:i w:val="0"/>
          <w:color w:val="15181D"/>
          <w:sz w:val="21"/>
        </w:rPr>
        <w:t>This matters more than it appears. customer_requirements and risk_factors are one-hot columns in the scorer. An incorrect value in an ordinal column raises a schema error and returns HTTP 400; an incorrect value in a one-hot column raises nothing — the column is silently dropped and the feature scores zero. Without carry-forward, the deal would have been scored confidently on evidence that had quietly disappeared.</w:t>
      </w:r>
    </w:p>
    <w:p>
      <w:r>
        <w:rPr>
          <w:b w:val="0"/>
          <w:i w:val="0"/>
          <w:color w:val="15181D"/>
          <w:sz w:val="21"/>
        </w:rPr>
        <w:t>The adapter also removed "Price Too High" from main_objections once meeting 2 showed the pricing concern resolved — a behaviour it was specifically trained for, rather than generic extraction.</w:t>
      </w:r>
    </w:p>
    <w:p>
      <w:r>
        <w:br w:type="page"/>
      </w:r>
    </w:p>
    <w:p>
      <w:pPr>
        <w:pStyle w:val="Heading1"/>
      </w:pPr>
      <w:r>
        <w:t>7.  Open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432"/>
            <w:shd w:val="clear" w:fill="00625E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464"/>
            <w:shd w:val="clear" w:fill="00625E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608"/>
            <w:shd w:val="clear" w:fill="00625E"/>
          </w:tcPr>
          <w:p>
            <w:r/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sz w:val="18"/>
              </w:rPr>
              <w:t>The lead_scoring adapter has no task-level evaluation. Its eval loss (0.155) is an order of magnitude higher than the other two.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sz w:val="18"/>
              </w:rPr>
              <w:t>Unknown accuracy on the model that prioritises every lead. evaluate_meeting.py exists but its output was never saved.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sz w:val="18"/>
              </w:rPr>
              <w:t>DealScoringClient.score(Deal) — the deal-edit-form path — guards only four of twelve categorical fields, then sends an empty string for any null.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sz w:val="18"/>
              </w:rPr>
              <w:t>Strict mode rejects the payload with HTTP 400 and the deal is silently left unscored.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sz w:val="18"/>
              </w:rPr>
              <w:t>The scoring vocabulary is declared independently in the frontend constants, DealParameters.java, and the trained bundle.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sz w:val="18"/>
              </w:rPr>
              <w:t>A retrain changes only the third. No automated check compares them.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sz w:val="18"/>
              </w:rPr>
              <w:t>XgBoost/requirements.txt omits fastapi and uvicorn, and files matplotlib under training-only although deal_score_pipeline.py imports it at module level.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sz w:val="18"/>
              </w:rPr>
              <w:t>A fresh install of the documented serving set cannot start the API.</w:t>
            </w:r>
          </w:p>
        </w:tc>
      </w:tr>
    </w:tbl>
    <w:p>
      <w:pPr>
        <w:spacing w:after="40"/>
      </w:pPr>
    </w:p>
    <w:p>
      <w:pPr>
        <w:pStyle w:val="Heading3"/>
      </w:pPr>
      <w:r>
        <w:t>Recommended next step</w:t>
      </w:r>
    </w:p>
    <w:p>
      <w:r>
        <w:rPr>
          <w:b w:val="0"/>
          <w:i w:val="0"/>
          <w:color w:val="15181D"/>
          <w:sz w:val="21"/>
        </w:rPr>
        <w:t>Run evaluate_meeting.py against the lead_scoring adapter and save the output. It is the only model in the system whose real-world accuracy is unknown, it has the widest reach of the three, and the evaluation harness already exists.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/>
      <w:color w:val="1518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625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5181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5181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