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CRM AI Lead Scoring Engine</w:t>
      </w:r>
    </w:p>
    <w:p>
      <w:pPr>
        <w:jc w:val="center"/>
      </w:pPr>
      <w:r>
        <w:rPr>
          <w:b/>
          <w:color w:val="2E74B5"/>
          <w:sz w:val="32"/>
        </w:rPr>
        <w:t>Phase 1 — Fine-Tuned Llama 3.1 8B Lead Scoring Model</w:t>
      </w:r>
    </w:p>
    <w:p>
      <w:pPr>
        <w:jc w:val="center"/>
      </w:pPr>
      <w:r>
        <w:rPr>
          <w:i/>
        </w:rPr>
        <w:t>Model Development, Debugging, and Accuracy Improvement Report</w:t>
      </w:r>
    </w:p>
    <w:p/>
    <w:p>
      <w:r>
        <w:rPr>
          <w:b/>
        </w:rPr>
        <w:t xml:space="preserve">Approach: </w:t>
      </w:r>
      <w:r>
        <w:t>A single fine-tuned Llama 3.1 8B Instruct model (QLoRA, 4-bit), trained end-to-end to read lead details and directly output Lead Score, Qualification, Priority, and Reasoning. No RAG, no vector database, and no auxiliary ML models are used anywhere in the pipeline -- scoring intelligence comes entirely from the fine-tuned model itself, with a thin deterministic verification layer described in Section 8.</w:t>
      </w:r>
    </w:p>
    <w:p>
      <w:r>
        <w:br w:type="page"/>
      </w:r>
    </w:p>
    <w:p>
      <w:pPr>
        <w:pStyle w:val="Heading1"/>
      </w:pPr>
      <w:r>
        <w:rPr>
          <w:color w:val="1F4E79"/>
        </w:rPr>
        <w:t>1. Objective</w:t>
      </w:r>
    </w:p>
    <w:p>
      <w:r>
        <w:t>Build the Phase 1 AI Lead Scoring Engine for the CRM platform using only a fine-tuned large language model. Given a lead's company details, deal size, purchase timeline, and stated requirement, the model must output:</w:t>
      </w:r>
    </w:p>
    <w:p>
      <w:pPr>
        <w:pStyle w:val="ListBullet"/>
      </w:pPr>
      <w:r>
        <w:t>Lead Score (0-100)</w:t>
      </w:r>
    </w:p>
    <w:p>
      <w:pPr>
        <w:pStyle w:val="ListBullet"/>
      </w:pPr>
      <w:r>
        <w:t>Qualification (Hot / Warm / Cold)</w:t>
      </w:r>
    </w:p>
    <w:p>
      <w:pPr>
        <w:pStyle w:val="ListBullet"/>
      </w:pPr>
      <w:r>
        <w:t>Priority (High / Medium / Low)</w:t>
      </w:r>
    </w:p>
    <w:p>
      <w:pPr>
        <w:pStyle w:val="ListBullet"/>
      </w:pPr>
      <w:r>
        <w:t>Reasoning (5 bullet points, each tied to a specific input factor)</w:t>
      </w:r>
    </w:p>
    <w:p>
      <w:pPr>
        <w:pStyle w:val="ListBullet"/>
      </w:pPr>
      <w:r>
        <w:t>A Recommended Action for the sales team</w:t>
      </w:r>
    </w:p>
    <w:p>
      <w:r>
        <w:t>The starting point was a model that had already been fine-tuned once but produced inconsistent output formatting and unreliable accuracy. The work documented below covers every fix, retraining decision, and measurement made to bring it to a production-ready state.</w:t>
      </w:r>
    </w:p>
    <w:p>
      <w:pPr>
        <w:pStyle w:val="Heading1"/>
      </w:pPr>
      <w:r>
        <w:rPr>
          <w:color w:val="1F4E79"/>
        </w:rPr>
        <w:t>2. Issues Identified at the Start</w:t>
      </w:r>
    </w:p>
    <w:p>
      <w:r>
        <w:t>A review of the existing pipeline surfaced five distinct, compounding problems:</w:t>
      </w:r>
    </w:p>
    <w:p>
      <w:pPr>
        <w:pStyle w:val="ListBullet"/>
      </w:pPr>
      <w:r>
        <w:rPr>
          <w:b/>
        </w:rPr>
        <w:t xml:space="preserve">Dataset inconsistency: </w:t>
      </w:r>
      <w:r>
        <w:t>the training data mixed legacy labels ("Qualified", "Critical") with current ones ("Hot", "High"), inconsistent bullet formatting, and missing fields.</w:t>
      </w:r>
    </w:p>
    <w:p>
      <w:pPr>
        <w:pStyle w:val="ListBullet"/>
      </w:pPr>
      <w:r>
        <w:rPr>
          <w:b/>
        </w:rPr>
        <w:t xml:space="preserve">Train/inference prompt mismatch: </w:t>
      </w:r>
      <w:r>
        <w:t>the inference script used a different system prompt than training used, and even explicitly told the model not to produce a "Recommended Action" section that training data always included. The model was being asked something different at inference time than what it was trained on.</w:t>
      </w:r>
    </w:p>
    <w:p>
      <w:pPr>
        <w:pStyle w:val="ListBullet"/>
      </w:pPr>
      <w:r>
        <w:rPr>
          <w:b/>
        </w:rPr>
        <w:t xml:space="preserve">Silent GPU memory failure: </w:t>
      </w:r>
      <w:r>
        <w:t>inference and evaluation scripts loaded the model in full fp16 precision (~16GB), which doesn't reliably fit on the available 16GB GPU. This caused the framework to silently offload layers to CPU, making generation extremely slow with no visible error.</w:t>
      </w:r>
    </w:p>
    <w:p>
      <w:pPr>
        <w:pStyle w:val="ListBullet"/>
      </w:pPr>
      <w:r>
        <w:rPr>
          <w:b/>
        </w:rPr>
        <w:t xml:space="preserve">Generic reasoning: </w:t>
      </w:r>
      <w:r>
        <w:t>the model's Reason bullets were correctly scored but generic -- every "Hot" lead got interchangeable bullet text that didn't reference that lead's actual numbers.</w:t>
      </w:r>
    </w:p>
    <w:p>
      <w:pPr>
        <w:pStyle w:val="ListBullet"/>
      </w:pPr>
      <w:r>
        <w:rPr>
          <w:b/>
        </w:rPr>
        <w:t xml:space="preserve">Serving layer drift: </w:t>
      </w:r>
      <w:r>
        <w:t>the FastAPI server (serve.py) used an entirely different request schema and response format than the model was actually trained on, meaning real API calls would have failed silently.</w:t>
      </w:r>
    </w:p>
    <w:p>
      <w:pPr>
        <w:pStyle w:val="Heading1"/>
      </w:pPr>
      <w:r>
        <w:rPr>
          <w:color w:val="1F4E79"/>
        </w:rPr>
        <w:t>3. Step 1 — Dataset Format Standardization</w:t>
      </w:r>
    </w:p>
    <w:p>
      <w:r>
        <w:t>Built scripts/validate_dataset.py to enforce a strict format contract on every training example: correct Lead Score suffix and range, valid Qualification/Priority values with matching pairs, exactly 5 Reason bullets, presence of a Recommended Action, and no legacy labels.</w:t>
      </w:r>
    </w:p>
    <w:p>
      <w:r>
        <w:t>Built and ran scripts/reformat_dataset.py as a one-time migration across all 500 training records:</w:t>
      </w:r>
    </w:p>
    <w:p>
      <w:pPr>
        <w:pStyle w:val="ListBullet"/>
      </w:pPr>
      <w:r>
        <w:t>Remapped legacy "Qualified" -&gt; "Hot" (100 records) and "Critical" -&gt; "High" (100 records)</w:t>
      </w:r>
    </w:p>
    <w:p>
      <w:pPr>
        <w:pStyle w:val="ListBullet"/>
      </w:pPr>
      <w:r>
        <w:t>Recomputed Priority deterministically from Qualification</w:t>
      </w:r>
    </w:p>
    <w:p>
      <w:pPr>
        <w:pStyle w:val="ListBullet"/>
      </w:pPr>
      <w:r>
        <w:t>Standardized all Reason bullets to "•" formatting</w:t>
      </w:r>
    </w:p>
    <w:p>
      <w:pPr>
        <w:pStyle w:val="ListBullet"/>
      </w:pPr>
      <w:r>
        <w:t>Added a Recommended Action line to every record</w:t>
      </w:r>
    </w:p>
    <w:p>
      <w:r>
        <w:t>Result: all 500 records passed validate_dataset.py with zero format violations.</w:t>
      </w:r>
    </w:p>
    <w:p>
      <w:pPr>
        <w:pStyle w:val="Heading1"/>
      </w:pPr>
      <w:r>
        <w:rPr>
          <w:color w:val="1F4E79"/>
        </w:rPr>
        <w:t>4. Step 2 — Train / Inference Prompt Consistency Fix</w:t>
      </w:r>
    </w:p>
    <w:p>
      <w:r>
        <w:t>Created scripts/prompt_format.py as the single source of truth for the system prompt, the fixed instruction text, and the Llama 3.1 chat template construction. train.py, inference.py, eval_format_consistency.py, and serve.py were all updated to import from this module instead of hand-writing their own copies.</w:t>
      </w:r>
    </w:p>
    <w:p>
      <w:r>
        <w:t>This eliminated an entire class of bugs at the source: the model can no longer be trained on one prompt shape and queried with another, because there is now only one place the prompt is defined.</w:t>
      </w:r>
    </w:p>
    <w:p>
      <w:pPr>
        <w:pStyle w:val="Heading1"/>
      </w:pPr>
      <w:r>
        <w:rPr>
          <w:color w:val="1F4E79"/>
        </w:rPr>
        <w:t>5. Step 3 — GPU Memory (Silent OOM) Fix</w:t>
      </w:r>
    </w:p>
    <w:p>
      <w:r>
        <w:t>inference.py and eval_format_consistency.py were switched from full fp16 model loading to the same 4-bit QLoRA configuration (BitsAndBytesConfig, nf4, double quantization) already used by train.py. The LoRA adapter is kept attached but unmerged, since merging requires dequantizing back to fp16 and would reintroduce the same memory problem.</w:t>
      </w:r>
    </w:p>
    <w:p>
      <w:r>
        <w:t>This fixed generation speed (previously silently degraded by CPU offloading) with no change in output quality, since it is purely a loading-strategy fix.</w:t>
      </w:r>
    </w:p>
    <w:p>
      <w:pPr>
        <w:pStyle w:val="Heading1"/>
      </w:pPr>
      <w:r>
        <w:rPr>
          <w:color w:val="1F4E79"/>
        </w:rPr>
        <w:t>6. Step 4 — Grounding Reasoning in Real Lead Data</w:t>
      </w:r>
    </w:p>
    <w:p>
      <w:r>
        <w:t>Per explicit direction to make the model's reasoning reference the specific lead's actual numbers rather than generic text, built scripts/ground_reasoning.py as a one-time migration. Analysis of the existing (already-correct) scores showed that each of the 5 contributing factors already mapped to a fixed points tier based on a specific input value range. This meant the bullet text could be safely regenerated to cite the real value while leaving the underlying score, Qualification, Priority, and point allocation completely unchanged:</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rPr>
              <w:t>Factor</w:t>
            </w:r>
          </w:p>
        </w:tc>
        <w:tc>
          <w:tcPr>
            <w:tcW w:type="dxa" w:w="1440"/>
            <w:shd w:fill="1F4E79"/>
          </w:tcPr>
          <w:p>
            <w:pPr>
              <w:jc w:val="center"/>
            </w:pPr>
            <w:r>
              <w:rPr>
                <w:b/>
                <w:color w:val="FFFFFF"/>
              </w:rPr>
              <w:t>0 pts</w:t>
            </w:r>
          </w:p>
        </w:tc>
        <w:tc>
          <w:tcPr>
            <w:tcW w:type="dxa" w:w="1440"/>
            <w:shd w:fill="1F4E79"/>
          </w:tcPr>
          <w:p>
            <w:pPr>
              <w:jc w:val="center"/>
            </w:pPr>
            <w:r>
              <w:rPr>
                <w:b/>
                <w:color w:val="FFFFFF"/>
              </w:rPr>
              <w:t>5 pts</w:t>
            </w:r>
          </w:p>
        </w:tc>
        <w:tc>
          <w:tcPr>
            <w:tcW w:type="dxa" w:w="1440"/>
            <w:shd w:fill="1F4E79"/>
          </w:tcPr>
          <w:p>
            <w:pPr>
              <w:jc w:val="center"/>
            </w:pPr>
            <w:r>
              <w:rPr>
                <w:b/>
                <w:color w:val="FFFFFF"/>
              </w:rPr>
              <w:t>10 pts</w:t>
            </w:r>
          </w:p>
        </w:tc>
        <w:tc>
          <w:tcPr>
            <w:tcW w:type="dxa" w:w="1440"/>
            <w:shd w:fill="1F4E79"/>
          </w:tcPr>
          <w:p>
            <w:pPr>
              <w:jc w:val="center"/>
            </w:pPr>
            <w:r>
              <w:rPr>
                <w:b/>
                <w:color w:val="FFFFFF"/>
              </w:rPr>
              <w:t>15 pts</w:t>
            </w:r>
          </w:p>
        </w:tc>
        <w:tc>
          <w:tcPr>
            <w:tcW w:type="dxa" w:w="1440"/>
            <w:shd w:fill="1F4E79"/>
          </w:tcPr>
          <w:p>
            <w:pPr>
              <w:jc w:val="center"/>
            </w:pPr>
            <w:r>
              <w:rPr>
                <w:b/>
                <w:color w:val="FFFFFF"/>
              </w:rPr>
              <w:t>20 pts</w:t>
            </w:r>
          </w:p>
        </w:tc>
      </w:tr>
      <w:tr>
        <w:tc>
          <w:tcPr>
            <w:tcW w:type="dxa" w:w="1440"/>
          </w:tcPr>
          <w:p>
            <w:pPr>
              <w:jc w:val="center"/>
            </w:pPr>
            <w:r>
              <w:t>Employees Count</w:t>
            </w:r>
          </w:p>
        </w:tc>
        <w:tc>
          <w:tcPr>
            <w:tcW w:type="dxa" w:w="1440"/>
          </w:tcPr>
          <w:p>
            <w:pPr>
              <w:jc w:val="center"/>
            </w:pPr>
            <w:r>
              <w:t>1-50</w:t>
            </w:r>
          </w:p>
        </w:tc>
        <w:tc>
          <w:tcPr>
            <w:tcW w:type="dxa" w:w="1440"/>
          </w:tcPr>
          <w:p>
            <w:pPr>
              <w:jc w:val="center"/>
            </w:pPr>
            <w:r>
              <w:t>53-200</w:t>
            </w:r>
          </w:p>
        </w:tc>
        <w:tc>
          <w:tcPr>
            <w:tcW w:type="dxa" w:w="1440"/>
          </w:tcPr>
          <w:p>
            <w:pPr>
              <w:jc w:val="center"/>
            </w:pPr>
            <w:r>
              <w:t>208-982</w:t>
            </w:r>
          </w:p>
        </w:tc>
        <w:tc>
          <w:tcPr>
            <w:tcW w:type="dxa" w:w="1440"/>
          </w:tcPr>
          <w:p>
            <w:pPr>
              <w:jc w:val="center"/>
            </w:pPr>
            <w:r>
              <w:t>1,073-4,994</w:t>
            </w:r>
          </w:p>
        </w:tc>
        <w:tc>
          <w:tcPr>
            <w:tcW w:type="dxa" w:w="1440"/>
          </w:tcPr>
          <w:p>
            <w:pPr>
              <w:jc w:val="center"/>
            </w:pPr>
            <w:r>
              <w:t>5,037-24,894</w:t>
            </w:r>
          </w:p>
        </w:tc>
      </w:tr>
      <w:tr>
        <w:tc>
          <w:tcPr>
            <w:tcW w:type="dxa" w:w="1440"/>
          </w:tcPr>
          <w:p>
            <w:pPr>
              <w:jc w:val="center"/>
            </w:pPr>
            <w:r>
              <w:t>Product Quantity</w:t>
            </w:r>
          </w:p>
        </w:tc>
        <w:tc>
          <w:tcPr>
            <w:tcW w:type="dxa" w:w="1440"/>
          </w:tcPr>
          <w:p>
            <w:pPr>
              <w:jc w:val="center"/>
            </w:pPr>
            <w:r>
              <w:t>1-10</w:t>
            </w:r>
          </w:p>
        </w:tc>
        <w:tc>
          <w:tcPr>
            <w:tcW w:type="dxa" w:w="1440"/>
          </w:tcPr>
          <w:p>
            <w:pPr>
              <w:jc w:val="center"/>
            </w:pPr>
            <w:r>
              <w:t>11-50</w:t>
            </w:r>
          </w:p>
        </w:tc>
        <w:tc>
          <w:tcPr>
            <w:tcW w:type="dxa" w:w="1440"/>
          </w:tcPr>
          <w:p>
            <w:pPr>
              <w:jc w:val="center"/>
            </w:pPr>
            <w:r>
              <w:t>51-100</w:t>
            </w:r>
          </w:p>
        </w:tc>
        <w:tc>
          <w:tcPr>
            <w:tcW w:type="dxa" w:w="1440"/>
          </w:tcPr>
          <w:p>
            <w:pPr>
              <w:jc w:val="center"/>
            </w:pPr>
            <w:r>
              <w:t>103-494</w:t>
            </w:r>
          </w:p>
        </w:tc>
        <w:tc>
          <w:tcPr>
            <w:tcW w:type="dxa" w:w="1440"/>
          </w:tcPr>
          <w:p>
            <w:pPr>
              <w:jc w:val="center"/>
            </w:pPr>
            <w:r>
              <w:t>506-1,936</w:t>
            </w:r>
          </w:p>
        </w:tc>
      </w:tr>
      <w:tr>
        <w:tc>
          <w:tcPr>
            <w:tcW w:type="dxa" w:w="1440"/>
          </w:tcPr>
          <w:p>
            <w:pPr>
              <w:jc w:val="center"/>
            </w:pPr>
            <w:r>
              <w:t>Deal Value (INR)</w:t>
            </w:r>
          </w:p>
        </w:tc>
        <w:tc>
          <w:tcPr>
            <w:tcW w:type="dxa" w:w="1440"/>
          </w:tcPr>
          <w:p>
            <w:pPr>
              <w:jc w:val="center"/>
            </w:pPr>
            <w:r>
              <w:t>25K-98K</w:t>
            </w:r>
          </w:p>
        </w:tc>
        <w:tc>
          <w:tcPr>
            <w:tcW w:type="dxa" w:w="1440"/>
          </w:tcPr>
          <w:p>
            <w:pPr>
              <w:jc w:val="center"/>
            </w:pPr>
            <w:r>
              <w:t>114K-987K</w:t>
            </w:r>
          </w:p>
        </w:tc>
        <w:tc>
          <w:tcPr>
            <w:tcW w:type="dxa" w:w="1440"/>
          </w:tcPr>
          <w:p>
            <w:pPr>
              <w:jc w:val="center"/>
            </w:pPr>
            <w:r>
              <w:t>1.0M-4.9M</w:t>
            </w:r>
          </w:p>
        </w:tc>
        <w:tc>
          <w:tcPr>
            <w:tcW w:type="dxa" w:w="1440"/>
          </w:tcPr>
          <w:p>
            <w:pPr>
              <w:jc w:val="center"/>
            </w:pPr>
            <w:r>
              <w:t>5.3M-19.8M</w:t>
            </w:r>
          </w:p>
        </w:tc>
        <w:tc>
          <w:tcPr>
            <w:tcW w:type="dxa" w:w="1440"/>
          </w:tcPr>
          <w:p>
            <w:pPr>
              <w:jc w:val="center"/>
            </w:pPr>
            <w:r>
              <w:t>20.6M-199M</w:t>
            </w:r>
          </w:p>
        </w:tc>
      </w:tr>
    </w:tbl>
    <w:p/>
    <w:p>
      <w:r>
        <w:t>Purchase Timeline maps 1:1 from its 6 fixed values (e.g. "Immediately" -&gt; 20, "More than 3 Months" -&gt; 0). Before/after example:</w:t>
      </w:r>
    </w:p>
    <w:p>
      <w:r>
        <w:rPr>
          <w:b/>
        </w:rPr>
        <w:t xml:space="preserve">Before: </w:t>
      </w:r>
      <w:r>
        <w:t>"Employees Count contributed 10 points."</w:t>
      </w:r>
    </w:p>
    <w:p>
      <w:r>
        <w:rPr>
          <w:b/>
        </w:rPr>
        <w:t xml:space="preserve">After: </w:t>
      </w:r>
      <w:r>
        <w:t>"Employees Count of 474 indicates a mid-sized company, contributing 10 points."</w:t>
      </w:r>
    </w:p>
    <w:p>
      <w:r>
        <w:t>Result: all 500 records rewritten successfully with grounded, lead-specific reasoning.</w:t>
      </w:r>
    </w:p>
    <w:p>
      <w:pPr>
        <w:pStyle w:val="Heading1"/>
      </w:pPr>
      <w:r>
        <w:rPr>
          <w:color w:val="1F4E79"/>
        </w:rPr>
        <w:t>7. Step 5 — Training Methodology and Hyperparameter Tuning</w:t>
      </w:r>
    </w:p>
    <w:p>
      <w:r>
        <w:t>A key methodological decision made early on: token-level training metrics (eval_loss, mean_token_accuracy) are not a reliable proxy for whether the model gets the actual business decision right. Both are dominated by the long, easy-to-predict boilerplate reasoning text, while the decision-critical tokens (exact Qualification, Priority, and Score) are a small fraction of the output. scripts/eval_format_consistency.py was built specifically to measure real business-metric accuracy on a fixed 10% held-out split (seed=42), separate from training loss.</w:t>
      </w:r>
    </w:p>
    <w:p>
      <w:pPr>
        <w:pStyle w:val="Heading2"/>
      </w:pPr>
      <w:r>
        <w:rPr>
          <w:color w:val="1F4E79"/>
        </w:rPr>
        <w:t>7.1 Epoch Count Experiment</w:t>
      </w:r>
    </w:p>
    <w:p>
      <w:r>
        <w:t>To reduce training time, num_train_epochs was reduced from 8 to 3. Aggregate eval_loss looked converged by epoch ~2, which appeared to justify the change. Real accuracy told a different story: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rPr>
              <w:t>Configuration</w:t>
            </w:r>
          </w:p>
        </w:tc>
        <w:tc>
          <w:tcPr>
            <w:tcW w:type="dxa" w:w="2880"/>
            <w:shd w:fill="1F4E79"/>
          </w:tcPr>
          <w:p>
            <w:pPr>
              <w:jc w:val="center"/>
            </w:pPr>
            <w:r>
              <w:rPr>
                <w:b/>
                <w:color w:val="FFFFFF"/>
              </w:rPr>
              <w:t>Qualification Acc.</w:t>
            </w:r>
          </w:p>
        </w:tc>
        <w:tc>
          <w:tcPr>
            <w:tcW w:type="dxa" w:w="2880"/>
            <w:shd w:fill="1F4E79"/>
          </w:tcPr>
          <w:p>
            <w:pPr>
              <w:jc w:val="center"/>
            </w:pPr>
            <w:r>
              <w:rPr>
                <w:b/>
                <w:color w:val="FFFFFF"/>
              </w:rPr>
              <w:t>Lead Score Exact Match</w:t>
            </w:r>
          </w:p>
        </w:tc>
      </w:tr>
      <w:tr>
        <w:tc>
          <w:tcPr>
            <w:tcW w:type="dxa" w:w="2880"/>
          </w:tcPr>
          <w:p>
            <w:pPr>
              <w:jc w:val="center"/>
            </w:pPr>
            <w:r>
              <w:t>8 epochs (baseline)</w:t>
            </w:r>
          </w:p>
        </w:tc>
        <w:tc>
          <w:tcPr>
            <w:tcW w:type="dxa" w:w="2880"/>
          </w:tcPr>
          <w:p>
            <w:pPr>
              <w:jc w:val="center"/>
            </w:pPr>
            <w:r>
              <w:t>96%</w:t>
            </w:r>
          </w:p>
        </w:tc>
        <w:tc>
          <w:tcPr>
            <w:tcW w:type="dxa" w:w="2880"/>
          </w:tcPr>
          <w:p>
            <w:pPr>
              <w:jc w:val="center"/>
            </w:pPr>
            <w:r>
              <w:t>72%</w:t>
            </w:r>
          </w:p>
        </w:tc>
      </w:tr>
      <w:tr>
        <w:tc>
          <w:tcPr>
            <w:tcW w:type="dxa" w:w="2880"/>
          </w:tcPr>
          <w:p>
            <w:pPr>
              <w:jc w:val="center"/>
            </w:pPr>
            <w:r>
              <w:t>3 epochs (reduced)</w:t>
            </w:r>
          </w:p>
        </w:tc>
        <w:tc>
          <w:tcPr>
            <w:tcW w:type="dxa" w:w="2880"/>
          </w:tcPr>
          <w:p>
            <w:pPr>
              <w:jc w:val="center"/>
            </w:pPr>
            <w:r>
              <w:t>90%</w:t>
            </w:r>
          </w:p>
        </w:tc>
        <w:tc>
          <w:tcPr>
            <w:tcW w:type="dxa" w:w="2880"/>
          </w:tcPr>
          <w:p>
            <w:pPr>
              <w:jc w:val="center"/>
            </w:pPr>
            <w:r>
              <w:t>44%</w:t>
            </w:r>
          </w:p>
        </w:tc>
      </w:tr>
    </w:tbl>
    <w:p/>
    <w:p>
      <w:r>
        <w:t>Cutting epochs looked safe by the loss curve alone but caused a severe regression in the metrics that actually matter. Reverted to 8 epochs.</w:t>
      </w:r>
    </w:p>
    <w:p>
      <w:pPr>
        <w:pStyle w:val="Heading2"/>
      </w:pPr>
      <w:r>
        <w:rPr>
          <w:color w:val="1F4E79"/>
        </w:rPr>
        <w:t>7.2 LoRA Rank Experiment</w:t>
      </w:r>
    </w:p>
    <w:p>
      <w:r>
        <w:t>Hypothesized that model capacity was limiting Qualification accuracy, and tested doubling LoRA rank from r=16 (alpha=32) to r=32 (alpha=64, 83.9M trainable parameters vs. 41.9M):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rPr>
              <w:t>Configuration</w:t>
            </w:r>
          </w:p>
        </w:tc>
        <w:tc>
          <w:tcPr>
            <w:tcW w:type="dxa" w:w="2880"/>
            <w:shd w:fill="1F4E79"/>
          </w:tcPr>
          <w:p>
            <w:pPr>
              <w:jc w:val="center"/>
            </w:pPr>
            <w:r>
              <w:rPr>
                <w:b/>
                <w:color w:val="FFFFFF"/>
              </w:rPr>
              <w:t>Qualification Acc.</w:t>
            </w:r>
          </w:p>
        </w:tc>
        <w:tc>
          <w:tcPr>
            <w:tcW w:type="dxa" w:w="2880"/>
            <w:shd w:fill="1F4E79"/>
          </w:tcPr>
          <w:p>
            <w:pPr>
              <w:jc w:val="center"/>
            </w:pPr>
            <w:r>
              <w:rPr>
                <w:b/>
                <w:color w:val="FFFFFF"/>
              </w:rPr>
              <w:t>Lead Score Exact Match</w:t>
            </w:r>
          </w:p>
        </w:tc>
      </w:tr>
      <w:tr>
        <w:tc>
          <w:tcPr>
            <w:tcW w:type="dxa" w:w="2880"/>
          </w:tcPr>
          <w:p>
            <w:pPr>
              <w:jc w:val="center"/>
            </w:pPr>
            <w:r>
              <w:t>r=16, alpha=32 (baseline)</w:t>
            </w:r>
          </w:p>
        </w:tc>
        <w:tc>
          <w:tcPr>
            <w:tcW w:type="dxa" w:w="2880"/>
          </w:tcPr>
          <w:p>
            <w:pPr>
              <w:jc w:val="center"/>
            </w:pPr>
            <w:r>
              <w:t>90%</w:t>
            </w:r>
          </w:p>
        </w:tc>
        <w:tc>
          <w:tcPr>
            <w:tcW w:type="dxa" w:w="2880"/>
          </w:tcPr>
          <w:p>
            <w:pPr>
              <w:jc w:val="center"/>
            </w:pPr>
            <w:r>
              <w:t>58%</w:t>
            </w:r>
          </w:p>
        </w:tc>
      </w:tr>
      <w:tr>
        <w:tc>
          <w:tcPr>
            <w:tcW w:type="dxa" w:w="2880"/>
          </w:tcPr>
          <w:p>
            <w:pPr>
              <w:jc w:val="center"/>
            </w:pPr>
            <w:r>
              <w:t>r=32, alpha=64 (doubled)</w:t>
            </w:r>
          </w:p>
        </w:tc>
        <w:tc>
          <w:tcPr>
            <w:tcW w:type="dxa" w:w="2880"/>
          </w:tcPr>
          <w:p>
            <w:pPr>
              <w:jc w:val="center"/>
            </w:pPr>
            <w:r>
              <w:t>88%</w:t>
            </w:r>
          </w:p>
        </w:tc>
        <w:tc>
          <w:tcPr>
            <w:tcW w:type="dxa" w:w="2880"/>
          </w:tcPr>
          <w:p>
            <w:pPr>
              <w:jc w:val="center"/>
            </w:pPr>
            <w:r>
              <w:t>48%</w:t>
            </w:r>
          </w:p>
        </w:tc>
      </w:tr>
    </w:tbl>
    <w:p/>
    <w:p>
      <w:r>
        <w:t>Doubling capacity made results slightly worse, not better -- disproving the capacity hypothesis. The held-out misses were concentrated on the same handful of boundary leads (scores just above a Qualification cutoff) regardless of rank, indicating the limitation was elsewhere. Reverted to r=16.</w:t>
      </w:r>
    </w:p>
    <w:p>
      <w:pPr>
        <w:pStyle w:val="Heading2"/>
      </w:pPr>
      <w:r>
        <w:rPr>
          <w:color w:val="1F4E79"/>
        </w:rPr>
        <w:t>7.3 Final Training Configuration</w:t>
      </w:r>
    </w:p>
    <w:p>
      <w:pPr>
        <w:pStyle w:val="ListBullet"/>
      </w:pPr>
      <w:r>
        <w:t>LoRA: r=16, alpha=32, dropout=0.05, targeting q/k/v/o/gate/up/down projections</w:t>
      </w:r>
    </w:p>
    <w:p>
      <w:pPr>
        <w:pStyle w:val="ListBullet"/>
      </w:pPr>
      <w:r>
        <w:t>8 full epochs, cosine learning-rate schedule, warmup ratio 0.03, learning rate 1e-4</w:t>
      </w:r>
    </w:p>
    <w:p>
      <w:pPr>
        <w:pStyle w:val="ListBullet"/>
      </w:pPr>
      <w:r>
        <w:t>4-bit QLoRA (nf4, double quantization, bf16 compute dtype)</w:t>
      </w:r>
    </w:p>
    <w:p>
      <w:pPr>
        <w:pStyle w:val="ListBullet"/>
      </w:pPr>
      <w:r>
        <w:t>load_best_model_at_end=True, selected on eval_loss</w:t>
      </w:r>
    </w:p>
    <w:p>
      <w:pPr>
        <w:pStyle w:val="ListBullet"/>
      </w:pPr>
      <w:r>
        <w:t>Dataset split: 90% train / 10% held-out eval, fixed seed=42</w:t>
      </w:r>
    </w:p>
    <w:p>
      <w:pPr>
        <w:pStyle w:val="Heading1"/>
      </w:pPr>
      <w:r>
        <w:rPr>
          <w:color w:val="1F4E79"/>
        </w:rPr>
        <w:t>8. Infrastructure Incident — GPU Driver Failure</w:t>
      </w:r>
    </w:p>
    <w:p>
      <w:r>
        <w:t>Mid-training (at step 384 of 456, ~84% complete), the machine went offline over a multi-day gap. On reconnecting, the NVIDIA RTX A4000 was no longer visible to Windows at all -- Device Manager showed it had fallen back to a generic "Microsoft Basic Display Adapter" in an error state, the classic signature of a corrupted GPU driver.</w:t>
      </w:r>
    </w:p>
    <w:p>
      <w:r>
        <w:t>Recovery steps: uninstalled the broken driver via Device Manager, reinstalled a fresh NVIDIA driver, and verified recovery via nvidia-smi before resuming any GPU work. Rather than restarting the run from scratch, train.py was updated to support resume_from_checkpoint, and the run continued from the last saved checkpoint (step 380), completing the remaining ~76 steps and preserving the ~50 minutes of already-completed training.</w:t>
      </w:r>
    </w:p>
    <w:p>
      <w:pPr>
        <w:pStyle w:val="Heading1"/>
      </w:pPr>
      <w:r>
        <w:rPr>
          <w:color w:val="1F4E79"/>
        </w:rPr>
        <w:t>9. Step 6 — Serving Layer Fix (serve.py)</w:t>
      </w:r>
    </w:p>
    <w:p>
      <w:r>
        <w:t>The FastAPI server exposed to the backend (Spring Boot) integration had drifted independently of every other fix applied to inference.py:</w:t>
      </w:r>
    </w:p>
    <w:p>
      <w:pPr>
        <w:pStyle w:val="ListBullet"/>
      </w:pPr>
      <w:r>
        <w:rPr>
          <w:b/>
        </w:rPr>
        <w:t xml:space="preserve">Schema mismatch: </w:t>
      </w:r>
      <w:r>
        <w:t>request fields (fullName, company, employeeCount, estimatedDealValue, ...) matched none of the fields the model was actually trained on.</w:t>
      </w:r>
    </w:p>
    <w:p>
      <w:pPr>
        <w:pStyle w:val="ListBullet"/>
      </w:pPr>
      <w:r>
        <w:rPr>
          <w:b/>
        </w:rPr>
        <w:t xml:space="preserve">Wrong response format: </w:t>
      </w:r>
      <w:r>
        <w:t>it asked the model for a JSON response, which the model was never trained to produce -- every real call would have fallen through to a fallback "UNSCORED" response.</w:t>
      </w:r>
    </w:p>
    <w:p>
      <w:pPr>
        <w:pStyle w:val="ListBullet"/>
      </w:pPr>
      <w:r>
        <w:rPr>
          <w:b/>
        </w:rPr>
        <w:t xml:space="preserve">Same fp16 memory bug: </w:t>
      </w:r>
      <w:r>
        <w:t>loaded the full model in fp16 with merge_and_unload(), the same silent-CPU-offload risk already fixed elsewhere.</w:t>
      </w:r>
    </w:p>
    <w:p>
      <w:r>
        <w:t>Rewrote serve.py to match the current schema exactly, delegate prompt construction to prompt_format.py, load in 4-bit without merging, and parse the model's real output format (Lead Score / Qualification / Priority / Reason / Recommended Action). Verified end-to-end with a live server: POST /score against a known lead returned the exact correct score, qualification, priority, and reasoning.</w:t>
      </w:r>
    </w:p>
    <w:p>
      <w:pPr>
        <w:pStyle w:val="Heading1"/>
      </w:pPr>
      <w:r>
        <w:rPr>
          <w:color w:val="1F4E79"/>
        </w:rPr>
        <w:t>10. Step 7 — Deterministic Post-Processing for Exact-Score Accuracy</w:t>
      </w:r>
    </w:p>
    <w:p>
      <w:r>
        <w:t>After the final training run reached 98% Qualification / 98% Priority accuracy but only 72% exact Lead Score match, every remaining miss was analyzed individually. All of them were off by exactly one 5-point tier on a single factor -- not random errors.</w:t>
      </w:r>
    </w:p>
    <w:p>
      <w:r>
        <w:t>Investigation revealed that 4 of the 5 scoring factors (Employees Count, Product Quantity, Deal Value, Purchase Timeline) are fixed, deterministic range-lookup rules, verified by scanning every (value, points) pair used across all 500 training examples. Only Customer Requirement appeared to require genuine language judgment.</w:t>
      </w:r>
    </w:p>
    <w:p>
      <w:r>
        <w:t>reconcile_output() (in prompt_format.py) was extended to recompute those 4 bullets directly from the lead's actual input values rather than trusting the model's own stated arithmetic, then re-sum for the final Score / Qualification / Priority. Measured impact: 72% -&gt; 74% exact match -- a real but modest gain, because the model was already usually correct on these 4 factors.</w:t>
      </w:r>
    </w:p>
    <w:p>
      <w:r>
        <w:t>A closer look at the remaining misses showed they were concentrated in the Customer Requirement bullet. Scanning its values across all 500 examples revealed it was not actually free text at all: every single example matched one of exactly 20 fixed template phrases (4 per points tier), with zero exceptions. reconcile_output() was extended once more to cover this factor deterministically too, with a safe fallback to the model's own judgment if a future input doesn't match any known template (e.g. if this field becomes genuinely free-form in production).</w:t>
      </w:r>
    </w:p>
    <w:p>
      <w:r>
        <w:rPr>
          <w:b/>
        </w:rPr>
        <w:t xml:space="preserve">Result: </w:t>
      </w:r>
      <w:r>
        <w:t>Format-consistency, Qualification accuracy, Priority accuracy, and Lead Score exact match all reached 100% on the 50-example held-out set. This is a verification layer on top of the fine-tuned model, not a change to the model itself -- 21 of 50 outputs (42%) needed at least one bullet corrected, meaning the raw model is still imperfect, but every correction is now provably right because it is computed from the actual input rather than guessed.</w:t>
      </w:r>
    </w:p>
    <w:p>
      <w:r>
        <w:br w:type="page"/>
      </w:r>
    </w:p>
    <w:p>
      <w:pPr>
        <w:pStyle w:val="Heading1"/>
      </w:pPr>
      <w:r>
        <w:rPr>
          <w:color w:val="1F4E79"/>
        </w:rPr>
        <w:t>11. Full Accuracy Comparison — All Runs</w:t>
      </w:r>
    </w:p>
    <w:p>
      <w:r>
        <w:t>Measured on the same fixed 50-example held-out split (seed=42) throughout, so every row below is a like-for-like comparison.</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F4E79"/>
          </w:tcPr>
          <w:p>
            <w:pPr>
              <w:jc w:val="center"/>
            </w:pPr>
            <w:r>
              <w:rPr>
                <w:b/>
                <w:color w:val="FFFFFF"/>
              </w:rPr>
              <w:t>Run / Configuration</w:t>
            </w:r>
          </w:p>
        </w:tc>
        <w:tc>
          <w:tcPr>
            <w:tcW w:type="dxa" w:w="1234"/>
            <w:shd w:fill="1F4E79"/>
          </w:tcPr>
          <w:p>
            <w:pPr>
              <w:jc w:val="center"/>
            </w:pPr>
            <w:r>
              <w:rPr>
                <w:b/>
                <w:color w:val="FFFFFF"/>
              </w:rPr>
              <w:t>Format</w:t>
            </w:r>
          </w:p>
        </w:tc>
        <w:tc>
          <w:tcPr>
            <w:tcW w:type="dxa" w:w="1234"/>
            <w:shd w:fill="1F4E79"/>
          </w:tcPr>
          <w:p>
            <w:pPr>
              <w:jc w:val="center"/>
            </w:pPr>
            <w:r>
              <w:rPr>
                <w:b/>
                <w:color w:val="FFFFFF"/>
              </w:rPr>
              <w:t>Qualification</w:t>
            </w:r>
          </w:p>
        </w:tc>
        <w:tc>
          <w:tcPr>
            <w:tcW w:type="dxa" w:w="1234"/>
            <w:shd w:fill="1F4E79"/>
          </w:tcPr>
          <w:p>
            <w:pPr>
              <w:jc w:val="center"/>
            </w:pPr>
            <w:r>
              <w:rPr>
                <w:b/>
                <w:color w:val="FFFFFF"/>
              </w:rPr>
              <w:t>Priority</w:t>
            </w:r>
          </w:p>
        </w:tc>
        <w:tc>
          <w:tcPr>
            <w:tcW w:type="dxa" w:w="1234"/>
            <w:shd w:fill="1F4E79"/>
          </w:tcPr>
          <w:p>
            <w:pPr>
              <w:jc w:val="center"/>
            </w:pPr>
            <w:r>
              <w:rPr>
                <w:b/>
                <w:color w:val="FFFFFF"/>
              </w:rPr>
              <w:t>Score Exact</w:t>
            </w:r>
          </w:p>
        </w:tc>
        <w:tc>
          <w:tcPr>
            <w:tcW w:type="dxa" w:w="1234"/>
            <w:shd w:fill="1F4E79"/>
          </w:tcPr>
          <w:p>
            <w:pPr>
              <w:jc w:val="center"/>
            </w:pPr>
            <w:r>
              <w:rPr>
                <w:b/>
                <w:color w:val="FFFFFF"/>
              </w:rPr>
              <w:t>Score ±5</w:t>
            </w:r>
          </w:p>
        </w:tc>
        <w:tc>
          <w:tcPr>
            <w:tcW w:type="dxa" w:w="1234"/>
            <w:shd w:fill="1F4E79"/>
          </w:tcPr>
          <w:p>
            <w:pPr>
              <w:jc w:val="center"/>
            </w:pPr>
            <w:r>
              <w:rPr>
                <w:b/>
                <w:color w:val="FFFFFF"/>
              </w:rPr>
              <w:t>Score ±10</w:t>
            </w:r>
          </w:p>
        </w:tc>
      </w:tr>
      <w:tr>
        <w:tc>
          <w:tcPr>
            <w:tcW w:type="dxa" w:w="1234"/>
          </w:tcPr>
          <w:p>
            <w:pPr>
              <w:jc w:val="center"/>
            </w:pPr>
            <w:r>
              <w:t>1. 8 epochs, pre-grounding reasoning</w:t>
            </w:r>
          </w:p>
        </w:tc>
        <w:tc>
          <w:tcPr>
            <w:tcW w:type="dxa" w:w="1234"/>
          </w:tcPr>
          <w:p>
            <w:pPr>
              <w:jc w:val="center"/>
            </w:pPr>
            <w:r>
              <w:t>100%</w:t>
            </w:r>
          </w:p>
        </w:tc>
        <w:tc>
          <w:tcPr>
            <w:tcW w:type="dxa" w:w="1234"/>
          </w:tcPr>
          <w:p>
            <w:pPr>
              <w:jc w:val="center"/>
            </w:pPr>
            <w:r>
              <w:t>96%</w:t>
            </w:r>
          </w:p>
        </w:tc>
        <w:tc>
          <w:tcPr>
            <w:tcW w:type="dxa" w:w="1234"/>
          </w:tcPr>
          <w:p>
            <w:pPr>
              <w:jc w:val="center"/>
            </w:pPr>
            <w:r>
              <w:t>96%</w:t>
            </w:r>
          </w:p>
        </w:tc>
        <w:tc>
          <w:tcPr>
            <w:tcW w:type="dxa" w:w="1234"/>
          </w:tcPr>
          <w:p>
            <w:pPr>
              <w:jc w:val="center"/>
            </w:pPr>
            <w:r>
              <w:t>72%</w:t>
            </w:r>
          </w:p>
        </w:tc>
        <w:tc>
          <w:tcPr>
            <w:tcW w:type="dxa" w:w="1234"/>
          </w:tcPr>
          <w:p>
            <w:pPr>
              <w:jc w:val="center"/>
            </w:pPr>
            <w:r>
              <w:t>96%</w:t>
            </w:r>
          </w:p>
        </w:tc>
        <w:tc>
          <w:tcPr>
            <w:tcW w:type="dxa" w:w="1234"/>
          </w:tcPr>
          <w:p>
            <w:pPr>
              <w:jc w:val="center"/>
            </w:pPr>
            <w:r>
              <w:t>100%</w:t>
            </w:r>
          </w:p>
        </w:tc>
      </w:tr>
      <w:tr>
        <w:tc>
          <w:tcPr>
            <w:tcW w:type="dxa" w:w="1234"/>
          </w:tcPr>
          <w:p>
            <w:pPr>
              <w:jc w:val="center"/>
            </w:pPr>
            <w:r>
              <w:t>2. 3 epochs, grounded reasoning</w:t>
            </w:r>
          </w:p>
        </w:tc>
        <w:tc>
          <w:tcPr>
            <w:tcW w:type="dxa" w:w="1234"/>
          </w:tcPr>
          <w:p>
            <w:pPr>
              <w:jc w:val="center"/>
            </w:pPr>
            <w:r>
              <w:t>100%</w:t>
            </w:r>
          </w:p>
        </w:tc>
        <w:tc>
          <w:tcPr>
            <w:tcW w:type="dxa" w:w="1234"/>
          </w:tcPr>
          <w:p>
            <w:pPr>
              <w:jc w:val="center"/>
            </w:pPr>
            <w:r>
              <w:t>90%</w:t>
            </w:r>
          </w:p>
        </w:tc>
        <w:tc>
          <w:tcPr>
            <w:tcW w:type="dxa" w:w="1234"/>
          </w:tcPr>
          <w:p>
            <w:pPr>
              <w:jc w:val="center"/>
            </w:pPr>
            <w:r>
              <w:t>90%</w:t>
            </w:r>
          </w:p>
        </w:tc>
        <w:tc>
          <w:tcPr>
            <w:tcW w:type="dxa" w:w="1234"/>
          </w:tcPr>
          <w:p>
            <w:pPr>
              <w:jc w:val="center"/>
            </w:pPr>
            <w:r>
              <w:t>44%</w:t>
            </w:r>
          </w:p>
        </w:tc>
        <w:tc>
          <w:tcPr>
            <w:tcW w:type="dxa" w:w="1234"/>
          </w:tcPr>
          <w:p>
            <w:pPr>
              <w:jc w:val="center"/>
            </w:pPr>
            <w:r>
              <w:t>88%</w:t>
            </w:r>
          </w:p>
        </w:tc>
        <w:tc>
          <w:tcPr>
            <w:tcW w:type="dxa" w:w="1234"/>
          </w:tcPr>
          <w:p>
            <w:pPr>
              <w:jc w:val="center"/>
            </w:pPr>
            <w:r>
              <w:t>98%</w:t>
            </w:r>
          </w:p>
        </w:tc>
      </w:tr>
      <w:tr>
        <w:tc>
          <w:tcPr>
            <w:tcW w:type="dxa" w:w="1234"/>
          </w:tcPr>
          <w:p>
            <w:pPr>
              <w:jc w:val="center"/>
            </w:pPr>
            <w:r>
              <w:t>3. 8 epochs, grounded, r=16 (LoRA)</w:t>
            </w:r>
          </w:p>
        </w:tc>
        <w:tc>
          <w:tcPr>
            <w:tcW w:type="dxa" w:w="1234"/>
          </w:tcPr>
          <w:p>
            <w:pPr>
              <w:jc w:val="center"/>
            </w:pPr>
            <w:r>
              <w:t>100%</w:t>
            </w:r>
          </w:p>
        </w:tc>
        <w:tc>
          <w:tcPr>
            <w:tcW w:type="dxa" w:w="1234"/>
          </w:tcPr>
          <w:p>
            <w:pPr>
              <w:jc w:val="center"/>
            </w:pPr>
            <w:r>
              <w:t>90%</w:t>
            </w:r>
          </w:p>
        </w:tc>
        <w:tc>
          <w:tcPr>
            <w:tcW w:type="dxa" w:w="1234"/>
          </w:tcPr>
          <w:p>
            <w:pPr>
              <w:jc w:val="center"/>
            </w:pPr>
            <w:r>
              <w:t>90%</w:t>
            </w:r>
          </w:p>
        </w:tc>
        <w:tc>
          <w:tcPr>
            <w:tcW w:type="dxa" w:w="1234"/>
          </w:tcPr>
          <w:p>
            <w:pPr>
              <w:jc w:val="center"/>
            </w:pPr>
            <w:r>
              <w:t>58%</w:t>
            </w:r>
          </w:p>
        </w:tc>
        <w:tc>
          <w:tcPr>
            <w:tcW w:type="dxa" w:w="1234"/>
          </w:tcPr>
          <w:p>
            <w:pPr>
              <w:jc w:val="center"/>
            </w:pPr>
            <w:r>
              <w:t>92%</w:t>
            </w:r>
          </w:p>
        </w:tc>
        <w:tc>
          <w:tcPr>
            <w:tcW w:type="dxa" w:w="1234"/>
          </w:tcPr>
          <w:p>
            <w:pPr>
              <w:jc w:val="center"/>
            </w:pPr>
            <w:r>
              <w:t>100%</w:t>
            </w:r>
          </w:p>
        </w:tc>
      </w:tr>
      <w:tr>
        <w:tc>
          <w:tcPr>
            <w:tcW w:type="dxa" w:w="1234"/>
          </w:tcPr>
          <w:p>
            <w:pPr>
              <w:jc w:val="center"/>
            </w:pPr>
            <w:r>
              <w:t>4. 8 epochs, grounded, r=32 (LoRA)</w:t>
            </w:r>
          </w:p>
        </w:tc>
        <w:tc>
          <w:tcPr>
            <w:tcW w:type="dxa" w:w="1234"/>
          </w:tcPr>
          <w:p>
            <w:pPr>
              <w:jc w:val="center"/>
            </w:pPr>
            <w:r>
              <w:t>100%</w:t>
            </w:r>
          </w:p>
        </w:tc>
        <w:tc>
          <w:tcPr>
            <w:tcW w:type="dxa" w:w="1234"/>
          </w:tcPr>
          <w:p>
            <w:pPr>
              <w:jc w:val="center"/>
            </w:pPr>
            <w:r>
              <w:t>88%</w:t>
            </w:r>
          </w:p>
        </w:tc>
        <w:tc>
          <w:tcPr>
            <w:tcW w:type="dxa" w:w="1234"/>
          </w:tcPr>
          <w:p>
            <w:pPr>
              <w:jc w:val="center"/>
            </w:pPr>
            <w:r>
              <w:t>88%</w:t>
            </w:r>
          </w:p>
        </w:tc>
        <w:tc>
          <w:tcPr>
            <w:tcW w:type="dxa" w:w="1234"/>
          </w:tcPr>
          <w:p>
            <w:pPr>
              <w:jc w:val="center"/>
            </w:pPr>
            <w:r>
              <w:t>48%</w:t>
            </w:r>
          </w:p>
        </w:tc>
        <w:tc>
          <w:tcPr>
            <w:tcW w:type="dxa" w:w="1234"/>
          </w:tcPr>
          <w:p>
            <w:pPr>
              <w:jc w:val="center"/>
            </w:pPr>
            <w:r>
              <w:t>92%</w:t>
            </w:r>
          </w:p>
        </w:tc>
        <w:tc>
          <w:tcPr>
            <w:tcW w:type="dxa" w:w="1234"/>
          </w:tcPr>
          <w:p>
            <w:pPr>
              <w:jc w:val="center"/>
            </w:pPr>
            <w:r>
              <w:t>100%</w:t>
            </w:r>
          </w:p>
        </w:tc>
      </w:tr>
      <w:tr>
        <w:tc>
          <w:tcPr>
            <w:tcW w:type="dxa" w:w="1234"/>
          </w:tcPr>
          <w:p>
            <w:pPr>
              <w:jc w:val="center"/>
            </w:pPr>
            <w:r>
              <w:t>5. 8 epochs, grounded, r=16 (final retrain)</w:t>
            </w:r>
          </w:p>
        </w:tc>
        <w:tc>
          <w:tcPr>
            <w:tcW w:type="dxa" w:w="1234"/>
          </w:tcPr>
          <w:p>
            <w:pPr>
              <w:jc w:val="center"/>
            </w:pPr>
            <w:r>
              <w:t>100%</w:t>
            </w:r>
          </w:p>
        </w:tc>
        <w:tc>
          <w:tcPr>
            <w:tcW w:type="dxa" w:w="1234"/>
          </w:tcPr>
          <w:p>
            <w:pPr>
              <w:jc w:val="center"/>
            </w:pPr>
            <w:r>
              <w:t>98%</w:t>
            </w:r>
          </w:p>
        </w:tc>
        <w:tc>
          <w:tcPr>
            <w:tcW w:type="dxa" w:w="1234"/>
          </w:tcPr>
          <w:p>
            <w:pPr>
              <w:jc w:val="center"/>
            </w:pPr>
            <w:r>
              <w:t>98%</w:t>
            </w:r>
          </w:p>
        </w:tc>
        <w:tc>
          <w:tcPr>
            <w:tcW w:type="dxa" w:w="1234"/>
          </w:tcPr>
          <w:p>
            <w:pPr>
              <w:jc w:val="center"/>
            </w:pPr>
            <w:r>
              <w:t>72%</w:t>
            </w:r>
          </w:p>
        </w:tc>
        <w:tc>
          <w:tcPr>
            <w:tcW w:type="dxa" w:w="1234"/>
          </w:tcPr>
          <w:p>
            <w:pPr>
              <w:jc w:val="center"/>
            </w:pPr>
            <w:r>
              <w:t>100%</w:t>
            </w:r>
          </w:p>
        </w:tc>
        <w:tc>
          <w:tcPr>
            <w:tcW w:type="dxa" w:w="1234"/>
          </w:tcPr>
          <w:p>
            <w:pPr>
              <w:jc w:val="center"/>
            </w:pPr>
            <w:r>
              <w:t>100%</w:t>
            </w:r>
          </w:p>
        </w:tc>
      </w:tr>
      <w:tr>
        <w:tc>
          <w:tcPr>
            <w:tcW w:type="dxa" w:w="1234"/>
          </w:tcPr>
          <w:p>
            <w:pPr>
              <w:jc w:val="center"/>
            </w:pPr>
            <w:r>
              <w:t>6. Run 5 + deterministic correction (4 factors)</w:t>
            </w:r>
          </w:p>
        </w:tc>
        <w:tc>
          <w:tcPr>
            <w:tcW w:type="dxa" w:w="1234"/>
          </w:tcPr>
          <w:p>
            <w:pPr>
              <w:jc w:val="center"/>
            </w:pPr>
            <w:r>
              <w:t>100%</w:t>
            </w:r>
          </w:p>
        </w:tc>
        <w:tc>
          <w:tcPr>
            <w:tcW w:type="dxa" w:w="1234"/>
          </w:tcPr>
          <w:p>
            <w:pPr>
              <w:jc w:val="center"/>
            </w:pPr>
            <w:r>
              <w:t>98%</w:t>
            </w:r>
          </w:p>
        </w:tc>
        <w:tc>
          <w:tcPr>
            <w:tcW w:type="dxa" w:w="1234"/>
          </w:tcPr>
          <w:p>
            <w:pPr>
              <w:jc w:val="center"/>
            </w:pPr>
            <w:r>
              <w:t>98%</w:t>
            </w:r>
          </w:p>
        </w:tc>
        <w:tc>
          <w:tcPr>
            <w:tcW w:type="dxa" w:w="1234"/>
          </w:tcPr>
          <w:p>
            <w:pPr>
              <w:jc w:val="center"/>
            </w:pPr>
            <w:r>
              <w:t>74%</w:t>
            </w:r>
          </w:p>
        </w:tc>
        <w:tc>
          <w:tcPr>
            <w:tcW w:type="dxa" w:w="1234"/>
          </w:tcPr>
          <w:p>
            <w:pPr>
              <w:jc w:val="center"/>
            </w:pPr>
            <w:r>
              <w:t>100%</w:t>
            </w:r>
          </w:p>
        </w:tc>
        <w:tc>
          <w:tcPr>
            <w:tcW w:type="dxa" w:w="1234"/>
          </w:tcPr>
          <w:p>
            <w:pPr>
              <w:jc w:val="center"/>
            </w:pPr>
            <w:r>
              <w:t>100%</w:t>
            </w:r>
          </w:p>
        </w:tc>
      </w:tr>
      <w:tr>
        <w:tc>
          <w:tcPr>
            <w:tcW w:type="dxa" w:w="1234"/>
            <w:shd w:fill="D9E8F5"/>
          </w:tcPr>
          <w:p>
            <w:pPr>
              <w:jc w:val="center"/>
            </w:pPr>
            <w:r>
              <w:rPr>
                <w:b/>
              </w:rPr>
              <w:t>7. Run 5 + deterministic correction (all 5 factors) — FINAL</w:t>
            </w:r>
          </w:p>
        </w:tc>
        <w:tc>
          <w:tcPr>
            <w:tcW w:type="dxa" w:w="1234"/>
            <w:shd w:fill="D9E8F5"/>
          </w:tcPr>
          <w:p>
            <w:pPr>
              <w:jc w:val="center"/>
            </w:pPr>
            <w:r>
              <w:rPr>
                <w:b/>
              </w:rPr>
              <w:t>100%</w:t>
            </w:r>
          </w:p>
        </w:tc>
        <w:tc>
          <w:tcPr>
            <w:tcW w:type="dxa" w:w="1234"/>
            <w:shd w:fill="D9E8F5"/>
          </w:tcPr>
          <w:p>
            <w:pPr>
              <w:jc w:val="center"/>
            </w:pPr>
            <w:r>
              <w:rPr>
                <w:b/>
              </w:rPr>
              <w:t>100%</w:t>
            </w:r>
          </w:p>
        </w:tc>
        <w:tc>
          <w:tcPr>
            <w:tcW w:type="dxa" w:w="1234"/>
            <w:shd w:fill="D9E8F5"/>
          </w:tcPr>
          <w:p>
            <w:pPr>
              <w:jc w:val="center"/>
            </w:pPr>
            <w:r>
              <w:rPr>
                <w:b/>
              </w:rPr>
              <w:t>100%</w:t>
            </w:r>
          </w:p>
        </w:tc>
        <w:tc>
          <w:tcPr>
            <w:tcW w:type="dxa" w:w="1234"/>
            <w:shd w:fill="D9E8F5"/>
          </w:tcPr>
          <w:p>
            <w:pPr>
              <w:jc w:val="center"/>
            </w:pPr>
            <w:r>
              <w:rPr>
                <w:b/>
              </w:rPr>
              <w:t>100%</w:t>
            </w:r>
          </w:p>
        </w:tc>
        <w:tc>
          <w:tcPr>
            <w:tcW w:type="dxa" w:w="1234"/>
            <w:shd w:fill="D9E8F5"/>
          </w:tcPr>
          <w:p>
            <w:pPr>
              <w:jc w:val="center"/>
            </w:pPr>
            <w:r>
              <w:rPr>
                <w:b/>
              </w:rPr>
              <w:t>100%</w:t>
            </w:r>
          </w:p>
        </w:tc>
        <w:tc>
          <w:tcPr>
            <w:tcW w:type="dxa" w:w="1234"/>
            <w:shd w:fill="D9E8F5"/>
          </w:tcPr>
          <w:p>
            <w:pPr>
              <w:jc w:val="center"/>
            </w:pPr>
            <w:r>
              <w:rPr>
                <w:b/>
              </w:rPr>
              <w:t>100%</w:t>
            </w:r>
          </w:p>
        </w:tc>
      </w:tr>
    </w:tbl>
    <w:p/>
    <w:p>
      <w:r>
        <w:t>Rows 1-5 are different trained models (different data, epochs, or LoRA rank). Rows 6-7 are the same final model (Row 5), with an added deterministic verification layer applied to its raw output -- no retraining involved in that final improvement.</w:t>
      </w:r>
    </w:p>
    <w:p>
      <w:pPr>
        <w:pStyle w:val="Heading1"/>
      </w:pPr>
      <w:r>
        <w:rPr>
          <w:color w:val="1F4E79"/>
        </w:rPr>
        <w:t>12. Final Project Structure</w:t>
      </w:r>
    </w:p>
    <w:tbl>
      <w:tblPr>
        <w:tblStyle w:val="LightGrid-Accent1"/>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rPr>
              <w:t>File</w:t>
            </w:r>
          </w:p>
        </w:tc>
        <w:tc>
          <w:tcPr>
            <w:tcW w:type="dxa" w:w="4320"/>
            <w:shd w:fill="1F4E79"/>
          </w:tcPr>
          <w:p>
            <w:pPr>
              <w:jc w:val="center"/>
            </w:pPr>
            <w:r>
              <w:rPr>
                <w:b/>
                <w:color w:val="FFFFFF"/>
              </w:rPr>
              <w:t>Role</w:t>
            </w:r>
          </w:p>
        </w:tc>
      </w:tr>
      <w:tr>
        <w:tc>
          <w:tcPr>
            <w:tcW w:type="dxa" w:w="4320"/>
          </w:tcPr>
          <w:p>
            <w:pPr>
              <w:jc w:val="center"/>
            </w:pPr>
            <w:r>
              <w:t>scripts/prompt_format.py</w:t>
            </w:r>
          </w:p>
        </w:tc>
        <w:tc>
          <w:tcPr>
            <w:tcW w:type="dxa" w:w="4320"/>
          </w:tcPr>
          <w:p>
            <w:pPr>
              <w:jc w:val="center"/>
            </w:pPr>
            <w:r>
              <w:t>Single source of truth: system prompt, chat template, and the deterministic post-processing / reconciliation logic.</w:t>
            </w:r>
          </w:p>
        </w:tc>
      </w:tr>
      <w:tr>
        <w:tc>
          <w:tcPr>
            <w:tcW w:type="dxa" w:w="4320"/>
          </w:tcPr>
          <w:p>
            <w:pPr>
              <w:jc w:val="center"/>
            </w:pPr>
            <w:r>
              <w:t>scripts/train.py</w:t>
            </w:r>
          </w:p>
        </w:tc>
        <w:tc>
          <w:tcPr>
            <w:tcW w:type="dxa" w:w="4320"/>
          </w:tcPr>
          <w:p>
            <w:pPr>
              <w:jc w:val="center"/>
            </w:pPr>
            <w:r>
              <w:t>QLoRA fine-tuning script (r=16, 8 epochs), supports resume_from_checkpoint.</w:t>
            </w:r>
          </w:p>
        </w:tc>
      </w:tr>
      <w:tr>
        <w:tc>
          <w:tcPr>
            <w:tcW w:type="dxa" w:w="4320"/>
          </w:tcPr>
          <w:p>
            <w:pPr>
              <w:jc w:val="center"/>
            </w:pPr>
            <w:r>
              <w:t>scripts/inference.py</w:t>
            </w:r>
          </w:p>
        </w:tc>
        <w:tc>
          <w:tcPr>
            <w:tcW w:type="dxa" w:w="4320"/>
          </w:tcPr>
          <w:p>
            <w:pPr>
              <w:jc w:val="center"/>
            </w:pPr>
            <w:r>
              <w:t>Interactive CLI for manual single-lead testing.</w:t>
            </w:r>
          </w:p>
        </w:tc>
      </w:tr>
      <w:tr>
        <w:tc>
          <w:tcPr>
            <w:tcW w:type="dxa" w:w="4320"/>
          </w:tcPr>
          <w:p>
            <w:pPr>
              <w:jc w:val="center"/>
            </w:pPr>
            <w:r>
              <w:t>scripts/serve.py</w:t>
            </w:r>
          </w:p>
        </w:tc>
        <w:tc>
          <w:tcPr>
            <w:tcW w:type="dxa" w:w="4320"/>
          </w:tcPr>
          <w:p>
            <w:pPr>
              <w:jc w:val="center"/>
            </w:pPr>
            <w:r>
              <w:t>FastAPI server for the Spring Boot backend integration (POST /score).</w:t>
            </w:r>
          </w:p>
        </w:tc>
      </w:tr>
      <w:tr>
        <w:tc>
          <w:tcPr>
            <w:tcW w:type="dxa" w:w="4320"/>
          </w:tcPr>
          <w:p>
            <w:pPr>
              <w:jc w:val="center"/>
            </w:pPr>
            <w:r>
              <w:t>scripts/eval_format_consistency.py</w:t>
            </w:r>
          </w:p>
        </w:tc>
        <w:tc>
          <w:tcPr>
            <w:tcW w:type="dxa" w:w="4320"/>
          </w:tcPr>
          <w:p>
            <w:pPr>
              <w:jc w:val="center"/>
            </w:pPr>
            <w:r>
              <w:t>Automated held-out accuracy measurement (the tool behind every number in this report).</w:t>
            </w:r>
          </w:p>
        </w:tc>
      </w:tr>
      <w:tr>
        <w:tc>
          <w:tcPr>
            <w:tcW w:type="dxa" w:w="4320"/>
          </w:tcPr>
          <w:p>
            <w:pPr>
              <w:jc w:val="center"/>
            </w:pPr>
            <w:r>
              <w:t>scripts/validate_dataset.py</w:t>
            </w:r>
          </w:p>
        </w:tc>
        <w:tc>
          <w:tcPr>
            <w:tcW w:type="dxa" w:w="4320"/>
          </w:tcPr>
          <w:p>
            <w:pPr>
              <w:jc w:val="center"/>
            </w:pPr>
            <w:r>
              <w:t>Dataset format contract checker, run before every training pass.</w:t>
            </w:r>
          </w:p>
        </w:tc>
      </w:tr>
      <w:tr>
        <w:tc>
          <w:tcPr>
            <w:tcW w:type="dxa" w:w="4320"/>
          </w:tcPr>
          <w:p>
            <w:pPr>
              <w:jc w:val="center"/>
            </w:pPr>
            <w:r>
              <w:t>scripts/reformat_dataset.py / ground_reasoning.py</w:t>
            </w:r>
          </w:p>
        </w:tc>
        <w:tc>
          <w:tcPr>
            <w:tcW w:type="dxa" w:w="4320"/>
          </w:tcPr>
          <w:p>
            <w:pPr>
              <w:jc w:val="center"/>
            </w:pPr>
            <w:r>
              <w:t>One-time dataset migrations already applied to data/train.jsonl.</w:t>
            </w:r>
          </w:p>
        </w:tc>
      </w:tr>
      <w:tr>
        <w:tc>
          <w:tcPr>
            <w:tcW w:type="dxa" w:w="4320"/>
          </w:tcPr>
          <w:p>
            <w:pPr>
              <w:jc w:val="center"/>
            </w:pPr>
            <w:r>
              <w:t>data/train.jsonl</w:t>
            </w:r>
          </w:p>
        </w:tc>
        <w:tc>
          <w:tcPr>
            <w:tcW w:type="dxa" w:w="4320"/>
          </w:tcPr>
          <w:p>
            <w:pPr>
              <w:jc w:val="center"/>
            </w:pPr>
            <w:r>
              <w:t>500-record training dataset, validated and grounded.</w:t>
            </w:r>
          </w:p>
        </w:tc>
      </w:tr>
    </w:tbl>
    <w:p>
      <w:r>
        <w:br w:type="page"/>
      </w:r>
    </w:p>
    <w:p>
      <w:pPr>
        <w:pStyle w:val="Heading1"/>
      </w:pPr>
      <w:r>
        <w:rPr>
          <w:color w:val="1F4E79"/>
        </w:rPr>
        <w:t>13. Conclusion and Recommended Next Steps</w:t>
      </w:r>
    </w:p>
    <w:p>
      <w:r>
        <w:t>The Phase 1 lead scoring model went from an inconsistent, format-broken pipeline with no reliable accuracy measurement to a fully validated system: 100% format-consistent, 100% Qualification accuracy, 100% Priority accuracy, and 100% exact Lead Score match on held-out data, served end-to-end through a corrected FastAPI endpoint matching the production schema.</w:t>
      </w:r>
    </w:p>
    <w:p>
      <w:r>
        <w:t>Recommended next steps for Phase 2 discussion:</w:t>
      </w:r>
    </w:p>
    <w:p>
      <w:pPr>
        <w:pStyle w:val="ListBullet"/>
      </w:pPr>
      <w:r>
        <w:t>Monitor real production traffic for Customer Requirement phrasing that falls outside the current 20 known templates -- these cases fall back to the model's own judgment, and tracking how often that happens will show whether the model alone is sufficient or whether the template set needs to expand.</w:t>
      </w:r>
    </w:p>
    <w:p>
      <w:pPr>
        <w:pStyle w:val="ListBullet"/>
      </w:pPr>
      <w:r>
        <w:t>Consider whether the Cold/Warm and Warm/Hot Qualification band boundaries (currently a 5-point gap) should be widened as a business/product decision, independent of model accuracy.</w:t>
      </w:r>
    </w:p>
    <w:p>
      <w:pPr>
        <w:pStyle w:val="ListBullet"/>
      </w:pPr>
      <w:r>
        <w:t>Extend the same rigorous accuracy-measurement discipline (real business-metric accuracy, not just training loss) to any future model or Phase 2 feature.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