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200"/>
      </w:pPr>
      <w:r>
        <w:rPr>
          <w:b/>
          <w:sz w:val="32"/>
          <w:szCs w:val="32"/>
        </w:rPr>
        <w:t xml:space="preserve">Sprint Planning 2 - CoreStream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planning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Lunes 5 de octubre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Duracion del 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semanas (05/10/2026 - 16/10/2026)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Scrum Master / Product Owner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Jesus Johnson, Javier Soto, Benjamin Rosales, 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Checkpoint intermedio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Revision de mitad de sprint el lunes 12/10/2026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1. Objetivo del sprint</w:t>
      </w:r>
    </w:p>
    <w:p>
      <w:pPr>
        <w:spacing w:after="120"/>
      </w:pPr>
      <w:r>
        <w:rPr>
          <w:sz w:val="22"/>
          <w:szCs w:val="22"/>
        </w:rPr>
        <w:t xml:space="preserve">Completar el ciclo de vida integral de las incidencias con su trazabilidad (WEB-14), enlazar las notificaciones a los recursos que las originan (WEB-17) y levantar la auditoria de no repudio con retencion escalonada por perfil comercial (TRV-07 y TRV-08), avanzando el visor de auditoria en la interfaz.</w:t>
      </w:r>
    </w:p>
    <w:p>
      <w:pPr>
        <w:spacing w:after="160"/>
      </w:pPr>
      <w:r>
        <w:rPr>
          <w:b/>
          <w:sz w:val="26"/>
          <w:szCs w:val="26"/>
        </w:rPr>
        <w:t xml:space="preserve">2. Entradas del sprint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Product Backlog actualizado tras la Sprint Review 1, con WEB-14 y WEB-17 priorizados por el PO para la semana del 12/10.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Incremento del Sprint 1 como base estable (multi-tenancy, usuarios, notificaciones y WebSocket autenticados).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Capacidad del equipo: 4 integrantes, 10 dias habiles, con practica profesional de Javier Soto los miercoles.</w:t>
      </w:r>
    </w:p>
    <w:p>
      <w:pPr>
        <w:spacing w:after="160"/>
      </w:pPr>
      <w:r>
        <w:rPr>
          <w:b/>
          <w:sz w:val="26"/>
          <w:szCs w:val="26"/>
        </w:rPr>
        <w:t xml:space="preserve">3. Compromiso del sprint (Sprint Backlog)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 / Requerimiento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Responsables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Criterios de aceptacion principales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de vida completo de incidencias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Benjamin Rosales (QA)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Flujo completo: reporte, asignacion, toma, revision, resolucion, cierre, reapertura y comentarios; cada cambio de estado registrado con autor y fecha; incidencias CRITICAL/HIGH abiertas visibles para lideres.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Enlace de notificaciones a recursos y filtrado por tipo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Benjamin Rosales (modelo Notification y filtro)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Exactamente uno de ticket_id/incident_id presente segun el tipo; listado con filtrado opcional por tipo de evento, incluidos INCIDENT_REPORTED e INCIDENT_ASSIGNED.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Auditoria de logs y trazabilidad de no repudio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Javier Soto (visor), Jesus Johnson (backend y contrato)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Registro inmutable de quien, que, cuando, desde donde y con que resultado; timestamp ISO 8601; endpoint de consulta y exportacion acordado entre backend y frontend.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Retencion de logs escalonada por perfil comercial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Javier Soto / Benjamin Rosales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Politica de retencion configurable por tier; exportacion de logs para clientes Enterprise validada.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4. Plan de trabajo por semana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Semana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Jesus Johnson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Javier Soto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Benjamin Rosales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Carlos Medina (PO/SM)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3 (05-09/10)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Diseno de los logs de auditoria (TRV-07) y acuerdo del contrato del endpoint de consulta/exportacion.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 del visor de auditoria con tabla y filtros por usuario, recurso y fecha; espera del contrato de incidencias.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Casos de prueba del visor de auditoria; implementacion de WEB-17 (filtro por tipo, incident_id en Notification); cobertura del ciclo de vida de incidencias.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Cierre de WEB-16; revision del plan de cierre de octubre; priorizacion de WEB-14 y WEB-17.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4 (12-16/10)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Registro de cambios de estado con autor y fecha, y comentarios de incidencia en backend; correccion de transiciones invalidas.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Listado y detalle de incidencias con historial y comentarios; completado del visor con exportacion y retencion escalonada.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Ejecucion de historial y comentarios (10 casos, 1 hallazgo corregido); verificacion de la correccion; prueba de exportacion de logs.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Revision de mitad de sprint (12/10); confirmacion del alcance de octubre; validacion de TRV-08 y de los criterios de WEB-14.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5. Riesgos y acuerdos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WEB-14 exige coordinacion entre backend (transiciones e historial) y frontend (listado y detalle); el contrato se acordara al inicio de la semana 4.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Mientras no se aplique el parche al modelo Notification, los eventos de incidencia se guardan como SYSTEM en el listado; el push si lleva el dato real (pendiente documentado de WEB-17).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NEW-08 y NEW-11 siguen sin priorizar por el PO; no entran a este sprint.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Checkpoint de mitad de sprint el 12/10 para confirmar el alcance de octubre (WEB-14, WEB-15, WEB-17, WEB-18, TRV-07/08/09, NEW-12/14).</w:t>
      </w:r>
    </w:p>
    <w:p>
      <w:pPr>
        <w:spacing w:after="160"/>
      </w:pPr>
      <w:r>
        <w:rPr>
          <w:b/>
          <w:sz w:val="26"/>
          <w:szCs w:val="26"/>
        </w:rPr>
        <w:t xml:space="preserve">6. Definition of Done (comun a todos los sprints)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Codigo integrado en el repositorio y revisado por un par.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Pruebas unitarias y de integracion pasando contra PostgreSQL 15 y Redis 7 reales.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Despliegue verificado en staging.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Criterios de aceptacion verificados por QA (Benjamin Rosales) y registrados en la matriz de pruebas.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Contrato de API y documentacion asociada actualizados.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Aceptacion explicita del Product Owner.</w:t>
      </w:r>
    </w:p>
    <w:sectPr>
      <w:type w:val="nextPage"/>
      <w:pgSz w:w="11906" w:h="16838"/>
      <w:pgMar w:top="1134" w:right="1134" w:bottom="1134" w:left="1134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652</Words>
  <Paragraphs>84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2026-10-24T04:08:00Z</dcterms:created>
  <dcterms:modified xsi:type="dcterms:W3CDTF">2026-10-24T04:08:00Z</dcterms:modified>
</cp:coreProperties>
</file>