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200"/>
      </w:pPr>
      <w:r>
        <w:rPr>
          <w:b/>
          <w:sz w:val="32"/>
          <w:szCs w:val="32"/>
        </w:rPr>
        <w:t xml:space="preserve">Sprint Review 2 - CoreStream</w:t>
      </w:r>
    </w:p>
    <w:p>
      <w:pPr>
        <w:spacing w:after="120"/>
      </w:pPr>
      <w:r>
        <w:rPr>
          <w:sz w:val="22"/>
          <w:szCs w:val="22"/>
        </w:rPr>
        <w:t xml:space="preserve">Proyecto APT: Mejoras de Backend, Seguridad, Incidencias y Notificaciones - CoreStream | Equipo 1 | Cliente: Alloxentric</w:t>
      </w:r>
    </w:p>
    <w:tbl>
      <w:tblPr>
        <w:tblW w:w="5000" w:type="pc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r>
        <w:tc>
          <w:tcPr>
            <w:tcW w:w="0" w:type="auto"/>
            <w:shd w:val="clear" w:color="auto" w:fill="D9E2F3"/>
          </w:tcPr>
          <w:p>
            <w:pPr>
              <w:spacing w:after="40"/>
            </w:pPr>
            <w:r>
              <w:rPr>
                <w:b/>
                <w:sz w:val="20"/>
                <w:szCs w:val="20"/>
              </w:rPr>
              <w:t xml:space="preserve">Campo</w:t>
            </w:r>
          </w:p>
        </w:tc>
        <w:tc>
          <w:tcPr>
            <w:tcW w:w="0" w:type="auto"/>
            <w:shd w:val="clear" w:color="auto" w:fill="D9E2F3"/>
          </w:tcPr>
          <w:p>
            <w:pPr>
              <w:spacing w:after="40"/>
            </w:pPr>
            <w:r>
              <w:rPr>
                <w:b/>
                <w:sz w:val="20"/>
                <w:szCs w:val="20"/>
              </w:rPr>
              <w:t xml:space="preserve">Detalle</w:t>
            </w:r>
          </w:p>
        </w:tc>
      </w:tr>
      <w:tr>
        <w:tc>
          <w:tcPr>
            <w:tcW w:w="0" w:type="auto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Sprint</w:t>
            </w:r>
          </w:p>
        </w:tc>
        <w:tc>
          <w:tcPr>
            <w:tcW w:w="0" w:type="auto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Sprint 2 (05/10/2026 - 16/10/2026)</w:t>
            </w:r>
          </w:p>
        </w:tc>
      </w:tr>
      <w:tr>
        <w:tc>
          <w:tcPr>
            <w:tcW w:w="0" w:type="auto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Fecha de la review</w:t>
            </w:r>
          </w:p>
        </w:tc>
        <w:tc>
          <w:tcPr>
            <w:tcW w:w="0" w:type="auto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Viernes 16 de octubre de 2026</w:t>
            </w:r>
          </w:p>
        </w:tc>
      </w:tr>
      <w:tr>
        <w:tc>
          <w:tcPr>
            <w:tcW w:w="0" w:type="auto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Asistentes</w:t>
            </w:r>
          </w:p>
        </w:tc>
        <w:tc>
          <w:tcPr>
            <w:tcW w:w="0" w:type="auto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Carlos Medina (PO/SM), Jesus Johnson, Javier Soto, Benjamin Rosales</w:t>
            </w:r>
          </w:p>
        </w:tc>
      </w:tr>
      <w:tr>
        <w:tc>
          <w:tcPr>
            <w:tcW w:w="0" w:type="auto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Incremento</w:t>
            </w:r>
          </w:p>
        </w:tc>
        <w:tc>
          <w:tcPr>
            <w:tcW w:w="0" w:type="auto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Ciclo de vida de incidencias + notificaciones enlazadas + auditoria con retencion escalonada</w:t>
            </w:r>
          </w:p>
        </w:tc>
      </w:tr>
    </w:tbl>
    <w:p>
      <w:pPr>
        <w:spacing w:after="120"/>
      </w:pPr>
      <w:r>
        <w:rPr>
          <w:sz w:val="22"/>
          <w:szCs w:val="22"/>
        </w:rPr>
        <w:t xml:space="preserve"/>
      </w:r>
    </w:p>
    <w:p>
      <w:pPr>
        <w:spacing w:after="160"/>
      </w:pPr>
      <w:r>
        <w:rPr>
          <w:b/>
          <w:sz w:val="26"/>
          <w:szCs w:val="26"/>
        </w:rPr>
        <w:t xml:space="preserve">1. Incremento presentado (demo)</w:t>
      </w:r>
    </w:p>
    <w:p>
      <w:pPr>
        <w:spacing w:after="80"/>
        <w:ind w:left="360" w:hanging="180"/>
      </w:pPr>
      <w:r>
        <w:rPr>
          <w:sz w:val="22"/>
          <w:szCs w:val="22"/>
        </w:rPr>
        <w:t xml:space="preserve">- WEB-14: ciclo de vida completo de la incidencia (reporte, asignacion, toma, revision, resolucion, cierre, reapertura y comentarios) con historial de estados registrado con autor y fecha; listado y detalle en la interfaz.</w:t>
      </w:r>
    </w:p>
    <w:p>
      <w:pPr>
        <w:spacing w:after="80"/>
        <w:ind w:left="360" w:hanging="180"/>
      </w:pPr>
      <w:r>
        <w:rPr>
          <w:sz w:val="22"/>
          <w:szCs w:val="22"/>
        </w:rPr>
        <w:t xml:space="preserve">- WEB-17: modelo Notification actualizado con incident_id y tipos INCIDENT_REPORTED/INCIDENT_ASSIGNED; filtro por tipo de evento en el listado; cada notificacion enlaza al recurso que la origina.</w:t>
      </w:r>
    </w:p>
    <w:p>
      <w:pPr>
        <w:spacing w:after="80"/>
        <w:ind w:left="360" w:hanging="180"/>
      </w:pPr>
      <w:r>
        <w:rPr>
          <w:sz w:val="22"/>
          <w:szCs w:val="22"/>
        </w:rPr>
        <w:t xml:space="preserve">- TRV-07: visor de auditoria con tabla y filtros por usuario, recurso y fecha, endpoint de consulta y exportacion de logs.</w:t>
      </w:r>
    </w:p>
    <w:p>
      <w:pPr>
        <w:spacing w:after="80"/>
        <w:ind w:left="360" w:hanging="180"/>
      </w:pPr>
      <w:r>
        <w:rPr>
          <w:sz w:val="22"/>
          <w:szCs w:val="22"/>
        </w:rPr>
        <w:t xml:space="preserve">- TRV-08: retencion escalonada por perfil comercial y exportacion de logs para clientes Enterprise, validadas por el PO.</w:t>
      </w:r>
    </w:p>
    <w:p>
      <w:pPr>
        <w:spacing w:after="160"/>
      </w:pPr>
      <w:r>
        <w:rPr>
          <w:b/>
          <w:sz w:val="26"/>
          <w:szCs w:val="26"/>
        </w:rPr>
        <w:t xml:space="preserve">2. Resultados frente al compromiso</w:t>
      </w:r>
    </w:p>
    <w:tbl>
      <w:tblPr>
        <w:tblW w:w="5000" w:type="pc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r>
        <w:tc>
          <w:tcPr>
            <w:tcW w:w="0" w:type="auto"/>
            <w:shd w:val="clear" w:color="auto" w:fill="D9E2F3"/>
          </w:tcPr>
          <w:p>
            <w:pPr>
              <w:spacing w:after="40"/>
            </w:pPr>
            <w:r>
              <w:rPr>
                <w:b/>
                <w:sz w:val="20"/>
                <w:szCs w:val="20"/>
              </w:rPr>
              <w:t xml:space="preserve">ID</w:t>
            </w:r>
          </w:p>
        </w:tc>
        <w:tc>
          <w:tcPr>
            <w:tcW w:w="0" w:type="auto"/>
            <w:shd w:val="clear" w:color="auto" w:fill="D9E2F3"/>
          </w:tcPr>
          <w:p>
            <w:pPr>
              <w:spacing w:after="40"/>
            </w:pPr>
            <w:r>
              <w:rPr>
                <w:b/>
                <w:sz w:val="20"/>
                <w:szCs w:val="20"/>
              </w:rPr>
              <w:t xml:space="preserve">Historia</w:t>
            </w:r>
          </w:p>
        </w:tc>
        <w:tc>
          <w:tcPr>
            <w:tcW w:w="0" w:type="auto"/>
            <w:shd w:val="clear" w:color="auto" w:fill="D9E2F3"/>
          </w:tcPr>
          <w:p>
            <w:pPr>
              <w:spacing w:after="40"/>
            </w:pPr>
            <w:r>
              <w:rPr>
                <w:b/>
                <w:sz w:val="20"/>
                <w:szCs w:val="20"/>
              </w:rPr>
              <w:t xml:space="preserve">Puntos</w:t>
            </w:r>
          </w:p>
        </w:tc>
        <w:tc>
          <w:tcPr>
            <w:tcW w:w="0" w:type="auto"/>
            <w:shd w:val="clear" w:color="auto" w:fill="D9E2F3"/>
          </w:tcPr>
          <w:p>
            <w:pPr>
              <w:spacing w:after="40"/>
            </w:pPr>
            <w:r>
              <w:rPr>
                <w:b/>
                <w:sz w:val="20"/>
                <w:szCs w:val="20"/>
              </w:rPr>
              <w:t xml:space="preserve">Estado</w:t>
            </w:r>
          </w:p>
        </w:tc>
        <w:tc>
          <w:tcPr>
            <w:tcW w:w="0" w:type="auto"/>
            <w:shd w:val="clear" w:color="auto" w:fill="D9E2F3"/>
          </w:tcPr>
          <w:p>
            <w:pPr>
              <w:spacing w:after="40"/>
            </w:pPr>
            <w:r>
              <w:rPr>
                <w:b/>
                <w:sz w:val="20"/>
                <w:szCs w:val="20"/>
              </w:rPr>
              <w:t xml:space="preserve">Evidencia</w:t>
            </w:r>
          </w:p>
        </w:tc>
      </w:tr>
      <w:tr>
        <w:tc>
          <w:tcPr>
            <w:tcW w:w="0" w:type="auto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WEB-14</w:t>
            </w:r>
          </w:p>
        </w:tc>
        <w:tc>
          <w:tcPr>
            <w:tcW w:w="0" w:type="auto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Ciclo de vida de incidencias</w:t>
            </w:r>
          </w:p>
        </w:tc>
        <w:tc>
          <w:tcPr>
            <w:tcW w:w="0" w:type="auto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13</w:t>
            </w:r>
          </w:p>
        </w:tc>
        <w:tc>
          <w:tcPr>
            <w:tcW w:w="0" w:type="auto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Aceptado con ajustes</w:t>
            </w:r>
          </w:p>
        </w:tc>
        <w:tc>
          <w:tcPr>
            <w:tcW w:w="0" w:type="auto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QA cubrio asignacion, revision, resolucion, cierre y reapertura; historial y comentarios: 10 casos OK y 1 hallazgo en una transicion invalida, corregido y verificado.</w:t>
            </w:r>
          </w:p>
        </w:tc>
      </w:tr>
      <w:tr>
        <w:tc>
          <w:tcPr>
            <w:tcW w:w="0" w:type="auto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WEB-17</w:t>
            </w:r>
          </w:p>
        </w:tc>
        <w:tc>
          <w:tcPr>
            <w:tcW w:w="0" w:type="auto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Notificaciones enlazadas</w:t>
            </w:r>
          </w:p>
        </w:tc>
        <w:tc>
          <w:tcPr>
            <w:tcW w:w="0" w:type="auto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w="0" w:type="auto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Aceptado</w:t>
            </w:r>
          </w:p>
        </w:tc>
        <w:tc>
          <w:tcPr>
            <w:tcW w:w="0" w:type="auto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incident_id y tipos INCIDENT_* implementados; filtro por tipo verificado; pendiente documentado del parche del modelo para el listado historico.</w:t>
            </w:r>
          </w:p>
        </w:tc>
      </w:tr>
      <w:tr>
        <w:tc>
          <w:tcPr>
            <w:tcW w:w="0" w:type="auto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TRV-07</w:t>
            </w:r>
          </w:p>
        </w:tc>
        <w:tc>
          <w:tcPr>
            <w:tcW w:w="0" w:type="auto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Auditoria de no repudio</w:t>
            </w:r>
          </w:p>
        </w:tc>
        <w:tc>
          <w:tcPr>
            <w:tcW w:w="0" w:type="auto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13</w:t>
            </w:r>
          </w:p>
        </w:tc>
        <w:tc>
          <w:tcPr>
            <w:tcW w:w="0" w:type="auto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Aceptado</w:t>
            </w:r>
          </w:p>
        </w:tc>
        <w:tc>
          <w:tcPr>
            <w:tcW w:w="0" w:type="auto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Visor construido y completado con exportacion; contrato del endpoint acordado entre Backend y Frontend.</w:t>
            </w:r>
          </w:p>
        </w:tc>
      </w:tr>
      <w:tr>
        <w:tc>
          <w:tcPr>
            <w:tcW w:w="0" w:type="auto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TRV-08</w:t>
            </w:r>
          </w:p>
        </w:tc>
        <w:tc>
          <w:tcPr>
            <w:tcW w:w="0" w:type="auto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Retencion escalonada</w:t>
            </w:r>
          </w:p>
        </w:tc>
        <w:tc>
          <w:tcPr>
            <w:tcW w:w="0" w:type="auto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8</w:t>
            </w:r>
          </w:p>
        </w:tc>
        <w:tc>
          <w:tcPr>
            <w:tcW w:w="0" w:type="auto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Aceptado</w:t>
            </w:r>
          </w:p>
        </w:tc>
        <w:tc>
          <w:tcPr>
            <w:tcW w:w="0" w:type="auto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Politica por tier validada por el PO el 15/10; exportacion para Enterprise probada por QA.</w:t>
            </w:r>
          </w:p>
        </w:tc>
      </w:tr>
      <w:tr>
        <w:tc>
          <w:tcPr>
            <w:tcW w:w="0" w:type="auto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TOTAL</w:t>
            </w:r>
          </w:p>
        </w:tc>
        <w:tc>
          <w:tcPr>
            <w:tcW w:w="0" w:type="auto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Compromiso cumplido</w:t>
            </w:r>
          </w:p>
        </w:tc>
        <w:tc>
          <w:tcPr>
            <w:tcW w:w="0" w:type="auto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39</w:t>
            </w:r>
          </w:p>
        </w:tc>
        <w:tc>
          <w:tcPr>
            <w:tcW w:w="0" w:type="auto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39 de 39 puntos entregados</w:t>
            </w:r>
          </w:p>
        </w:tc>
        <w:tc>
          <w:tcPr>
            <w:tcW w:w="0" w:type="auto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1 hallazgo de QA corregido dentro del sprint</w:t>
            </w:r>
          </w:p>
        </w:tc>
      </w:tr>
    </w:tbl>
    <w:p>
      <w:pPr>
        <w:spacing w:after="120"/>
      </w:pPr>
      <w:r>
        <w:rPr>
          <w:sz w:val="22"/>
          <w:szCs w:val="22"/>
        </w:rPr>
        <w:t xml:space="preserve"/>
      </w:r>
    </w:p>
    <w:p>
      <w:pPr>
        <w:spacing w:after="160"/>
      </w:pPr>
      <w:r>
        <w:rPr>
          <w:b/>
          <w:sz w:val="26"/>
          <w:szCs w:val="26"/>
        </w:rPr>
        <w:t xml:space="preserve">3. Hallazgos y feedback</w:t>
      </w:r>
    </w:p>
    <w:p>
      <w:pPr>
        <w:spacing w:after="80"/>
        <w:ind w:left="360" w:hanging="180"/>
      </w:pPr>
      <w:r>
        <w:rPr>
          <w:sz w:val="22"/>
          <w:szCs w:val="22"/>
        </w:rPr>
        <w:t xml:space="preserve">- Hallazgo (WEB-14): transicion de estado invalida aceptada por el backend; corregida por Jesus Johnson el 15/10 y verificada por QA el 16/10.</w:t>
      </w:r>
    </w:p>
    <w:p>
      <w:pPr>
        <w:spacing w:after="80"/>
        <w:ind w:left="360" w:hanging="180"/>
      </w:pPr>
      <w:r>
        <w:rPr>
          <w:sz w:val="22"/>
          <w:szCs w:val="22"/>
        </w:rPr>
        <w:t xml:space="preserve">- El PO sostuvo la revision de mitad de sprint el 12/10 y confirmo el alcance de octubre; NEW-08 y NEW-11 permanecen sin priorizar.</w:t>
      </w:r>
    </w:p>
    <w:p>
      <w:pPr>
        <w:spacing w:after="80"/>
        <w:ind w:left="360" w:hanging="180"/>
      </w:pPr>
      <w:r>
        <w:rPr>
          <w:sz w:val="22"/>
          <w:szCs w:val="22"/>
        </w:rPr>
        <w:t xml:space="preserve">- NEW-12 (webhooks salientes) se cerro con el commit del sabado 17/10, fuera de la ventana del sprint; su demo se agenda para la Sprint Review 3.</w:t>
      </w:r>
    </w:p>
    <w:p>
      <w:pPr>
        <w:spacing w:after="160"/>
      </w:pPr>
      <w:r>
        <w:rPr>
          <w:b/>
          <w:sz w:val="26"/>
          <w:szCs w:val="26"/>
        </w:rPr>
        <w:t xml:space="preserve">4. Metricas del sprint</w:t>
      </w:r>
    </w:p>
    <w:tbl>
      <w:tblPr>
        <w:tblW w:w="5000" w:type="pc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r>
        <w:tc>
          <w:tcPr>
            <w:tcW w:w="0" w:type="auto"/>
            <w:shd w:val="clear" w:color="auto" w:fill="D9E2F3"/>
          </w:tcPr>
          <w:p>
            <w:pPr>
              <w:spacing w:after="40"/>
            </w:pPr>
            <w:r>
              <w:rPr>
                <w:b/>
                <w:sz w:val="20"/>
                <w:szCs w:val="20"/>
              </w:rPr>
              <w:t xml:space="preserve">Metrica</w:t>
            </w:r>
          </w:p>
        </w:tc>
        <w:tc>
          <w:tcPr>
            <w:tcW w:w="0" w:type="auto"/>
            <w:shd w:val="clear" w:color="auto" w:fill="D9E2F3"/>
          </w:tcPr>
          <w:p>
            <w:pPr>
              <w:spacing w:after="40"/>
            </w:pPr>
            <w:r>
              <w:rPr>
                <w:b/>
                <w:sz w:val="20"/>
                <w:szCs w:val="20"/>
              </w:rPr>
              <w:t xml:space="preserve">Valor</w:t>
            </w:r>
          </w:p>
        </w:tc>
      </w:tr>
      <w:tr>
        <w:tc>
          <w:tcPr>
            <w:tcW w:w="0" w:type="auto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Puntos comprometidos</w:t>
            </w:r>
          </w:p>
        </w:tc>
        <w:tc>
          <w:tcPr>
            <w:tcW w:w="0" w:type="auto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39</w:t>
            </w:r>
          </w:p>
        </w:tc>
      </w:tr>
      <w:tr>
        <w:tc>
          <w:tcPr>
            <w:tcW w:w="0" w:type="auto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Puntos entregados y aceptados</w:t>
            </w:r>
          </w:p>
        </w:tc>
        <w:tc>
          <w:tcPr>
            <w:tcW w:w="0" w:type="auto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39 (100%)</w:t>
            </w:r>
          </w:p>
        </w:tc>
      </w:tr>
      <w:tr>
        <w:tc>
          <w:tcPr>
            <w:tcW w:w="0" w:type="auto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Hallazgos de QA</w:t>
            </w:r>
          </w:p>
        </w:tc>
        <w:tc>
          <w:tcPr>
            <w:tcW w:w="0" w:type="auto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1 (corregido y verificado en el sprint)</w:t>
            </w:r>
          </w:p>
        </w:tc>
      </w:tr>
      <w:tr>
        <w:tc>
          <w:tcPr>
            <w:tcW w:w="0" w:type="auto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Checkpoint de mitad de sprint</w:t>
            </w:r>
          </w:p>
        </w:tc>
        <w:tc>
          <w:tcPr>
            <w:tcW w:w="0" w:type="auto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12/10: alcance de octubre confirmado</w:t>
            </w:r>
          </w:p>
        </w:tc>
      </w:tr>
    </w:tbl>
    <w:p>
      <w:pPr>
        <w:spacing w:after="120"/>
      </w:pPr>
      <w:r>
        <w:rPr>
          <w:sz w:val="22"/>
          <w:szCs w:val="22"/>
        </w:rPr>
        <w:t xml:space="preserve"/>
      </w:r>
    </w:p>
    <w:p>
      <w:pPr>
        <w:spacing w:after="160"/>
      </w:pPr>
      <w:r>
        <w:rPr>
          <w:b/>
          <w:sz w:val="26"/>
          <w:szCs w:val="26"/>
        </w:rPr>
        <w:t xml:space="preserve">5. Decisiones para el proximo sprint</w:t>
      </w:r>
    </w:p>
    <w:p>
      <w:pPr>
        <w:spacing w:after="80"/>
        <w:ind w:left="360" w:hanging="180"/>
      </w:pPr>
      <w:r>
        <w:rPr>
          <w:sz w:val="22"/>
          <w:szCs w:val="22"/>
        </w:rPr>
        <w:t xml:space="preserve">- Sprint 3 de cierre de octubre: WEB-15 (panel de estadisticas), WEB-18 (analitica de trabajo), TRV-09 (contenerizacion y escala horizontal), NEW-12 y NEW-14.</w:t>
      </w:r>
    </w:p>
    <w:p>
      <w:pPr>
        <w:spacing w:after="80"/>
        <w:ind w:left="360" w:hanging="180"/>
      </w:pPr>
      <w:r>
        <w:rPr>
          <w:sz w:val="22"/>
          <w:szCs w:val="22"/>
        </w:rPr>
        <w:t xml:space="preserve">- NEW-08 (2FA/SSO) y NEW-11 (panel de planes) quedan formalmente como deuda priorizable en el Product Backlog.</w:t>
      </w:r>
    </w:p>
    <w:p>
      <w:pPr>
        <w:spacing w:after="80"/>
        <w:ind w:left="360" w:hanging="180"/>
      </w:pPr>
      <w:r>
        <w:rPr>
          <w:sz w:val="22"/>
          <w:szCs w:val="22"/>
        </w:rPr>
        <w:t xml:space="preserve">- El visor de auditoria (NEW-14) pasa a cierre con correccion del filtro de fechas detectada en revision.</w:t>
      </w:r>
    </w:p>
    <w:sectPr>
      <w:pgSz w:w="11906" w:h="16838"/>
      <w:pgMar w:top="1134" w:right="1134" w:bottom="1134" w:left="1134"/>
    </w:sectPr>
  </w:body>
</w:document>
</file>