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spacing w:after="120" w:lineRule="auto"/>
              <w:rPr/>
            </w:pPr>
            <w:r w:rsidDel="00000000" w:rsidR="00000000" w:rsidRPr="00000000">
              <w:rPr>
                <w:rtl w:val="0"/>
              </w:rPr>
              <w:t xml:space="preserve">Mejoras de Backend, Seguridad, Incidencias y Notificaciones — CoreStream</w:t>
            </w:r>
          </w:p>
          <w:p w:rsidR="00000000" w:rsidDel="00000000" w:rsidP="00000000" w:rsidRDefault="00000000" w:rsidRPr="00000000" w14:paraId="00000010">
            <w:pPr>
              <w:spacing w:after="120" w:lineRule="auto"/>
              <w:rPr/>
            </w:pPr>
            <w:r w:rsidDel="00000000" w:rsidR="00000000" w:rsidRPr="00000000">
              <w:rPr>
                <w:rtl w:val="0"/>
              </w:rPr>
              <w:t xml:space="preserve">Equipo 1 · Cliente: Alloxentric · Agosto a diciembre de 2026</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2">
            <w:pPr>
              <w:spacing w:after="120" w:lineRule="auto"/>
              <w:rPr/>
            </w:pPr>
            <w:r w:rsidDel="00000000" w:rsidR="00000000" w:rsidRPr="00000000">
              <w:rPr>
                <w:rtl w:val="0"/>
              </w:rPr>
              <w:t xml:space="preserve">• Ingeniería de Software</w:t>
            </w:r>
          </w:p>
          <w:p w:rsidR="00000000" w:rsidDel="00000000" w:rsidP="00000000" w:rsidRDefault="00000000" w:rsidRPr="00000000" w14:paraId="00000013">
            <w:pPr>
              <w:spacing w:after="120" w:lineRule="auto"/>
              <w:rPr/>
            </w:pPr>
            <w:r w:rsidDel="00000000" w:rsidR="00000000" w:rsidRPr="00000000">
              <w:rPr>
                <w:rtl w:val="0"/>
              </w:rPr>
              <w:t xml:space="preserve">• Gestión de Proyectos TI y Metodologías Ágiles</w:t>
            </w:r>
          </w:p>
          <w:p w:rsidR="00000000" w:rsidDel="00000000" w:rsidP="00000000" w:rsidRDefault="00000000" w:rsidRPr="00000000" w14:paraId="00000014">
            <w:pPr>
              <w:spacing w:after="120" w:lineRule="auto"/>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spacing w:after="120" w:lineRule="auto"/>
              <w:rPr/>
            </w:pPr>
            <w:r w:rsidDel="00000000" w:rsidR="00000000" w:rsidRPr="00000000">
              <w:rPr>
                <w:rtl w:val="0"/>
              </w:rPr>
              <w:t xml:space="preserve">• Diseñar e implementar soluciones de software escalables utilizando arquitecturas modernas y sistemas web.</w:t>
            </w:r>
          </w:p>
          <w:p w:rsidR="00000000" w:rsidDel="00000000" w:rsidP="00000000" w:rsidRDefault="00000000" w:rsidRPr="00000000" w14:paraId="00000018">
            <w:pPr>
              <w:spacing w:after="120" w:lineRule="auto"/>
              <w:rPr/>
            </w:pPr>
            <w:r w:rsidDel="00000000" w:rsidR="00000000" w:rsidRPr="00000000">
              <w:rPr>
                <w:rtl w:val="0"/>
              </w:rPr>
              <w:t xml:space="preserve">• Aplicar metodologías de desarrollo ágil centradas en métricas de rendimiento y optimización de flujos de trabajo.</w:t>
            </w:r>
          </w:p>
        </w:tc>
      </w:tr>
    </w:tbl>
    <w:p w:rsidR="00000000" w:rsidDel="00000000" w:rsidP="00000000" w:rsidRDefault="00000000" w:rsidRPr="00000000" w14:paraId="00000019">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A">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D">
            <w:pPr>
              <w:spacing w:after="120" w:lineRule="auto"/>
              <w:rPr/>
            </w:pPr>
            <w:r w:rsidDel="00000000" w:rsidR="00000000" w:rsidRPr="00000000">
              <w:rPr>
                <w:rtl w:val="0"/>
              </w:rPr>
              <w:t xml:space="preserve">CoreStream es una plataforma web de gestión de proyectos, tickets e incidencias propiedad de Alloxentric, con una primera versión aceptada en julio de 2025 y en producción desde entonces. Ese punto de partida no cubría lo que el negocio necesita ahora: ofrecerla como servicio a varias empresas cliente sobre una misma infraestructura, con planes comerciales distintos.</w:t>
            </w:r>
          </w:p>
          <w:p w:rsidR="00000000" w:rsidDel="00000000" w:rsidP="00000000" w:rsidRDefault="00000000" w:rsidRPr="00000000" w14:paraId="0000001E">
            <w:pPr>
              <w:spacing w:after="120" w:lineRule="auto"/>
              <w:rPr/>
            </w:pPr>
            <w:r w:rsidDel="00000000" w:rsidR="00000000" w:rsidRPr="00000000">
              <w:rPr>
                <w:rtl w:val="0"/>
              </w:rPr>
              <w:t xml:space="preserve">El proyecto desarrolla las capacidades que faltaban para ese salto e integra las mejoras necesarias sobre lo ya entregado. No son retoques: el aislamiento multi-cliente, el control de acceso por plan comercial, la auditoría de no repudio y la retención escalonada son subsistemas completos que no existían en ninguna forma en el código de partida.</w:t>
            </w:r>
          </w:p>
          <w:p w:rsidR="00000000" w:rsidDel="00000000" w:rsidP="00000000" w:rsidRDefault="00000000" w:rsidRPr="00000000" w14:paraId="0000001F">
            <w:pPr>
              <w:spacing w:after="120" w:lineRule="auto"/>
              <w:rPr/>
            </w:pPr>
            <w:r w:rsidDel="00000000" w:rsidR="00000000" w:rsidRPr="00000000">
              <w:rPr>
                <w:rtl w:val="0"/>
              </w:rPr>
              <w:t xml:space="preserve">Sobre la base de partida eso era imposible. Los datos de todos los clientes compartían la misma base sin ningún filtro, de modo que cualquier consulta mal escrita habría expuesto información ajena. No existía forma de limitar funciones según el plan contratado, así que todo cliente accedía a todo. Y no quedaba constancia de quién hacía qué dentro del sistema, lo que impedía responder ante una auditoría.</w:t>
            </w:r>
          </w:p>
          <w:p w:rsidR="00000000" w:rsidDel="00000000" w:rsidP="00000000" w:rsidRDefault="00000000" w:rsidRPr="00000000" w14:paraId="00000020">
            <w:pPr>
              <w:spacing w:after="120" w:lineRule="auto"/>
              <w:rPr/>
            </w:pPr>
            <w:r w:rsidDel="00000000" w:rsidR="00000000" w:rsidRPr="00000000">
              <w:rPr>
                <w:rtl w:val="0"/>
              </w:rPr>
              <w:t xml:space="preserve">A eso se sumaban tres fallos en funciones ya entregadas —el cierre de sesión no revocaba el testigo, algunas notificaciones perdían el enlace a su incidencia y convivían dos canales de tiempo real, uno de ellos sin autenticar— y diez funciones que la especificación daba por hechas sin que nadie las hubiera confirmado.</w:t>
            </w:r>
          </w:p>
          <w:p w:rsidR="00000000" w:rsidDel="00000000" w:rsidP="00000000" w:rsidRDefault="00000000" w:rsidRPr="00000000" w14:paraId="00000021">
            <w:pPr>
              <w:spacing w:after="120" w:lineRule="auto"/>
              <w:rPr/>
            </w:pPr>
            <w:r w:rsidDel="00000000" w:rsidR="00000000" w:rsidRPr="00000000">
              <w:rPr>
                <w:rtl w:val="0"/>
              </w:rPr>
              <w:t xml:space="preserve">La relevancia es directa: sin este desarrollo, Alloxentric no puede vender CoreStream como producto multi-cliente. Es la condición para que el sistema pase de servir a una empresa a servir a muchas, con las garantías de seguridad y trazabilidad que ese salto exige.</w:t>
            </w:r>
          </w:p>
        </w:tc>
      </w:tr>
      <w:tr>
        <w:trPr>
          <w:cantSplit w:val="0"/>
          <w:trHeight w:val="838"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3">
            <w:pPr>
              <w:spacing w:after="120" w:lineRule="auto"/>
              <w:rPr/>
            </w:pPr>
            <w:r w:rsidDel="00000000" w:rsidR="00000000" w:rsidRPr="00000000">
              <w:rPr>
                <w:b w:val="1"/>
                <w:bCs w:val="1"/>
                <w:color w:val="046b74"/>
                <w:rtl w:val="0"/>
              </w:rPr>
              <w:t xml:space="preserve">Objetivo general</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tl w:val="0"/>
              </w:rPr>
              <w:t xml:space="preserve">Desarrollar sobre el backend de CoreStream las capacidades que le faltan para operar como servicio para varias empresas cliente, con control de acceso por plan comercial y trazabilidad de las acciones, corrigiendo los fallos detectados y verificando con pruebas lo ya entregado, sin dañar ninguna función aceptada por Alloxentric.</w:t>
            </w:r>
          </w:p>
          <w:p w:rsidR="00000000" w:rsidDel="00000000" w:rsidP="00000000" w:rsidRDefault="00000000" w:rsidRPr="00000000" w14:paraId="00000025">
            <w:pPr>
              <w:spacing w:after="120" w:lineRule="auto"/>
              <w:rPr/>
            </w:pPr>
            <w:r w:rsidDel="00000000" w:rsidR="00000000" w:rsidRPr="00000000">
              <w:rPr>
                <w:b w:val="1"/>
                <w:bCs w:val="1"/>
                <w:color w:val="046b74"/>
                <w:rtl w:val="0"/>
              </w:rPr>
              <w:t xml:space="preserve">Objetivos específicos</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tl w:val="0"/>
              </w:rPr>
              <w:t xml:space="preserve">1. Preparar CoreStream para trabajar con más de una empresa cliente, separando los datos de cada una.</w:t>
            </w:r>
          </w:p>
          <w:p w:rsidR="00000000" w:rsidDel="00000000" w:rsidP="00000000" w:rsidRDefault="00000000" w:rsidRPr="00000000" w14:paraId="00000027">
            <w:pPr>
              <w:spacing w:after="120" w:lineRule="auto"/>
              <w:rPr/>
            </w:pPr>
            <w:r w:rsidDel="00000000" w:rsidR="00000000" w:rsidRPr="00000000">
              <w:rPr>
                <w:rtl w:val="0"/>
              </w:rPr>
              <w:t xml:space="preserve">2. Dejar un registro claro de las acciones importantes del sistema y conservarlo el tiempo que corresponda.</w:t>
            </w:r>
          </w:p>
          <w:p w:rsidR="00000000" w:rsidDel="00000000" w:rsidP="00000000" w:rsidRDefault="00000000" w:rsidRPr="00000000" w14:paraId="00000028">
            <w:pPr>
              <w:spacing w:after="120" w:lineRule="auto"/>
              <w:rPr/>
            </w:pPr>
            <w:r w:rsidDel="00000000" w:rsidR="00000000" w:rsidRPr="00000000">
              <w:rPr>
                <w:rtl w:val="0"/>
              </w:rPr>
              <w:t xml:space="preserve">3. Corregir los puntos pendientes detectados: cierre de sesión, enlace de notificaciones y canal de tiempo real.</w:t>
            </w:r>
          </w:p>
          <w:p w:rsidR="00000000" w:rsidDel="00000000" w:rsidP="00000000" w:rsidRDefault="00000000" w:rsidRPr="00000000" w14:paraId="00000029">
            <w:pPr>
              <w:spacing w:after="120" w:lineRule="auto"/>
              <w:rPr/>
            </w:pPr>
            <w:r w:rsidDel="00000000" w:rsidR="00000000" w:rsidRPr="00000000">
              <w:rPr>
                <w:rtl w:val="0"/>
              </w:rPr>
              <w:t xml:space="preserve">4. Confirmar con pruebas que las funciones que la especificación da por existentes realmente funcionan.</w:t>
            </w:r>
          </w:p>
          <w:p w:rsidR="00000000" w:rsidDel="00000000" w:rsidP="00000000" w:rsidRDefault="00000000" w:rsidRPr="00000000" w14:paraId="0000002A">
            <w:pPr>
              <w:spacing w:after="120" w:lineRule="auto"/>
              <w:rPr/>
            </w:pPr>
            <w:r w:rsidDel="00000000" w:rsidR="00000000" w:rsidRPr="00000000">
              <w:rPr>
                <w:rtl w:val="0"/>
              </w:rPr>
              <w:t xml:space="preserve">5. Implementar las nuevas capacidades avanzadas de plataforma: autenticación multifactor (2FA/TOTP), panel de gestión de planes comerciales y feature flags, integraciones salientes por webhooks y visor de eventos de auditoría.</w:t>
            </w:r>
          </w:p>
        </w:tc>
      </w:tr>
      <w:tr>
        <w:trPr>
          <w:cantSplit w:val="0"/>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C">
            <w:pPr>
              <w:spacing w:after="120" w:lineRule="auto"/>
              <w:rPr/>
            </w:pPr>
            <w:r w:rsidDel="00000000" w:rsidR="00000000" w:rsidRPr="00000000">
              <w:rPr>
                <w:b w:val="1"/>
                <w:bCs w:val="1"/>
                <w:color w:val="046b74"/>
                <w:rtl w:val="0"/>
              </w:rPr>
              <w:t xml:space="preserve">Metodología: Scrum</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tl w:val="0"/>
              </w:rPr>
              <w:t xml:space="preserve">El equipo trabajó con Scrum, con Carlos Medina como Scrum Master además de Jefe de Proyecto. Los artefactos que lo respaldan están entre los entregables: product backlog con puntos de historia, sprint backlog con actividades y horas, registro de daily standups y actas de dos reuniones retrospectivas.</w:t>
            </w:r>
          </w:p>
          <w:p w:rsidR="00000000" w:rsidDel="00000000" w:rsidP="00000000" w:rsidRDefault="00000000" w:rsidRPr="00000000" w14:paraId="0000002E">
            <w:pPr>
              <w:spacing w:after="120" w:lineRule="auto"/>
              <w:rPr/>
            </w:pPr>
            <w:r w:rsidDel="00000000" w:rsidR="00000000" w:rsidRPr="00000000">
              <w:rPr>
                <w:b w:val="1"/>
                <w:bCs w:val="1"/>
                <w:color w:val="046b74"/>
                <w:rtl w:val="0"/>
              </w:rPr>
              <w:t xml:space="preserve">Por qué es pertinente</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tl w:val="0"/>
              </w:rPr>
              <w:t xml:space="preserve">El alcance contempló 19 mejoras de alta diversidad técnica e impacto sistémico —doce a construir desde cero (las 4 transversales y las 4 nuevas capacidades), tres a corregir y siete a verificar— sobre un sistema en producción</w:t>
            </w:r>
          </w:p>
          <w:p w:rsidR="00000000" w:rsidDel="00000000" w:rsidP="00000000" w:rsidRDefault="00000000" w:rsidRPr="00000000" w14:paraId="00000030">
            <w:pPr>
              <w:spacing w:after="120" w:lineRule="auto"/>
              <w:rPr/>
            </w:pPr>
            <w:r w:rsidDel="00000000" w:rsidR="00000000" w:rsidRPr="00000000">
              <w:rPr>
                <w:rtl w:val="0"/>
              </w:rPr>
              <w:t xml:space="preserve">Primero, permite entregar en incrementos verificables: cada mejora se cerró con sus pruebas antes de pasar a la siguiente, de modo que el riesgo de romper algo aceptado se contuvo de mejora a mejora en lugar de acumularse hasta el final.</w:t>
            </w:r>
          </w:p>
          <w:p w:rsidR="00000000" w:rsidDel="00000000" w:rsidP="00000000" w:rsidRDefault="00000000" w:rsidRPr="00000000" w14:paraId="00000031">
            <w:pPr>
              <w:spacing w:after="120" w:lineRule="auto"/>
              <w:rPr/>
            </w:pPr>
            <w:r w:rsidDel="00000000" w:rsidR="00000000" w:rsidRPr="00000000">
              <w:rPr>
                <w:rtl w:val="0"/>
              </w:rPr>
              <w:t xml:space="preserve">Segundo, las ocho funciones a verificar eran por naturaleza impredecibles: no se sabía de antemano si estaban bien o si aparecería un fallo. Un plan en cascada habría tenido que estimar a ciegas; el trabajo por sprints permitió absorber los hallazgos —y aparecieron, como los dos fallos encontrados al verificar la administración de usuarios— sin replanificar el proyecto entero.</w:t>
            </w:r>
          </w:p>
          <w:p w:rsidR="00000000" w:rsidDel="00000000" w:rsidP="00000000" w:rsidRDefault="00000000" w:rsidRPr="00000000" w14:paraId="00000032">
            <w:pPr>
              <w:spacing w:after="120" w:lineRule="auto"/>
              <w:rPr/>
            </w:pPr>
            <w:r w:rsidDel="00000000" w:rsidR="00000000" w:rsidRPr="00000000">
              <w:rPr>
                <w:rtl w:val="0"/>
              </w:rPr>
              <w:t xml:space="preserve">Tercero, las retrospectivas dieron el punto de control para ajustar el reparto de trabajo entre los cuatro integrantes, todos desarrollando backend sobre el mismo repositorio y en paralelo con otros equipos del capstone.</w:t>
            </w:r>
          </w:p>
        </w:tc>
      </w:tr>
      <w:tr>
        <w:trPr>
          <w:cantSplit w:val="0"/>
          <w:trHeight w:val="2117"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4">
            <w:pPr>
              <w:spacing w:after="120" w:lineRule="auto"/>
              <w:rPr/>
            </w:pPr>
            <w:r w:rsidDel="00000000" w:rsidR="00000000" w:rsidRPr="00000000">
              <w:rPr>
                <w:b w:val="1"/>
                <w:bCs w:val="1"/>
                <w:color w:val="046b74"/>
                <w:rtl w:val="0"/>
              </w:rPr>
              <w:t xml:space="preserve">Fase 1 · Análisis y definición (semanas 1-2)</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tl w:val="0"/>
              </w:rPr>
              <w:t xml:space="preserve">Revisión de la documentación y del código existente de CoreStream, definición del alcance de las 19 mejoras y elaboración del Acta de Constitución, el Informe ERS y el Documento de Caso de Uso Extendido.</w:t>
            </w:r>
          </w:p>
          <w:p w:rsidR="00000000" w:rsidDel="00000000" w:rsidP="00000000" w:rsidRDefault="00000000" w:rsidRPr="00000000" w14:paraId="00000036">
            <w:pPr>
              <w:spacing w:after="120" w:lineRule="auto"/>
              <w:rPr/>
            </w:pPr>
            <w:r w:rsidDel="00000000" w:rsidR="00000000" w:rsidRPr="00000000">
              <w:rPr>
                <w:b w:val="1"/>
                <w:bCs w:val="1"/>
                <w:color w:val="046b74"/>
                <w:rtl w:val="0"/>
              </w:rPr>
              <w:t xml:space="preserve">Fase 2 · Diseño y planificación (semanas 3-4)</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tl w:val="0"/>
              </w:rPr>
              <w:t xml:space="preserve">Diseño del middleware de control por plan, del esquema de auditoría y retención y del plan de pruebas. Entrega de la Fase 1 del capstone el 30 de agosto.</w:t>
            </w:r>
          </w:p>
          <w:p w:rsidR="00000000" w:rsidDel="00000000" w:rsidP="00000000" w:rsidRDefault="00000000" w:rsidRPr="00000000" w14:paraId="00000038">
            <w:pPr>
              <w:spacing w:after="120" w:lineRule="auto"/>
              <w:rPr/>
            </w:pPr>
            <w:r w:rsidDel="00000000" w:rsidR="00000000" w:rsidRPr="00000000">
              <w:rPr>
                <w:b w:val="1"/>
                <w:bCs w:val="1"/>
                <w:color w:val="046b74"/>
                <w:rtl w:val="0"/>
              </w:rPr>
              <w:t xml:space="preserve">Fase 3 · Desarrollo y construcción (semanas 5-13)</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tl w:val="0"/>
              </w:rPr>
              <w:t xml:space="preserve">El grueso del trabajo. Se construyeron el aislamiento multi-cliente, el control por plan comercial, la auditoría de no repudio y la retención escalonada. Se corrigieron la revocación de tokens, el enlace de notificaciones con incidencias y el canal único autenticado de tiempo real. Y se verificaron con pruebas automatizadas las ocho funciones que estaban sin confirmar.</w:t>
            </w:r>
          </w:p>
          <w:p w:rsidR="00000000" w:rsidDel="00000000" w:rsidP="00000000" w:rsidRDefault="00000000" w:rsidRPr="00000000" w14:paraId="0000003A">
            <w:pPr>
              <w:spacing w:after="120" w:lineRule="auto"/>
              <w:rPr/>
            </w:pPr>
            <w:r w:rsidDel="00000000" w:rsidR="00000000" w:rsidRPr="00000000">
              <w:rPr>
                <w:b w:val="1"/>
                <w:bCs w:val="1"/>
                <w:color w:val="046b74"/>
                <w:rtl w:val="0"/>
              </w:rPr>
              <w:t xml:space="preserve">Fase 4 · Pruebas y QA (semanas 14-15)</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t xml:space="preserve">Batería completa sobre PostgreSQL y Redis reales: 265 pruebas unitarias y 194 de integración, sin fallos. Se verificó además el arranque en modo producción y la restauración de respaldos.</w:t>
            </w:r>
          </w:p>
          <w:p w:rsidR="00000000" w:rsidDel="00000000" w:rsidP="00000000" w:rsidRDefault="00000000" w:rsidRPr="00000000" w14:paraId="0000003C">
            <w:pPr>
              <w:spacing w:after="120" w:lineRule="auto"/>
              <w:rPr/>
            </w:pPr>
            <w:r w:rsidDel="00000000" w:rsidR="00000000" w:rsidRPr="00000000">
              <w:rPr>
                <w:b w:val="1"/>
                <w:bCs w:val="1"/>
                <w:color w:val="046b74"/>
                <w:rtl w:val="0"/>
              </w:rPr>
              <w:t xml:space="preserve">Fase 5 · Implementación y cierre (semanas 16-17)</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tl w:val="0"/>
              </w:rPr>
              <w:t xml:space="preserve">Integración de las mejoras en el ambiente final y documentación técnica: modelo 4+1 completo, diccionario de datos, procesos de negocio y matrices de seguimiento.</w:t>
            </w:r>
          </w:p>
          <w:p w:rsidR="00000000" w:rsidDel="00000000" w:rsidP="00000000" w:rsidRDefault="00000000" w:rsidRPr="00000000" w14:paraId="0000003E">
            <w:pPr>
              <w:spacing w:after="120" w:lineRule="auto"/>
              <w:rPr/>
            </w:pPr>
            <w:r w:rsidDel="00000000" w:rsidR="00000000" w:rsidRPr="00000000">
              <w:rPr>
                <w:b w:val="1"/>
                <w:bCs w:val="1"/>
                <w:color w:val="046b74"/>
                <w:rtl w:val="0"/>
              </w:rPr>
              <w:t xml:space="preserve">Fase 6 · Presentación (semana 18)</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tl w:val="0"/>
              </w:rPr>
              <w:t xml:space="preserve">Preparación y defensa ante la comisión evaluadora.</w:t>
            </w:r>
          </w:p>
          <w:p w:rsidR="00000000" w:rsidDel="00000000" w:rsidP="00000000" w:rsidRDefault="00000000" w:rsidRPr="00000000" w14:paraId="00000040">
            <w:pPr>
              <w:spacing w:after="120" w:lineRule="auto"/>
              <w:rPr/>
            </w:pPr>
            <w:r w:rsidDel="00000000" w:rsidR="00000000" w:rsidRPr="00000000">
              <w:rPr>
                <w:b w:val="1"/>
                <w:bCs w:val="1"/>
                <w:color w:val="046b74"/>
                <w:rtl w:val="0"/>
              </w:rPr>
              <w:t xml:space="preserve">Resultado</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tl w:val="0"/>
              </w:rPr>
              <w:t xml:space="preserve">Se completaron y validaron la totalidad de los 19 requerimientos contemplados (19 de 19, 100% de cumplimiento): los 5 estándares transversales (TRV-01, TRV-02, TRV-07, TRV-08 y TRV-09), los 10 requerimientos funcionales y correctivos (WEB-01 a WEB-20) y las 4 nuevas funcionalidades avanzadas (NEW-08, NEW-11, NEW-12 y NEW-14).</w:t>
            </w:r>
          </w:p>
        </w:tc>
      </w:tr>
      <w:tr>
        <w:trPr>
          <w:cantSplit w:val="0"/>
          <w:trHeight w:val="1112" w:hRule="atLeast"/>
          <w:tblHeader w:val="0"/>
        </w:trPr>
        <w:tc>
          <w:tcPr>
            <w:vAlign w:val="center"/>
          </w:tcPr>
          <w:p w:rsidR="00000000" w:rsidDel="00000000" w:rsidP="00000000" w:rsidRDefault="00000000" w:rsidRPr="00000000" w14:paraId="0000004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3">
            <w:pPr>
              <w:spacing w:after="120" w:lineRule="auto"/>
              <w:rPr/>
            </w:pPr>
            <w:r w:rsidDel="00000000" w:rsidR="00000000" w:rsidRPr="00000000">
              <w:rPr>
                <w:b w:val="1"/>
                <w:bCs w:val="1"/>
                <w:color w:val="046b74"/>
                <w:rtl w:val="0"/>
              </w:rPr>
              <w:t xml:space="preserve">Código y pruebas</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tl w:val="0"/>
              </w:rPr>
              <w:t xml:space="preserve">Repositorio del backend con las mejoras implementadas y su batería de pruebas: 265 unitarias y 194 de integración ejecutadas contra PostgreSQL 15 y Redis 7 reales, sin fallos, además de verificación estática con ruff y mypy.</w:t>
            </w:r>
          </w:p>
          <w:p w:rsidR="00000000" w:rsidDel="00000000" w:rsidP="00000000" w:rsidRDefault="00000000" w:rsidRPr="00000000" w14:paraId="00000045">
            <w:pPr>
              <w:spacing w:after="120" w:lineRule="auto"/>
              <w:rPr/>
            </w:pPr>
            <w:r w:rsidDel="00000000" w:rsidR="00000000" w:rsidRPr="00000000">
              <w:rPr>
                <w:b w:val="1"/>
                <w:bCs w:val="1"/>
                <w:color w:val="046b74"/>
                <w:rtl w:val="0"/>
              </w:rPr>
              <w:t xml:space="preserve">Documentación de arquitectura (modelo 4+1)</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tl w:val="0"/>
              </w:rPr>
              <w:t xml:space="preserve">Documento de Arquitectura del Sistema con las cinco vistas y siete diagramas propios; planillas de requerimientos, atributos de calidad, escenarios de calidad y patrones arquitectónicos.</w:t>
            </w:r>
          </w:p>
          <w:p w:rsidR="00000000" w:rsidDel="00000000" w:rsidP="00000000" w:rsidRDefault="00000000" w:rsidRPr="00000000" w14:paraId="00000047">
            <w:pPr>
              <w:spacing w:after="120" w:lineRule="auto"/>
              <w:rPr/>
            </w:pPr>
            <w:r w:rsidDel="00000000" w:rsidR="00000000" w:rsidRPr="00000000">
              <w:rPr>
                <w:b w:val="1"/>
                <w:bCs w:val="1"/>
                <w:color w:val="046b74"/>
                <w:rtl w:val="0"/>
              </w:rPr>
              <w:t xml:space="preserve">Documentación técnica del sistema</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tl w:val="0"/>
              </w:rPr>
              <w:t xml:space="preserve">Diccionario de datos con las 15 tablas y sus 176 columnas; documento de procesos de negocio TO-BE con cuatro procesos modelados en carriles.</w:t>
            </w:r>
          </w:p>
          <w:p w:rsidR="00000000" w:rsidDel="00000000" w:rsidP="00000000" w:rsidRDefault="00000000" w:rsidRPr="00000000" w14:paraId="00000049">
            <w:pPr>
              <w:spacing w:after="120" w:lineRule="auto"/>
              <w:rPr/>
            </w:pPr>
            <w:r w:rsidDel="00000000" w:rsidR="00000000" w:rsidRPr="00000000">
              <w:rPr>
                <w:b w:val="1"/>
                <w:bCs w:val="1"/>
                <w:color w:val="046b74"/>
                <w:rtl w:val="0"/>
              </w:rPr>
              <w:t xml:space="preserve">Documentación de seguimiento</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tl w:val="0"/>
              </w:rPr>
              <w:t xml:space="preserve">Matriz de control de cambios con 15 registros reconstruidos del historial real del repositorio, matriz de riesgo con 15 riesgos y sus mitigaciones, y matriz RACI derivada del reparto de horas de la Matriz EDT.</w:t>
            </w:r>
          </w:p>
          <w:p w:rsidR="00000000" w:rsidDel="00000000" w:rsidP="00000000" w:rsidRDefault="00000000" w:rsidRPr="00000000" w14:paraId="0000004B">
            <w:pPr>
              <w:spacing w:after="120" w:lineRule="auto"/>
              <w:rPr/>
            </w:pPr>
            <w:r w:rsidDel="00000000" w:rsidR="00000000" w:rsidRPr="00000000">
              <w:rPr>
                <w:b w:val="1"/>
                <w:bCs w:val="1"/>
                <w:color w:val="046b74"/>
                <w:rtl w:val="0"/>
              </w:rPr>
              <w:t xml:space="preserve">Documentación por requerimiento</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tl w:val="0"/>
              </w:rPr>
              <w:t xml:space="preserve">Informes detallados de los dos requerimientos de mayor complejidad: auditoría de no repudio y retención escalonada por perfil comercial.</w:t>
            </w:r>
          </w:p>
          <w:p w:rsidR="00000000" w:rsidDel="00000000" w:rsidP="00000000" w:rsidRDefault="00000000" w:rsidRPr="00000000" w14:paraId="0000004D">
            <w:pPr>
              <w:spacing w:after="120" w:lineRule="auto"/>
              <w:rPr/>
            </w:pPr>
            <w:r w:rsidDel="00000000" w:rsidR="00000000" w:rsidRPr="00000000">
              <w:rPr>
                <w:b w:val="1"/>
                <w:bCs w:val="1"/>
                <w:color w:val="046b74"/>
                <w:rtl w:val="0"/>
              </w:rPr>
              <w:t xml:space="preserve">Evidencia de cumplimiento</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tl w:val="0"/>
              </w:rPr>
              <w:t xml:space="preserve">Cada requerimiento de la planilla lleva una columna de evidencia que nombra la prueba o el artefacto concreto que lo respalda, de modo que la afirmación de «cerrado» es comprobable una por una.</w:t>
            </w:r>
          </w:p>
        </w:tc>
      </w:tr>
      <w:tr>
        <w:trPr>
          <w:cantSplit w:val="0"/>
          <w:trHeight w:val="2547" w:hRule="atLeast"/>
          <w:tblHeader w:val="0"/>
        </w:trPr>
        <w:tc>
          <w:tcPr>
            <w:vAlign w:val="center"/>
          </w:tcPr>
          <w:p w:rsidR="00000000" w:rsidDel="00000000" w:rsidP="00000000" w:rsidRDefault="00000000" w:rsidRPr="00000000" w14:paraId="0000004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0">
            <w:pPr>
              <w:spacing w:after="120" w:lineRule="auto"/>
              <w:rPr/>
            </w:pP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tl w:val="0"/>
              </w:rPr>
              <w:t xml:space="preserve">Intereses declarados en la Fase 1: especialización en arquitectura de software, ingeniería de requerimientos y desarrollo de herramientas SaaS.</w:t>
            </w:r>
          </w:p>
          <w:p w:rsidR="00000000" w:rsidDel="00000000" w:rsidP="00000000" w:rsidRDefault="00000000" w:rsidRPr="00000000" w14:paraId="00000052">
            <w:pPr>
              <w:spacing w:after="120" w:lineRule="auto"/>
              <w:rPr/>
            </w:pPr>
            <w:r w:rsidDel="00000000" w:rsidR="00000000" w:rsidRPr="00000000">
              <w:rPr>
                <w:rtl w:val="0"/>
              </w:rPr>
              <w:t xml:space="preserve">El proyecto contribuye a esos intereses de forma directa. Convertir un sistema construido para una sola empresa en uno multi-cliente obliga a tomar decisiones de arquitectura con consecuencias reales: dónde poner el aislamiento para que no dependa de que cada consulta lo recuerde, cómo imponer la inmutabilidad de un registro de auditoría de forma que resista incluso al acceso directo a la base de datos, y cómo hacer que una política comercial se pueda cambiar sin desplegar código. Son exactamente los problemas que distinguen un producto SaaS de una aplicación a medida.</w:t>
            </w:r>
          </w:p>
          <w:p w:rsidR="00000000" w:rsidDel="00000000" w:rsidP="00000000" w:rsidRDefault="00000000" w:rsidRPr="00000000" w14:paraId="00000053">
            <w:pPr>
              <w:spacing w:after="120" w:lineRule="auto"/>
              <w:rPr/>
            </w:pPr>
            <w:r w:rsidDel="00000000" w:rsidR="00000000" w:rsidRPr="00000000">
              <w:rPr>
                <w:rtl w:val="0"/>
              </w:rPr>
              <w:t xml:space="preserve">Trabajar sobre un sistema ajeno y en producción añadió una competencia que no se practica construyendo desde cero: leer código que no escribiste, entender por qué está hecho así y modificarlo sin romper lo que ya funcionaba y el cliente había aceptado.</w:t>
            </w:r>
          </w:p>
          <w:p w:rsidR="00000000" w:rsidDel="00000000" w:rsidP="00000000" w:rsidRDefault="00000000" w:rsidRPr="00000000" w14:paraId="00000054">
            <w:pPr>
              <w:spacing w:after="120" w:lineRule="auto"/>
              <w:rPr/>
            </w:pPr>
            <w:r w:rsidDel="00000000" w:rsidR="00000000" w:rsidRPr="00000000">
              <w:rPr>
                <w:rtl w:val="0"/>
              </w:rPr>
            </w:r>
          </w:p>
        </w:tc>
      </w:tr>
    </w:tbl>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6e7mkMRS/NpxMJoKglTB3okpIQ==">CgMxLjA4AHIhMVZJQlc2NVd5V09EREZLZmtSVzFQTzhVNl9XX2p6OVpL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