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rtl w:val="0"/>
        </w:rPr>
        <w:t xml:space="preserve">Plantilla Patrones Arquitectónicos</w:t>
      </w: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400"/>
        <w:gridCol w:w="2130"/>
        <w:gridCol w:w="3405"/>
        <w:tblGridChange w:id="0">
          <w:tblGrid>
            <w:gridCol w:w="1140"/>
            <w:gridCol w:w="2400"/>
            <w:gridCol w:w="2130"/>
            <w:gridCol w:w="3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 de calidad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 Asociado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Patrón Arquitectónico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Justificación 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EC-001</w:t>
            </w:r>
          </w:p>
        </w:tc>
        <w:tc>
          <w:tcPr/>
          <w:p>
            <w:r/>
            <w:r>
              <w:rPr>
                <w:b w:val="0"/>
              </w:rPr>
              <w:t>Seguridad — Aislamiento de datos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/>
            <w:r>
              <w:rPr>
                <w:b w:val="0"/>
              </w:rPr>
              <w:t>Multi-Tenancy de esquema compartido con discriminador + Interceptor</w:t>
            </w:r>
          </w:p>
        </w:tc>
        <w:tc>
          <w:tcPr/>
          <w:p>
            <w:r/>
            <w:r>
              <w:rPr>
                <w:b w:val="0"/>
              </w:rPr>
              <w:t>Cada tabla de negocio lleva el identificador de cliente y un interceptor en la capa de acceso a datos inyecta el filtro en toda consulta. El aislamiento deja de depender de que cada consulta lo recuerde.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EC-002</w:t>
            </w:r>
          </w:p>
        </w:tc>
        <w:tc>
          <w:tcPr/>
          <w:p>
            <w:r/>
            <w:r>
              <w:rPr>
                <w:b w:val="0"/>
              </w:rPr>
              <w:t>Adecuación funcional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/>
            <w:r>
              <w:rPr>
                <w:b w:val="0"/>
              </w:rPr>
              <w:t>Interceptor (Filtro de peticiones) + Feature Toggle</w:t>
            </w:r>
          </w:p>
        </w:tc>
        <w:tc>
          <w:tcPr/>
          <w:p>
            <w:r/>
            <w:r>
              <w:rPr>
                <w:b w:val="0"/>
              </w:rPr>
              <w:t>La verificación del plan se declara al incluir cada módulo, de modo que se ejecuta antes del manejador y queda visible en un único lugar la correspondencia entre módulo y plan.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EC-003</w:t>
            </w:r>
          </w:p>
        </w:tc>
        <w:tc>
          <w:tcPr/>
          <w:p>
            <w:r/>
            <w:r>
              <w:rPr>
                <w:b w:val="0"/>
              </w:rPr>
              <w:t>Seguridad — No repudio</w:t>
            </w:r>
          </w:p>
        </w:tc>
        <w:tc>
          <w:tcPr/>
          <w:p>
            <w:r/>
            <w:r>
              <w:rPr>
                <w:b w:val="0"/>
              </w:rPr>
              <w:t>Interceptor (Middleware) + Audit Log</w:t>
            </w:r>
          </w:p>
        </w:tc>
        <w:tc>
          <w:tcPr/>
          <w:p>
            <w:r/>
            <w:r>
              <w:rPr>
                <w:b w:val="0"/>
              </w:rPr>
              <w:t>El registro lo genera el middleware y no los manejadores, así que ningún módulo nuevo puede olvidarse de auditar.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EC-004</w:t>
            </w:r>
          </w:p>
        </w:tc>
        <w:tc>
          <w:tcPr/>
          <w:p>
            <w:r/>
            <w:r>
              <w:rPr>
                <w:b w:val="0"/>
              </w:rPr>
              <w:t>Seguridad — Integridad</w:t>
            </w:r>
          </w:p>
        </w:tc>
        <w:tc>
          <w:tcPr/>
          <w:p>
            <w:r/>
            <w:r>
              <w:rPr>
                <w:b w:val="0"/>
              </w:rPr>
              <w:t>Append-Only Store con restricciones en el gestor de datos</w:t>
            </w:r>
          </w:p>
        </w:tc>
        <w:tc>
          <w:tcPr/>
          <w:p>
            <w:r/>
            <w:r>
              <w:rPr>
                <w:b w:val="0"/>
              </w:rPr>
              <w:t>La inmutabilidad se impone con disparadores de base de datos y no por convención del código, de modo que resiste incluso al acceso directo con las credenciales de la aplicación.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EC-005</w:t>
            </w:r>
          </w:p>
        </w:tc>
        <w:tc>
          <w:tcPr/>
          <w:p>
            <w:r/>
            <w:r>
              <w:rPr>
                <w:b w:val="0"/>
              </w:rPr>
              <w:t>Cumplimiento — Retención</w:t>
            </w:r>
          </w:p>
        </w:tc>
        <w:tc>
          <w:tcPr/>
          <w:p>
            <w:r/>
            <w:r>
              <w:rPr>
                <w:b w:val="0"/>
              </w:rPr>
              <w:t>Política centralizada + Tarea programada (Scheduled Job)</w:t>
            </w:r>
          </w:p>
        </w:tc>
        <w:tc>
          <w:tcPr/>
          <w:p>
            <w:r/>
            <w:r>
              <w:rPr>
                <w:b w:val="0"/>
              </w:rPr>
              <w:t>La política de retención se resuelve una sola vez y la comparten todos los almacenes, lo que impide que diverjan; un trabajador independiente la aplica fuera de la ruta de petición.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EC-006</w:t>
            </w:r>
          </w:p>
        </w:tc>
        <w:tc>
          <w:tcPr/>
          <w:p>
            <w:r/>
            <w:r>
              <w:rPr>
                <w:b w:val="0"/>
              </w:rPr>
              <w:t>Seguridad — Fuerza bruta</w:t>
            </w:r>
          </w:p>
        </w:tc>
        <w:tc>
          <w:tcPr/>
          <w:p>
            <w:r/>
            <w:r>
              <w:rPr>
                <w:b w:val="0"/>
              </w:rPr>
              <w:t>Rate Limiting con contador en almacén compartido</w:t>
            </w:r>
          </w:p>
        </w:tc>
        <w:tc>
          <w:tcPr/>
          <w:p>
            <w:r/>
            <w:r>
              <w:rPr>
                <w:b w:val="0"/>
              </w:rPr>
              <w:t>El contador vive en la caché compartida, de modo que el límite se respeta aunque haya varias instancias de la aplicación.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EC-007</w:t>
            </w:r>
          </w:p>
        </w:tc>
        <w:tc>
          <w:tcPr/>
          <w:p>
            <w:r/>
            <w:r>
              <w:rPr>
                <w:b w:val="0"/>
              </w:rPr>
              <w:t>Eficiencia — Tiempo real</w:t>
            </w:r>
          </w:p>
        </w:tc>
        <w:tc>
          <w:tcPr/>
          <w:p>
            <w:r/>
            <w:r>
              <w:rPr>
                <w:b w:val="0"/>
              </w:rPr>
              <w:t>Publicación/Suscripción + Cola de trabajos + Conexión persistente</w:t>
            </w:r>
          </w:p>
        </w:tc>
        <w:tc>
          <w:tcPr/>
          <w:p>
            <w:r/>
            <w:r>
              <w:rPr>
                <w:b w:val="0"/>
              </w:rPr>
              <w:t>El guardado es síncrono con la operación de negocio y la entrega es asíncrona, de modo que una caída del trabajador degrada la inmediatez pero no pierde la notificación.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EC-008</w:t>
            </w:r>
          </w:p>
        </w:tc>
        <w:tc>
          <w:tcPr/>
          <w:p>
            <w:r/>
            <w:r>
              <w:rPr>
                <w:b w:val="0"/>
              </w:rPr>
              <w:t>Fiabilidad — Tolerancia a fallos</w:t>
            </w:r>
          </w:p>
        </w:tc>
        <w:tc>
          <w:tcPr/>
          <w:p>
            <w:r/>
            <w:r>
              <w:rPr>
                <w:b w:val="0"/>
              </w:rPr>
              <w:t>Health Check Endpoint</w:t>
            </w:r>
          </w:p>
        </w:tc>
        <w:tc>
          <w:tcPr/>
          <w:p>
            <w:r/>
            <w:r>
              <w:rPr>
                <w:b w:val="0"/>
              </w:rPr>
              <w:t>La sonda comprueba las dependencias reales y no solo que el proceso responda, permitiendo al orquestador retirar del tráfico una instancia viva pero inservible.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EC-009</w:t>
            </w:r>
          </w:p>
        </w:tc>
        <w:tc>
          <w:tcPr/>
          <w:p>
            <w:r/>
            <w:r>
              <w:rPr>
                <w:b w:val="0"/>
              </w:rPr>
              <w:t>Seguridad — Configuración</w:t>
            </w:r>
          </w:p>
        </w:tc>
        <w:tc>
          <w:tcPr/>
          <w:p>
            <w:r/>
            <w:r>
              <w:rPr>
                <w:b w:val="0"/>
              </w:rPr>
              <w:t>Fail-Fast Configuration Validation</w:t>
            </w:r>
          </w:p>
        </w:tc>
        <w:tc>
          <w:tcPr/>
          <w:p>
            <w:r/>
            <w:r>
              <w:rPr>
                <w:b w:val="0"/>
              </w:rPr>
              <w:t>La configuración insegura detiene el arranque en lugar de degradar en silencio una garantía de seguridad.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EC-010</w:t>
            </w:r>
          </w:p>
        </w:tc>
        <w:tc>
          <w:tcPr/>
          <w:p>
            <w:r/>
            <w:r>
              <w:rPr>
                <w:b w:val="0"/>
              </w:rPr>
              <w:t>Mantenibilidad</w:t>
            </w:r>
          </w:p>
        </w:tc>
        <w:tc>
          <w:tcPr/>
          <w:p>
            <w:r/>
            <w:r>
              <w:rPr>
                <w:b w:val="0"/>
              </w:rPr>
              <w:t>Strategy + Composite + Registro de implementaciones</w:t>
            </w:r>
          </w:p>
        </w:tc>
        <w:tc>
          <w:tcPr/>
          <w:p>
            <w:r/>
            <w:r>
              <w:rPr>
                <w:b w:val="0"/>
              </w:rPr>
              <w:t>Los destinos de auditoría se comportan como estrategias intercambiables agregadas en un compuesto que aísla sus fallos; añadir uno no modifica a sus consumidores.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EC-011</w:t>
            </w:r>
          </w:p>
        </w:tc>
        <w:tc>
          <w:tcPr/>
          <w:p>
            <w:r/>
            <w:r>
              <w:rPr>
                <w:b w:val="0"/>
              </w:rPr>
              <w:t>Seguridad — Pertenencia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/>
            <w:r>
              <w:rPr>
                <w:b w:val="0"/>
              </w:rPr>
              <w:t>Capa de servicio con comprobaciones de autorización centralizadas</w:t>
            </w:r>
          </w:p>
        </w:tc>
        <w:tc>
          <w:tcPr/>
          <w:p>
            <w:r/>
            <w:r>
              <w:rPr>
                <w:b w:val="0"/>
              </w:rPr>
              <w:t>Las reglas de pertenencia viven en un módulo único que comparten todos los manejadores, evitando que cada uno implemente su propia variante.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EC-012</w:t>
            </w:r>
          </w:p>
        </w:tc>
        <w:tc>
          <w:tcPr/>
          <w:p>
            <w:r/>
            <w:r>
              <w:rPr>
                <w:b w:val="0"/>
              </w:rPr>
              <w:t>Fiabilidad — Recuperación</w:t>
            </w:r>
          </w:p>
        </w:tc>
        <w:tc>
          <w:tcPr/>
          <w:p>
            <w:r/>
            <w:r>
              <w:rPr>
                <w:b w:val="0"/>
              </w:rPr>
              <w:t>Separación de ciclos de vida de datos</w:t>
            </w:r>
          </w:p>
        </w:tc>
        <w:tc>
          <w:tcPr/>
          <w:p>
            <w:r/>
            <w:r>
              <w:rPr>
                <w:b w:val="0"/>
              </w:rPr>
              <w:t>El dato operativo y el de auditoría se respaldan por separado porque tienen políticas de retención y de mutabilidad distintas.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—</w:t>
            </w:r>
          </w:p>
        </w:tc>
        <w:tc>
          <w:tcPr/>
          <w:p>
            <w:r/>
            <w:r>
              <w:rPr>
                <w:b w:val="0"/>
              </w:rPr>
              <w:t>Transversal</w:t>
            </w:r>
          </w:p>
        </w:tc>
        <w:tc>
          <w:tcPr/>
          <w:p>
            <w:r/>
            <w:r>
              <w:rPr>
                <w:b w:val="0"/>
              </w:rPr>
              <w:t>Arquitectura en capas (Layered)</w:t>
            </w:r>
          </w:p>
        </w:tc>
        <w:tc>
          <w:tcPr/>
          <w:p>
            <w:r/>
            <w:r>
              <w:rPr>
                <w:b w:val="0"/>
              </w:rPr>
              <w:t>Enrutadores, servicios, modelos y acceso a datos están separados, de modo que la lógica de negocio no depende del transporte HTTP.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—</w:t>
            </w:r>
          </w:p>
        </w:tc>
        <w:tc>
          <w:tcPr/>
          <w:p>
            <w:r/>
            <w:r>
              <w:rPr>
                <w:b w:val="0"/>
              </w:rPr>
              <w:t>Transversal</w:t>
            </w:r>
          </w:p>
        </w:tc>
        <w:tc>
          <w:tcPr/>
          <w:p>
            <w:r/>
            <w:r>
              <w:rPr>
                <w:b w:val="0"/>
              </w:rPr>
              <w:t>Cliente-Servidor con interfaz de programación REST y cliente de página única</w:t>
            </w:r>
          </w:p>
        </w:tc>
        <w:tc>
          <w:tcPr/>
          <w:p>
            <w:r/>
            <w:r>
              <w:rPr>
                <w:b w:val="0"/>
              </w:rPr>
              <w:t>El cliente y el servidor se despliegan y evolucionan por separado, comunicándose por un contrato explícito.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—</w:t>
            </w:r>
          </w:p>
        </w:tc>
        <w:tc>
          <w:tcPr/>
          <w:p>
            <w:r/>
            <w:r>
              <w:rPr>
                <w:b w:val="0"/>
              </w:rPr>
              <w:t>Transversal</w:t>
            </w:r>
          </w:p>
        </w:tc>
        <w:tc>
          <w:tcPr/>
          <w:p>
            <w:r/>
            <w:r>
              <w:rPr>
                <w:b w:val="0"/>
              </w:rPr>
              <w:t>Máquina de estados (State Machine)</w:t>
            </w:r>
          </w:p>
        </w:tc>
        <w:tc>
          <w:tcPr/>
          <w:p>
            <w:r/>
            <w:r>
              <w:rPr>
                <w:b w:val="0"/>
              </w:rPr>
              <w:t>Las transiciones válidas del ticket están declaradas en un único lugar, de modo que ningún camino del código puede producir un estado imposible.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rPr>
                <w:b w:val="0"/>
              </w:rPr>
              <w:t>—</w:t>
            </w:r>
          </w:p>
        </w:tc>
        <w:tc>
          <w:tcPr/>
          <w:p>
            <w:r/>
            <w:r>
              <w:rPr>
                <w:b w:val="0"/>
              </w:rPr>
              <w:t>Transversal</w:t>
            </w:r>
          </w:p>
        </w:tc>
        <w:tc>
          <w:tcPr/>
          <w:p>
            <w:r/>
            <w:r>
              <w:rPr>
                <w:b w:val="0"/>
              </w:rPr>
              <w:t>Migraciones versionadas (Evolutionary Database Design)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>
            <w:r/>
            <w:r>
              <w:rPr>
                <w:b w:val="0"/>
              </w:rPr>
              <w:t>El esquema evoluciona de forma controlada y reproducible entre entornos, con posibilidad de revertir.</w:t>
            </w:r>
          </w:p>
        </w:tc>
      </w:tr>
    </w:tbl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 de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F913B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790F51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C724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1D24"/>
  </w:style>
  <w:style w:type="paragraph" w:styleId="Piedepgina">
    <w:name w:val="footer"/>
    <w:basedOn w:val="Normal"/>
    <w:link w:val="PiedepginaCar"/>
    <w:uiPriority w:val="99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1D2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2LFKuusEM0PLpw81U4q3p/fBNA==">CgMxLjA4AHIhMUxxT0IydHVPSTJ3X1l1SXV3bXJsOW83Z2FvYW9GUnRx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2018-06-15T15:44:00Z</dcterms:created>
  <dc:creator>Puente Alto</dc:creator>
</cp:coreProperties>
</file>