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Invisible Cities – Air Quality</w:t>
      </w:r>
    </w:p>
    <w:p>
      <w:pPr>
        <w:pStyle w:val="Normal"/>
        <w:rPr/>
      </w:pPr>
      <w:r>
        <w:rPr/>
      </w:r>
    </w:p>
    <w:p>
      <w:pPr>
        <w:pStyle w:val="Normal"/>
        <w:rPr/>
      </w:pPr>
      <w:r>
        <w:rPr/>
        <w:t>Group Project Report</w:t>
      </w:r>
    </w:p>
    <w:p>
      <w:pPr>
        <w:pStyle w:val="Normal"/>
        <w:rPr/>
      </w:pPr>
      <w:r>
        <w:rPr/>
      </w:r>
    </w:p>
    <w:p>
      <w:pPr>
        <w:pStyle w:val="Normal"/>
        <w:rPr/>
      </w:pPr>
      <w:r>
        <w:rPr/>
        <w:t>Group 3 – Qiuwen Ju, Tom Keel, Zixin Lyu &amp; Jay Wilson</w:t>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 xml:space="preserve">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chose to use global records and have a global map, making an assumption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b w:val="false"/>
          <w:b w:val="false"/>
          <w:bCs w:val="false"/>
        </w:rPr>
      </w:pPr>
      <w:r>
        <w:rPr>
          <w:b w:val="false"/>
          <w:bCs w:val="false"/>
        </w:rPr>
        <w:t>We planned to have a spinning globe as an attractive secondary image, displaying information secondary to air pollution.  This could be a contributing factor, such as a country’s lack of green spaces or level of industrialisation, or an effect, such as life expectancy or birth weights.  [Guardian ref Beijing Olympics].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A minor objective is not to let anyone assume that people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indicate responses in this entertainment form. [art?]</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b w:val="false"/>
          <w:b w:val="false"/>
          <w:bCs w:val="false"/>
        </w:rPr>
      </w:pPr>
      <w:r>
        <w:rPr>
          <w:b w:val="false"/>
          <w:bCs w:val="false"/>
        </w:rPr>
      </w:r>
    </w:p>
    <w:p>
      <w:pPr>
        <w:pStyle w:val="Normal"/>
        <w:rPr/>
      </w:pPr>
      <w:r>
        <w:rPr>
          <w:b w:val="false"/>
          <w:bCs w:val="false"/>
        </w:rPr>
        <w:t xml:space="preserve">Spinning globe – hover over any country to highlight its land area in a different colour.  The colour is related to the percentage of GDP contributed by the industrial sector in the expectation that heavily industrialised countries will have the worst pollution.  </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instant reaction.</w:t>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look tiny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b w:val="false"/>
          <w:b w:val="false"/>
          <w:bCs w:val="false"/>
        </w:rPr>
      </w:pPr>
      <w:r>
        <w:rPr>
          <w:b w:val="false"/>
          <w:bCs w:val="false"/>
        </w:rPr>
        <w:t>Street level</w:t>
      </w:r>
    </w:p>
    <w:p>
      <w:pPr>
        <w:pStyle w:val="Normal"/>
        <w:rPr/>
      </w:pPr>
      <w:r>
        <w:rPr>
          <w:b w:val="false"/>
          <w:bCs w:val="false"/>
        </w:rPr>
        <w:t>Extra information</w:t>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The warning message under the title is there to emphasize our main objective of this project;  our team is not just practising our website visualisations and displaying skills at obtaining and presenting data so that we get good marks on the course, we are keen to see environmental change happen in our world.  We are not as controversial as Greta Thunberg, the Swedish teenager who used the incident of the cathedral fire at Notre-Dame in 2019 to urge European politicians to act rapidly on climate change, but, we hope our website adds to this momentum.  Jay provided the text for the home page, the idea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create the same immediacy and memories for the viewer.</w:t>
      </w:r>
    </w:p>
    <w:p>
      <w:pPr>
        <w:pStyle w:val="Normal"/>
        <w:rPr>
          <w:b w:val="false"/>
          <w:b w:val="false"/>
          <w:bCs w:val="false"/>
        </w:rPr>
      </w:pPr>
      <w:r>
        <w:rPr>
          <w:b w:val="false"/>
          <w:bCs w:val="false"/>
        </w:rPr>
      </w:r>
    </w:p>
    <w:p>
      <w:pPr>
        <w:pStyle w:val="Normal"/>
        <w:rPr>
          <w:b/>
          <w:b/>
          <w:bCs/>
        </w:rPr>
      </w:pPr>
      <w:r>
        <w:rPr>
          <w:b/>
          <w:bCs/>
        </w:rPr>
      </w:r>
    </w:p>
    <w:p>
      <w:pPr>
        <w:pStyle w:val="Normal"/>
        <w:rPr/>
      </w:pPr>
      <w:r>
        <w:rPr>
          <w:b/>
          <w:bCs/>
        </w:rPr>
        <w:t>Technologies</w:t>
      </w:r>
    </w:p>
    <w:p>
      <w:pPr>
        <w:pStyle w:val="Normal"/>
        <w:rPr/>
      </w:pPr>
      <w:r>
        <w:rPr>
          <w:b w:val="false"/>
          <w:bCs w:val="false"/>
        </w:rPr>
        <w:t>Tom introduced our team to GitHub and documented common command-line git instructions to ensure everyone kept in step.  He also introduced us to Webstorm, a multi-tasking IDE (Integrated Development Environment) that inspects code, renders a webpage in the manner of one of a choice of browsers, includes Git support and is also free for thirty days use.</w:t>
      </w:r>
    </w:p>
    <w:p>
      <w:pPr>
        <w:pStyle w:val="Normal"/>
        <w:rPr>
          <w:b w:val="false"/>
          <w:b w:val="false"/>
          <w:bCs w:val="false"/>
        </w:rPr>
      </w:pPr>
      <w:r>
        <w:rPr>
          <w:b w:val="false"/>
          <w:bCs w:val="false"/>
        </w:rPr>
      </w:r>
    </w:p>
    <w:p>
      <w:pPr>
        <w:pStyle w:val="Normal"/>
        <w:rPr/>
      </w:pPr>
      <w:r>
        <w:rPr>
          <w:b w:val="false"/>
          <w:bCs w:val="false"/>
        </w:rPr>
        <w:t xml:space="preserve">He also got our website deployed from GitHub on to Netlify.  Netlify offers a one-stop-shop method  of developing a website but we did not explore this because we were more experienced with GitHub already.  We lost control of the website by using Netlify, at the time of writing it is the mostly meaningless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but we did not want cities spinning, we wanted users to be able to select them from a static map.  We would use the spinning globe to display country information about the level of industrialisation/ </w:t>
      </w:r>
      <w:r>
        <w:rPr>
          <w:b w:val="false"/>
          <w:bCs w:val="false"/>
          <w:i/>
          <w:iCs/>
        </w:rPr>
        <w:t>life expectancy.</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t>
      </w:r>
      <w:r>
        <w:rPr>
          <w:b w:val="false"/>
          <w:bCs w:val="false"/>
        </w:rPr>
        <w:t>would be</w:t>
      </w:r>
      <w:r>
        <w:rPr>
          <w:b w:val="false"/>
          <w:bCs w:val="false"/>
        </w:rPr>
        <w:t xml:space="preserve"> a two minute delay before anything was displayed. </w:t>
      </w:r>
    </w:p>
    <w:p>
      <w:pPr>
        <w:pStyle w:val="Normal"/>
        <w:rPr>
          <w:b w:val="false"/>
          <w:b w:val="false"/>
          <w:bCs w:val="false"/>
        </w:rPr>
      </w:pPr>
      <w:r>
        <w:rPr>
          <w:b w:val="false"/>
          <w:bCs w:val="false"/>
        </w:rPr>
      </w:r>
    </w:p>
    <w:p>
      <w:pPr>
        <w:pStyle w:val="Normal"/>
        <w:rPr/>
      </w:pPr>
      <w:r>
        <w:rPr>
          <w:b w:val="false"/>
          <w:bCs w:val="false"/>
        </w:rPr>
        <w:t xml:space="preserve">Satellite data from the Copernicus project for related readings – leaf area index and ozone – were also accessed using API but as explained elsewhere </w:t>
      </w:r>
      <w:r>
        <w:rPr>
          <w:b w:val="false"/>
          <w:bCs w:val="false"/>
        </w:rPr>
        <w:t>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pPr>
      <w:r>
        <w:rPr>
          <w:b w:val="false"/>
          <w:bCs w:val="false"/>
        </w:rPr>
        <w:t>CSS, JS,</w:t>
      </w:r>
    </w:p>
    <w:p>
      <w:pPr>
        <w:pStyle w:val="Normal"/>
        <w:rPr>
          <w:b w:val="false"/>
          <w:b w:val="false"/>
          <w:bCs w:val="false"/>
        </w:rPr>
      </w:pPr>
      <w:r>
        <w:rPr/>
      </w:r>
    </w:p>
    <w:p>
      <w:pPr>
        <w:pStyle w:val="Normal"/>
        <w:rPr>
          <w:b w:val="false"/>
          <w:b w:val="false"/>
          <w:bCs w:val="false"/>
        </w:rPr>
      </w:pPr>
      <w:r>
        <w:rPr>
          <w:b w:val="false"/>
          <w:bCs w:val="false"/>
        </w:rPr>
        <w:t>website tools</w:t>
      </w:r>
    </w:p>
    <w:p>
      <w:pPr>
        <w:pStyle w:val="Normal"/>
        <w:rPr>
          <w:b w:val="false"/>
          <w:b w:val="false"/>
          <w:bCs w:val="false"/>
        </w:rPr>
      </w:pPr>
      <w:r>
        <w:rPr/>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 xml:space="preserve">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this map is centred on the Pacific Ocean) </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6">
        <w:r>
          <w:rPr>
            <w:rStyle w:val="InternetLink"/>
            <w:b w:val="false"/>
            <w:bCs w:val="false"/>
          </w:rPr>
          <w:t>http://planetaryjs.com/examples/quake/index.html</w:t>
        </w:r>
      </w:hyperlink>
      <w:r>
        <w:rPr>
          <w:b w:val="false"/>
          <w:bCs w:val="false"/>
        </w:rPr>
        <w:t>) was difficult to modify.  And the vector graphics approach used by D3 (</w:t>
      </w:r>
      <w:hyperlink r:id="rId17">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8">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w:t>
      </w:r>
      <w:r>
        <w:rPr>
          <w:b w:val="false"/>
          <w:bCs w:val="false"/>
        </w:rPr>
        <w:t xml:space="preserve">bash </w:t>
      </w:r>
      <w:r>
        <w:rPr>
          <w:b w:val="false"/>
          <w:bCs w:val="false"/>
        </w:rPr>
        <w:t xml:space="preserve">command [example].  Their example was for displaying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val="false"/>
          <w:bCs w:val="false"/>
        </w:rPr>
        <w:t xml:space="preserve">The 3D street visualisation in Unity </w:t>
      </w:r>
      <w:r>
        <w:rPr>
          <w:b w:val="false"/>
          <w:bCs w:val="false"/>
        </w:rPr>
        <w:t>proved</w:t>
      </w:r>
      <w:r>
        <w:rPr>
          <w:b w:val="false"/>
          <w:bCs w:val="false"/>
        </w:rPr>
        <w:t xml:space="preserve"> unsatisfactor</w:t>
      </w:r>
      <w:r>
        <w:rPr>
          <w:b w:val="false"/>
          <w:bCs w:val="false"/>
        </w:rPr>
        <w:t xml:space="preserve">y.  Producing a video with moving airborne particles did not work without proper timing so it was decided to produce a 2.5D version in Mapbox.  This was not an easy choice to make because it meant that we lost the opportunity for a video of a cartoon family being affected by </w:t>
      </w:r>
      <w:r>
        <w:rPr>
          <w:b w:val="false"/>
          <w:bCs w:val="false"/>
        </w:rPr>
        <w:t xml:space="preserve">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w:t>
      </w:r>
      <w:r>
        <w:rPr>
          <w:b w:val="false"/>
          <w:bCs w:val="false"/>
        </w:rPr>
        <w:t>for the 2008 Olympics.</w:t>
      </w:r>
    </w:p>
    <w:p>
      <w:pPr>
        <w:pStyle w:val="Normal"/>
        <w:rPr>
          <w:b w:val="false"/>
          <w:b w:val="false"/>
          <w:bCs w:val="false"/>
        </w:rPr>
      </w:pPr>
      <w:r>
        <w:rPr/>
      </w:r>
    </w:p>
    <w:p>
      <w:pPr>
        <w:pStyle w:val="Normal"/>
        <w:rPr/>
      </w:pPr>
      <w:r>
        <w:rPr>
          <w:b w:val="false"/>
          <w:bCs w:val="false"/>
        </w:rPr>
        <w:t xml:space="preserve">The remaining issues were smaller and easier to solve.  An initial design decision to use a webpage that scrolled </w:t>
      </w:r>
      <w:r>
        <w:rPr>
          <w:b w:val="false"/>
          <w:bCs w:val="false"/>
        </w:rPr>
        <w:t>up and down incompletely from one section to the next was dropped</w:t>
      </w:r>
      <w:r>
        <w:rPr>
          <w:b w:val="false"/>
          <w:bCs w:val="false"/>
        </w:rPr>
        <w:t xml:space="preserve"> because the transition produced an unattractive jump from one background to another, </w:t>
      </w:r>
      <w:r>
        <w:rPr>
          <w:b w:val="false"/>
          <w:bCs w:val="false"/>
        </w:rPr>
        <w:t>we switched to</w:t>
      </w:r>
      <w:r>
        <w:rPr>
          <w:b w:val="false"/>
          <w:bCs w:val="false"/>
        </w:rPr>
        <w:t xml:space="preserve"> </w:t>
      </w:r>
      <w:r>
        <w:rPr>
          <w:b w:val="false"/>
          <w:bCs w:val="false"/>
        </w:rPr>
        <w:t xml:space="preserve">using a </w:t>
      </w:r>
      <w:r>
        <w:rPr>
          <w:b w:val="false"/>
          <w:bCs w:val="false"/>
        </w:rPr>
        <w:t xml:space="preserve"> scrolling horizontal line </w:t>
      </w:r>
      <w:r>
        <w:rPr>
          <w:b w:val="false"/>
          <w:bCs w:val="false"/>
        </w:rPr>
        <w:t xml:space="preserve">that replaced one display with another completely </w:t>
      </w:r>
      <w:r>
        <w:rPr>
          <w:b w:val="false"/>
          <w:bCs w:val="false"/>
        </w:rPr>
        <w:t>.</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r>
    </w:p>
    <w:p>
      <w:pPr>
        <w:pStyle w:val="Normal"/>
        <w:rPr/>
      </w:pPr>
      <w:r>
        <w:rPr>
          <w:b/>
          <w:bCs/>
        </w:rPr>
        <w:t>Later additions</w:t>
      </w:r>
    </w:p>
    <w:p>
      <w:pPr>
        <w:pStyle w:val="Normal"/>
        <w:rPr>
          <w:b w:val="false"/>
          <w:b w:val="false"/>
          <w:bCs w:val="false"/>
        </w:rPr>
      </w:pPr>
      <w:r>
        <w:rPr>
          <w:b w:val="false"/>
          <w:bCs w:val="false"/>
        </w:rPr>
        <w:t>Tom thought of linking a generic cause such as industrialisation to the AQI readings and Jay thought of the general effect of lengthy exposure to polluted air on life expectancy, which ranged from fifty-two to eighty-four years in 2017 (Worldbank, online, accessed 16</w:t>
      </w:r>
      <w:r>
        <w:rPr>
          <w:b w:val="false"/>
          <w:bCs w:val="false"/>
          <w:vertAlign w:val="superscript"/>
        </w:rPr>
        <w:t>th</w:t>
      </w:r>
      <w:r>
        <w:rPr>
          <w:b w:val="false"/>
          <w:bCs w:val="false"/>
        </w:rPr>
        <w:t xml:space="preserve"> May 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w:t>
      </w:r>
      <w:r>
        <w:rPr>
          <w:b w:val="false"/>
          <w:bCs w:val="false"/>
        </w:rPr>
        <w:t xml:space="preserve">to </w:t>
      </w:r>
      <w:r>
        <w:rPr>
          <w:b w:val="false"/>
          <w:bCs w:val="false"/>
        </w:rPr>
        <w:t xml:space="preserve">harvest all its own data from API.  In some cases this would be possible with online storage to hold twenty-four hours of air pollution station measurements.  It would </w:t>
      </w:r>
      <w:r>
        <w:rPr>
          <w:b w:val="false"/>
          <w:bCs w:val="false"/>
        </w:rPr>
        <w:t xml:space="preserve">still </w:t>
      </w:r>
      <w:r>
        <w:rPr>
          <w:b w:val="false"/>
          <w:bCs w:val="false"/>
        </w:rPr>
        <w:t xml:space="preserve">be unlikely </w:t>
      </w:r>
      <w:r>
        <w:rPr>
          <w:b w:val="false"/>
          <w:bCs w:val="false"/>
        </w:rPr>
        <w:t xml:space="preserve">to work with satellite data for ozone and LAI </w:t>
      </w:r>
      <w:r>
        <w:rPr>
          <w:b w:val="false"/>
          <w:bCs w:val="false"/>
        </w:rPr>
        <w:t xml:space="preserve">because Copernicus data is only available by  downloading large discrete files and the data collection routine would have to know the name of the data file to download and process. </w:t>
      </w:r>
    </w:p>
    <w:p>
      <w:pPr>
        <w:pStyle w:val="Normal"/>
        <w:rPr>
          <w:b w:val="false"/>
          <w:b w:val="false"/>
          <w:bCs w:val="false"/>
        </w:rPr>
      </w:pPr>
      <w:r>
        <w:rPr>
          <w:b w:val="false"/>
          <w:bCs w:val="false"/>
        </w:rPr>
      </w:r>
    </w:p>
    <w:p>
      <w:pPr>
        <w:pStyle w:val="Normal"/>
        <w:rPr/>
      </w:pPr>
      <w:r>
        <w:rPr>
          <w:b/>
          <w:bCs/>
        </w:rPr>
        <w:t>Conclusion</w:t>
      </w:r>
    </w:p>
    <w:p>
      <w:pPr>
        <w:pStyle w:val="Normal"/>
        <w:rPr>
          <w:b w:val="false"/>
          <w:b w:val="false"/>
          <w:bCs w:val="false"/>
        </w:rPr>
      </w:pPr>
      <w:r>
        <w:rPr>
          <w:b w:val="false"/>
          <w:bCs w:val="false"/>
        </w:rPr>
        <w:t>The choice of using air quality for the topic ‘Invisible Cities’ provided plenty of added motivation to present it in the best light.  The choice of data (AQI and pollutant measurements) to display and its source was clear to make, but it was more difficult to choose between the tools available to display the information.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skills of the </w:t>
      </w:r>
    </w:p>
    <w:p>
      <w:pPr>
        <w:pStyle w:val="Normal"/>
        <w:rPr>
          <w:b/>
          <w:b/>
          <w:bCs/>
        </w:rPr>
      </w:pPr>
      <w:r>
        <w:rPr>
          <w:b/>
          <w:bCs/>
        </w:rPr>
      </w:r>
    </w:p>
    <w:p>
      <w:pPr>
        <w:pStyle w:val="Normal"/>
        <w:rPr>
          <w:b/>
          <w:b/>
          <w:bCs/>
        </w:rPr>
      </w:pPr>
      <w:r>
        <w:rPr>
          <w:b/>
          <w:bCs/>
        </w:rPr>
      </w:r>
    </w:p>
    <w:p>
      <w:pPr>
        <w:pStyle w:val="Normal"/>
        <w:rPr/>
      </w:pPr>
      <w:r>
        <w:rPr>
          <w:b/>
          <w:bCs/>
        </w:rPr>
        <w:t>References</w:t>
      </w:r>
    </w:p>
    <w:p>
      <w:pPr>
        <w:pStyle w:val="Normal"/>
        <w:rPr/>
      </w:pPr>
      <w:r>
        <w:rPr>
          <w:b w:val="false"/>
          <w:bCs w:val="false"/>
        </w:rPr>
        <w:t>Atterer, R., Wnuk, M., &amp; Schmidt, A. (2006). Knowing the user’s every move. Proceedings of the 15th International Conference on World Wide Web  - WWW  ’06. doi:10.1145/1135777.1135811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Frank Tong, Ken Nakayama, Morris Moscovitch, Oren Weinrib &amp; Nancy Kanwisher (2000) RESPONSE PROPERTIES OF THE HUMAN FUSIFORM FACE AREA, Cognitive Neuropsychology, 17:1-3, 257-280, DOI: </w:t>
      </w:r>
      <w:hyperlink r:id="rId19">
        <w:r>
          <w:rPr>
            <w:rStyle w:val="InternetLink"/>
            <w:b w:val="false"/>
            <w:bCs w:val="false"/>
          </w:rPr>
          <w:t>10.1080/026432900380607</w:t>
        </w:r>
      </w:hyperlink>
      <w:r>
        <w:rPr>
          <w:b w:val="false"/>
          <w:bCs w:val="false"/>
        </w:rPr>
        <w:t xml:space="preserve"> </w:t>
      </w:r>
    </w:p>
    <w:p>
      <w:pPr>
        <w:pStyle w:val="Normal"/>
        <w:rPr>
          <w:b w:val="false"/>
          <w:b w:val="false"/>
          <w:bCs w:val="false"/>
        </w:rPr>
      </w:pPr>
      <w:r>
        <w:rPr>
          <w:b w:val="false"/>
          <w:bCs w:val="false"/>
        </w:rPr>
      </w:r>
    </w:p>
    <w:p>
      <w:pPr>
        <w:pStyle w:val="Normal"/>
        <w:rPr/>
      </w:pPr>
      <w:hyperlink r:id="rId21">
        <w:r>
          <w:rPr>
            <w:rStyle w:val="InternetLink"/>
            <w:b w:val="false"/>
            <w:bCs w:val="false"/>
          </w:rPr>
          <w:t>https://www.cia.gov</w:t>
        </w:r>
      </w:hyperlink>
    </w:p>
    <w:p>
      <w:pPr>
        <w:pStyle w:val="Normal"/>
        <w:rPr>
          <w:b w:val="false"/>
          <w:b w:val="false"/>
          <w:bCs w:val="false"/>
        </w:rPr>
      </w:pPr>
      <w:r>
        <w:rPr/>
      </w:r>
    </w:p>
    <w:p>
      <w:pPr>
        <w:pStyle w:val="Normal"/>
        <w:rPr/>
      </w:pPr>
      <w:hyperlink r:id="rId22">
        <w:r>
          <w:rPr>
            <w:rStyle w:val="InternetLink"/>
            <w:b w:val="false"/>
            <w:bCs w:val="false"/>
          </w:rPr>
          <w:t>https://www.telegraph.co.uk/news/2019/05/02/schoolgirl-could-become-first-person-britain-have-air-pollution/</w:t>
        </w:r>
      </w:hyperlink>
      <w:hyperlink r:id="rId23">
        <w:r>
          <w:rPr>
            <w:b w:val="false"/>
            <w:bCs w:val="false"/>
          </w:rPr>
          <w:t xml:space="preserve"> </w:t>
        </w:r>
      </w:hyperlink>
      <w:r>
        <w:rPr>
          <w:b w:val="false"/>
          <w:bCs w:val="false"/>
        </w:rPr>
        <w:t>[accessed 18 May 2019]</w:t>
      </w:r>
    </w:p>
    <w:p>
      <w:pPr>
        <w:pStyle w:val="Normal"/>
        <w:rPr>
          <w:b/>
          <w:b/>
          <w:bCs/>
        </w:rPr>
      </w:pPr>
      <w:r>
        <w:rPr>
          <w:b/>
          <w:bCs/>
        </w:rPr>
      </w:r>
    </w:p>
    <w:p>
      <w:pPr>
        <w:pStyle w:val="Normal"/>
        <w:rPr/>
      </w:pPr>
      <w:r>
        <w:rPr>
          <w:b w:val="false"/>
          <w:bCs w:val="false"/>
          <w:i/>
          <w:iCs/>
        </w:rPr>
        <w:t>European Space Agency [online] Available at:</w:t>
      </w:r>
    </w:p>
    <w:p>
      <w:pPr>
        <w:pStyle w:val="Normal"/>
        <w:rPr/>
      </w:pPr>
      <w:hyperlink r:id="rId24">
        <w:r>
          <w:rPr>
            <w:rStyle w:val="InternetLink"/>
            <w:b w:val="false"/>
            <w:bCs w:val="false"/>
            <w:i/>
            <w:iCs/>
          </w:rPr>
          <w:t>https://www.esa.int/Our_Activities/Observing_the_Earth/Copernicus/Sentinel-5P/Copernicus_Sentinel-5P_ozone_boosts_daily_forecasts</w:t>
        </w:r>
      </w:hyperlink>
      <w:r>
        <w:rPr>
          <w:b w:val="false"/>
          <w:bCs w:val="false"/>
          <w:i/>
          <w:iCs/>
        </w:rPr>
        <w:t xml:space="preserve"> [accessed 15 May 2019]</w:t>
      </w:r>
    </w:p>
    <w:p>
      <w:pPr>
        <w:pStyle w:val="Normal"/>
        <w:rPr>
          <w:b w:val="false"/>
          <w:b w:val="false"/>
          <w:bCs w:val="false"/>
          <w:i/>
          <w:i/>
          <w:iCs/>
        </w:rPr>
      </w:pPr>
      <w:r>
        <w:rPr>
          <w:b w:val="false"/>
          <w:bCs w:val="false"/>
          <w:i/>
          <w:iCs/>
        </w:rPr>
      </w:r>
    </w:p>
    <w:p>
      <w:pPr>
        <w:pStyle w:val="Normal"/>
        <w:rPr/>
      </w:pPr>
      <w:r>
        <w:rPr>
          <w:b w:val="false"/>
          <w:bCs w:val="false"/>
          <w:i w:val="false"/>
          <w:iCs w:val="false"/>
        </w:rPr>
        <w:t>Netlify</w:t>
      </w:r>
      <w:r>
        <w:rPr>
          <w:b w:val="false"/>
          <w:bCs w:val="false"/>
          <w:i/>
          <w:iCs/>
        </w:rPr>
        <w:t xml:space="preserve"> https://www.netlify.com/</w:t>
      </w:r>
    </w:p>
    <w:p>
      <w:pPr>
        <w:pStyle w:val="Normal"/>
        <w:rPr>
          <w:b w:val="false"/>
          <w:b w:val="false"/>
          <w:bCs w:val="false"/>
          <w:i/>
          <w:i/>
          <w:iCs/>
        </w:rPr>
      </w:pPr>
      <w:r>
        <w:rPr>
          <w:b w:val="false"/>
          <w:bCs w:val="false"/>
          <w:i/>
          <w:iCs/>
        </w:rPr>
      </w:r>
    </w:p>
    <w:p>
      <w:pPr>
        <w:pStyle w:val="Normal"/>
        <w:rPr/>
      </w:pPr>
      <w:r>
        <w:rPr>
          <w:b w:val="false"/>
          <w:bCs w:val="false"/>
          <w:i/>
          <w:iCs/>
        </w:rPr>
        <w:t xml:space="preserve">Thunberg, Greta  </w:t>
      </w:r>
      <w:r>
        <w:rPr>
          <w:rStyle w:val="InternetLink"/>
          <w:b w:val="false"/>
          <w:bCs w:val="false"/>
          <w:i/>
          <w:iCs/>
        </w:rPr>
        <w:t>https://in.reuters.com/article/france-notredame-thunberg-idINKCN1RS1TV</w:t>
      </w:r>
    </w:p>
    <w:p>
      <w:pPr>
        <w:pStyle w:val="Normal"/>
        <w:rPr>
          <w:b w:val="false"/>
          <w:b w:val="false"/>
          <w:bCs w:val="false"/>
          <w:i/>
          <w:i/>
          <w:iCs/>
        </w:rPr>
      </w:pPr>
      <w:r>
        <w:rPr>
          <w:b w:val="false"/>
          <w:bCs w:val="false"/>
          <w:i/>
          <w:iCs/>
        </w:rPr>
      </w:r>
    </w:p>
    <w:p>
      <w:pPr>
        <w:pStyle w:val="Normal"/>
        <w:rPr/>
      </w:pPr>
      <w:r>
        <w:rPr>
          <w:b w:val="false"/>
          <w:bCs w:val="false"/>
          <w:i w:val="false"/>
          <w:iCs w:val="false"/>
        </w:rPr>
        <w:t>Webstorm IDE</w:t>
      </w:r>
      <w:r>
        <w:rPr>
          <w:b w:val="false"/>
          <w:bCs w:val="false"/>
          <w:i/>
          <w:iCs/>
        </w:rPr>
        <w:t xml:space="preserve"> </w:t>
      </w:r>
      <w:hyperlink r:id="rId25">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Worldbank website, https://data.worldbank.org/indicator/SP.DYN.LE00.IN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i/>
          <w:iCs/>
        </w:rPr>
        <w:t>sample references</w:t>
      </w:r>
    </w:p>
    <w:p>
      <w:pPr>
        <w:pStyle w:val="Normal"/>
        <w:rPr/>
      </w:pPr>
      <w:r>
        <w:rPr>
          <w:i/>
          <w:iCs/>
        </w:rPr>
        <w:t>in-text (Vey, Lough and Baczynska, 2019)</w:t>
      </w:r>
    </w:p>
    <w:p>
      <w:pPr>
        <w:pStyle w:val="Normal"/>
        <w:rPr/>
      </w:pPr>
      <w:r>
        <w:rPr>
          <w:i/>
          <w:iCs/>
        </w:rPr>
        <w:t>(Muldoon et al., 2007)</w:t>
      </w:r>
    </w:p>
    <w:p>
      <w:pPr>
        <w:pStyle w:val="TextBody"/>
        <w:rPr>
          <w:i/>
          <w:i/>
          <w:iCs/>
        </w:rPr>
      </w:pPr>
      <w:r>
        <w:rPr>
          <w:i/>
          <w:iCs/>
        </w:rPr>
      </w:r>
    </w:p>
    <w:p>
      <w:pPr>
        <w:pStyle w:val="TextBody"/>
        <w:rPr/>
      </w:pPr>
      <w:r>
        <w:rPr>
          <w:i/>
          <w:iCs/>
        </w:rPr>
        <w:t>Full list</w:t>
      </w:r>
    </w:p>
    <w:p>
      <w:pPr>
        <w:pStyle w:val="TextBody"/>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26" w:tgtFrame="_blank">
        <w:r>
          <w:rPr>
            <w:rStyle w:val="InternetLink"/>
            <w:i/>
            <w:iCs/>
          </w:rPr>
          <w:t>https://www.consilium.europa.eu/en/european-council/president/</w:t>
        </w:r>
      </w:hyperlink>
      <w:r>
        <w:rPr>
          <w:i/>
          <w:iCs/>
        </w:rPr>
        <w:t xml:space="preserve"> [Accessed 20 April 2019] </w:t>
      </w:r>
    </w:p>
    <w:p>
      <w:pPr>
        <w:pStyle w:val="TextBody"/>
        <w:rPr/>
      </w:pPr>
      <w:r>
        <w:rPr>
          <w:i/>
          <w:iCs/>
        </w:rPr>
        <w:t>Loader, B. and Mercea, D. (2011). NETWORKING DEMOCRACY?. Information, Communication &amp; Society, 14(6), pp.757-769.</w:t>
      </w:r>
    </w:p>
    <w:p>
      <w:pPr>
        <w:pStyle w:val="TextBody"/>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pPr>
      <w:r>
        <w:rPr>
          <w:b/>
          <w:bCs/>
        </w:rPr>
        <w:t>Notes for display</w:t>
      </w:r>
    </w:p>
    <w:p>
      <w:pPr>
        <w:pStyle w:val="Normal"/>
        <w:rPr/>
      </w:pPr>
      <w:r>
        <w:rPr/>
      </w:r>
    </w:p>
    <w:p>
      <w:pPr>
        <w:pStyle w:val="Normal"/>
        <w:rPr/>
      </w:pPr>
      <w:r>
        <w:rPr/>
        <w:t>Globe – background, point data for cities</w:t>
      </w:r>
    </w:p>
    <w:p>
      <w:pPr>
        <w:pStyle w:val="Normal"/>
        <w:rPr/>
      </w:pPr>
      <w:r>
        <w:rPr/>
        <w:t xml:space="preserve">2D map – subset </w:t>
      </w:r>
    </w:p>
    <w:p>
      <w:pPr>
        <w:pStyle w:val="Normal"/>
        <w:rPr/>
      </w:pPr>
      <w:r>
        <w:rPr/>
        <w:t>Unity – everything</w:t>
      </w:r>
    </w:p>
    <w:p>
      <w:pPr>
        <w:pStyle w:val="Normal"/>
        <w:rPr/>
      </w:pPr>
      <w:r>
        <w:rPr/>
        <w:t>Map – storyboard to focus on different areas</w:t>
      </w:r>
    </w:p>
    <w:p>
      <w:pPr>
        <w:pStyle w:val="Normal"/>
        <w:rPr/>
      </w:pPr>
      <w:r>
        <w:rPr/>
        <w:t xml:space="preserve">Historical slider bar </w:t>
      </w:r>
    </w:p>
    <w:p>
      <w:pPr>
        <w:pStyle w:val="Normal"/>
        <w:rPr/>
      </w:pPr>
      <w:r>
        <w:rPr/>
      </w:r>
    </w:p>
    <w:p>
      <w:pPr>
        <w:pStyle w:val="Normal"/>
        <w:rPr/>
      </w:pPr>
      <w:r>
        <w:rPr/>
      </w:r>
    </w:p>
    <w:p>
      <w:pPr>
        <w:pStyle w:val="Normal"/>
        <w:rPr/>
      </w:pPr>
      <w:r>
        <w:rPr/>
        <w:t>Industrial percentage per country for the spinning globe.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hyperlink" Target="http://planetaryjs.com/examples/quake/index.html" TargetMode="External"/><Relationship Id="rId17" Type="http://schemas.openxmlformats.org/officeDocument/2006/relationships/hyperlink" Target="https://www.d3indepth.com/geographic/" TargetMode="External"/><Relationship Id="rId18" Type="http://schemas.openxmlformats.org/officeDocument/2006/relationships/hyperlink" Target="https://www.maptoglobe.com/" TargetMode="External"/><Relationship Id="rId19" Type="http://schemas.openxmlformats.org/officeDocument/2006/relationships/hyperlink" Target="https://doi.org/10.1080/026432900380607" TargetMode="External"/><Relationship Id="rId20" Type="http://schemas.openxmlformats.org/officeDocument/2006/relationships/hyperlink" Target="https://www.cia.gov/" TargetMode="External"/><Relationship Id="rId21" Type="http://schemas.openxmlformats.org/officeDocument/2006/relationships/hyperlink" Target="" TargetMode="External"/><Relationship Id="rId22" Type="http://schemas.openxmlformats.org/officeDocument/2006/relationships/hyperlink" Target="https://www.telegraph.co.uk/news/2019/05/02/schoolgirl-could-become-first-person-britain-have-air-pollution/" TargetMode="External"/><Relationship Id="rId23" Type="http://schemas.openxmlformats.org/officeDocument/2006/relationships/hyperlink" Target="" TargetMode="External"/><Relationship Id="rId24" Type="http://schemas.openxmlformats.org/officeDocument/2006/relationships/hyperlink" Target="https://www.esa.int/Our_Activities/Observing_the_Earth/Copernicus/Sentinel-5P/Copernicus_Sentinel-5P_ozone_boosts_daily_forecasts" TargetMode="External"/><Relationship Id="rId25" Type="http://schemas.openxmlformats.org/officeDocument/2006/relationships/hyperlink" Target="https://www.jetbrains.com/webstorm/" TargetMode="External"/><Relationship Id="rId26" Type="http://schemas.openxmlformats.org/officeDocument/2006/relationships/hyperlink" Target="https://www.consilium.europa.eu/en/european-council/president/"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LibreOffice/6.2.2.2$Linux_X86_64 LibreOffice_project/20$Build-2</Application>
  <Pages>7</Pages>
  <Words>3225</Words>
  <Characters>17473</Characters>
  <CharactersWithSpaces>20746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2019-05-18T14:43:53Z</dcterms:modified>
  <cp:revision>36</cp:revision>
  <dc:subject/>
  <dc:title/>
</cp:coreProperties>
</file>