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1F4E5F"/>
          <w:sz w:val="44"/>
          <w:szCs w:val="44"/>
        </w:rPr>
        <w:t xml:space="preserve">Dataset Justification Report</w:t>
      </w:r>
    </w:p>
    <w:p>
      <w:pPr>
        <w:spacing w:after="100"/>
        <w:jc w:val="center"/>
      </w:pPr>
      <w:r>
        <w:rPr>
          <w:i/>
          <w:iCs/>
          <w:color w:val="555555"/>
          <w:sz w:val="28"/>
          <w:szCs w:val="28"/>
        </w:rPr>
        <w:t xml:space="preserve">CV-Based Town Planning Risk System</w:t>
      </w:r>
    </w:p>
    <w:p>
      <w:pPr>
        <w:spacing w:after="600"/>
        <w:jc w:val="center"/>
      </w:pPr>
      <w:r>
        <w:rPr>
          <w:color w:val="555555"/>
          <w:sz w:val="24"/>
          <w:szCs w:val="24"/>
        </w:rPr>
        <w:t xml:space="preserve">Sources, Reliability, and Intended Use of All Project Datasets</w:t>
      </w:r>
    </w:p>
    <w:p>
      <w:pPr>
        <w:spacing w:after="100"/>
        <w:jc w:val="center"/>
      </w:pPr>
      <w:r>
        <w:rPr>
          <w:b/>
          <w:bCs/>
          <w:sz w:val="22"/>
          <w:szCs w:val="22"/>
        </w:rPr>
        <w:t xml:space="preserve">Prepared to answer: Where is the data coming from? Is it solid? Is it useful?</w:t>
      </w:r>
    </w:p>
    <w:p>
      <w:r>
        <w:br w:type="page"/>
      </w:r>
    </w:p>
    <w:p>
      <w:pPr>
        <w:pStyle w:val="Heading1"/>
        <w:spacing w:after="160" w:before="360"/>
      </w:pPr>
      <w:r>
        <w:t xml:space="preserve">1. Executive Summary</w:t>
      </w:r>
    </w:p>
    <w:p>
      <w:pPr>
        <w:spacing w:after="160"/>
      </w:pPr>
      <w:r>
        <w:t xml:space="preserve">Our project requires four categories of geospatial data: (1) satellite imagery to observe the built environment, (2) elevation data to identify flood-prone low-lying zones, (3) water body/hydrography data to measure proximity to rivers and lakes, and (4) building footprint data to serve as ground-truth labels for training our computer vision model.</w:t>
      </w:r>
    </w:p>
    <w:p>
      <w:pPr>
        <w:spacing w:after="160"/>
      </w:pPr>
      <w:r>
        <w:t xml:space="preserve">Every dataset listed in this report is:</w:t>
      </w:r>
    </w:p>
    <w:p>
      <w:pPr>
        <w:pStyle w:val="ListParagraph"/>
        <w:numPr>
          <w:ilvl w:val="0"/>
          <w:numId w:val="2"/>
        </w:numPr>
        <w:spacing w:after="100"/>
      </w:pPr>
      <w:r>
        <w:t xml:space="preserve">Free and publicly accessible — no paid licenses or restricted access required</w:t>
      </w:r>
    </w:p>
    <w:p>
      <w:pPr>
        <w:pStyle w:val="ListParagraph"/>
        <w:numPr>
          <w:ilvl w:val="0"/>
          <w:numId w:val="2"/>
        </w:numPr>
        <w:spacing w:after="100"/>
      </w:pPr>
      <w:r>
        <w:t xml:space="preserve">Verified live — we have written and run scripts that actually connect to each source and confirm data is returned (not assumed from documentation alone)</w:t>
      </w:r>
    </w:p>
    <w:p>
      <w:pPr>
        <w:pStyle w:val="ListParagraph"/>
        <w:numPr>
          <w:ilvl w:val="0"/>
          <w:numId w:val="2"/>
        </w:numPr>
        <w:spacing w:after="100"/>
      </w:pPr>
      <w:r>
        <w:t xml:space="preserve">Used in existing, published research — each source has a track record in academic urban-planning and remote-sensing literature</w:t>
      </w:r>
    </w:p>
    <w:p>
      <w:pPr>
        <w:pStyle w:val="ListParagraph"/>
        <w:numPr>
          <w:ilvl w:val="0"/>
          <w:numId w:val="2"/>
        </w:numPr>
        <w:spacing w:after="100"/>
      </w:pPr>
      <w:r>
        <w:t xml:space="preserve">Provenance-tracked — our pipeline explicitly logs whether each run used real fetched data or a fallback, so we always know what we're looking at</w:t>
      </w:r>
    </w:p>
    <w:p>
      <w:pPr>
        <w:spacing w:after="160"/>
      </w:pPr>
      <w:r>
        <w:t xml:space="preserve">This report documents exactly where each dataset comes from, how we verified it is real and reachable, its resolution and limitations, and how it will be used in our pipeline (Observation → Analysis → Risk Prediction).</w:t>
      </w:r>
    </w:p>
    <w:p>
      <w:pPr>
        <w:spacing w:after="160"/>
      </w:pPr>
      <w:r>
        <w:rPr>
          <w:b/>
          <w:bCs/>
        </w:rPr>
        <w:t xml:space="preserve">A note on scope: </w:t>
      </w:r>
      <w:r>
        <w:t xml:space="preserve">this report establishes that our datasets are solid, free, and sufficient to build a genuine working project. It does not claim the project will be free of engineering issues — no CV/remote-sensing project of this kind is. Section 9 documents the real risks we anticipate and how we plan to handle them, rather than leaving that for evaluators to discover later.</w:t>
      </w:r>
    </w:p>
    <w:p>
      <w:pPr>
        <w:pStyle w:val="Heading1"/>
        <w:spacing w:after="160" w:before="360"/>
      </w:pPr>
      <w:r>
        <w:t xml:space="preserve">2. Study Area (Pilot Town)</w:t>
      </w:r>
    </w:p>
    <w:p>
      <w:pPr>
        <w:spacing w:after="160"/>
      </w:pPr>
      <w:r>
        <w:rPr>
          <w:b/>
          <w:bCs/>
        </w:rPr>
        <w:t xml:space="preserve">Selected town: </w:t>
      </w:r>
      <w:r>
        <w:t xml:space="preserve">Aluva / North Kochi, Periyar River Basin, Kerala, India</w:t>
      </w:r>
    </w:p>
    <w:p>
      <w:pPr>
        <w:spacing w:after="160"/>
      </w:pPr>
      <w:r>
        <w:rPr>
          <w:b/>
          <w:bCs/>
        </w:rPr>
        <w:t xml:space="preserve">Bounding box: </w:t>
      </w:r>
      <w:r>
        <w:t xml:space="preserve">76.30°E–76.40°E, 10.05°N–10.15°N (~10km × 10km area)</w:t>
      </w:r>
    </w:p>
    <w:p>
      <w:pPr>
        <w:spacing w:after="160"/>
      </w:pPr>
      <w:r>
        <w:t xml:space="preserve">This area was chosen deliberately, not arbitrarily:</w:t>
      </w:r>
    </w:p>
    <w:p>
      <w:pPr>
        <w:pStyle w:val="ListParagraph"/>
        <w:numPr>
          <w:ilvl w:val="0"/>
          <w:numId w:val="2"/>
        </w:numPr>
        <w:spacing w:after="100"/>
      </w:pPr>
      <w:r>
        <w:t xml:space="preserve">It sits directly on the Periyar river basin, giving genuine, non-trivial flood-risk geography to analyse</w:t>
      </w:r>
    </w:p>
    <w:p>
      <w:pPr>
        <w:pStyle w:val="ListParagraph"/>
        <w:numPr>
          <w:ilvl w:val="0"/>
          <w:numId w:val="2"/>
        </w:numPr>
        <w:spacing w:after="100"/>
      </w:pPr>
      <w:r>
        <w:t xml:space="preserve">It has a documented recent history of severe flooding (the 2018 Kerala floods significantly affected this region), which gives our risk-prediction problem real, verifiable stakes</w:t>
      </w:r>
    </w:p>
    <w:p>
      <w:pPr>
        <w:pStyle w:val="ListParagraph"/>
        <w:numPr>
          <w:ilvl w:val="0"/>
          <w:numId w:val="2"/>
        </w:numPr>
        <w:spacing w:after="100"/>
      </w:pPr>
      <w:r>
        <w:t xml:space="preserve">It has experienced visible urban expansion in the last decade, giving us genuine change to detect between years</w:t>
      </w:r>
    </w:p>
    <w:p>
      <w:pPr>
        <w:pStyle w:val="ListParagraph"/>
        <w:numPr>
          <w:ilvl w:val="0"/>
          <w:numId w:val="2"/>
        </w:numPr>
        <w:spacing w:after="100"/>
      </w:pPr>
      <w:r>
        <w:t xml:space="preserve">Scoping to one well-defined town (rather than an entire state or country) keeps data volume, storage, and computation realistic for a final-year project timeline</w:t>
      </w:r>
    </w:p>
    <w:p>
      <w:pPr>
        <w:pStyle w:val="Heading1"/>
        <w:spacing w:after="160" w:before="360"/>
      </w:pPr>
      <w:r>
        <w:t xml:space="preserve">3. Dataset Overview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gridCol w:w="12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Data Layer</w:t>
            </w:r>
          </w:p>
        </w:tc>
        <w:tc>
          <w:tcPr>
            <w:tcW w:type="dxa" w:w="3800"/>
            <w:shd w:fill="1F4E5F" w:val="clear"/>
            <w:tcMar>
              <w:top w:type="dxa" w:w="80"/>
              <w:left w:type="dxa" w:w="100"/>
              <w:bottom w:type="dxa" w:w="80"/>
              <w:right w:type="dxa" w:w="100"/>
            </w:tcMar>
          </w:tcPr>
          <w:p>
            <w:r>
              <w:rPr>
                <w:b/>
                <w:bCs/>
                <w:color w:val="FFFFFF"/>
                <w:sz w:val="19"/>
                <w:szCs w:val="19"/>
              </w:rPr>
              <w:t xml:space="preserve">Source</w:t>
            </w:r>
          </w:p>
        </w:tc>
        <w:tc>
          <w:tcPr>
            <w:tcW w:type="dxa" w:w="2800"/>
            <w:shd w:fill="1F4E5F" w:val="clear"/>
            <w:tcMar>
              <w:top w:type="dxa" w:w="80"/>
              <w:left w:type="dxa" w:w="100"/>
              <w:bottom w:type="dxa" w:w="80"/>
              <w:right w:type="dxa" w:w="100"/>
            </w:tcMar>
          </w:tcPr>
          <w:p>
            <w:r>
              <w:rPr>
                <w:b/>
                <w:bCs/>
                <w:color w:val="FFFFFF"/>
                <w:sz w:val="19"/>
                <w:szCs w:val="19"/>
              </w:rPr>
              <w:t xml:space="preserve">Access Method</w:t>
            </w:r>
          </w:p>
        </w:tc>
        <w:tc>
          <w:tcPr>
            <w:tcW w:type="dxa" w:w="1200"/>
            <w:shd w:fill="1F4E5F" w:val="clear"/>
            <w:tcMar>
              <w:top w:type="dxa" w:w="80"/>
              <w:left w:type="dxa" w:w="100"/>
              <w:bottom w:type="dxa" w:w="80"/>
              <w:right w:type="dxa" w:w="100"/>
            </w:tcMar>
          </w:tcPr>
          <w:p>
            <w:r>
              <w:rPr>
                <w:b/>
                <w:bCs/>
                <w:color w:val="FFFFFF"/>
                <w:sz w:val="19"/>
                <w:szCs w:val="19"/>
              </w:rPr>
              <w:t xml:space="preserve">Cost</w:t>
            </w:r>
          </w:p>
        </w:tc>
      </w:tr>
      <w:tr>
        <w:tc>
          <w:tcPr>
            <w:tcW w:type="dxa" w:w="2600"/>
            <w:tcMar>
              <w:top w:type="dxa" w:w="80"/>
              <w:left w:type="dxa" w:w="100"/>
              <w:bottom w:type="dxa" w:w="80"/>
              <w:right w:type="dxa" w:w="100"/>
            </w:tcMar>
          </w:tcPr>
          <w:p>
            <w:r>
              <w:rPr>
                <w:b w:val="false"/>
                <w:bCs w:val="false"/>
                <w:color w:val="000000"/>
                <w:sz w:val="19"/>
                <w:szCs w:val="19"/>
              </w:rPr>
              <w:t xml:space="preserve">Multispectral satellite imagery</w:t>
            </w:r>
          </w:p>
        </w:tc>
        <w:tc>
          <w:tcPr>
            <w:tcW w:type="dxa" w:w="3800"/>
            <w:tcMar>
              <w:top w:type="dxa" w:w="80"/>
              <w:left w:type="dxa" w:w="100"/>
              <w:bottom w:type="dxa" w:w="80"/>
              <w:right w:type="dxa" w:w="100"/>
            </w:tcMar>
          </w:tcPr>
          <w:p>
            <w:r>
              <w:rPr>
                <w:b w:val="false"/>
                <w:bCs w:val="false"/>
                <w:color w:val="000000"/>
                <w:sz w:val="19"/>
                <w:szCs w:val="19"/>
              </w:rPr>
              <w:t xml:space="preserve">Sentinel-2 Level-2A (ESA Copernicus programme)</w:t>
            </w:r>
          </w:p>
        </w:tc>
        <w:tc>
          <w:tcPr>
            <w:tcW w:type="dxa" w:w="2800"/>
            <w:tcMar>
              <w:top w:type="dxa" w:w="80"/>
              <w:left w:type="dxa" w:w="100"/>
              <w:bottom w:type="dxa" w:w="80"/>
              <w:right w:type="dxa" w:w="100"/>
            </w:tcMar>
          </w:tcPr>
          <w:p>
            <w:r>
              <w:rPr>
                <w:b w:val="false"/>
                <w:bCs w:val="false"/>
                <w:color w:val="000000"/>
                <w:sz w:val="19"/>
                <w:szCs w:val="19"/>
              </w:rPr>
              <w:t xml:space="preserve">AWS Earth Search STAC API</w:t>
            </w:r>
          </w:p>
        </w:tc>
        <w:tc>
          <w:tcPr>
            <w:tcW w:type="dxa" w:w="1200"/>
            <w:tcMar>
              <w:top w:type="dxa" w:w="80"/>
              <w:left w:type="dxa" w:w="100"/>
              <w:bottom w:type="dxa" w:w="80"/>
              <w:right w:type="dxa" w:w="100"/>
            </w:tcMar>
          </w:tcPr>
          <w:p>
            <w:r>
              <w:rPr>
                <w:b w:val="false"/>
                <w:bCs w:val="false"/>
                <w:color w:val="000000"/>
                <w:sz w:val="19"/>
                <w:szCs w:val="19"/>
              </w:rPr>
              <w:t xml:space="preserve">Free</w:t>
            </w:r>
          </w:p>
        </w:tc>
      </w:tr>
      <w:tr>
        <w:tc>
          <w:tcPr>
            <w:tcW w:type="dxa" w:w="2600"/>
            <w:tcMar>
              <w:top w:type="dxa" w:w="80"/>
              <w:left w:type="dxa" w:w="100"/>
              <w:bottom w:type="dxa" w:w="80"/>
              <w:right w:type="dxa" w:w="100"/>
            </w:tcMar>
          </w:tcPr>
          <w:p>
            <w:r>
              <w:rPr>
                <w:b w:val="false"/>
                <w:bCs w:val="false"/>
                <w:color w:val="000000"/>
                <w:sz w:val="19"/>
                <w:szCs w:val="19"/>
              </w:rPr>
              <w:t xml:space="preserve">Elevation / topography</w:t>
            </w:r>
          </w:p>
        </w:tc>
        <w:tc>
          <w:tcPr>
            <w:tcW w:type="dxa" w:w="3800"/>
            <w:tcMar>
              <w:top w:type="dxa" w:w="80"/>
              <w:left w:type="dxa" w:w="100"/>
              <w:bottom w:type="dxa" w:w="80"/>
              <w:right w:type="dxa" w:w="100"/>
            </w:tcMar>
          </w:tcPr>
          <w:p>
            <w:r>
              <w:rPr>
                <w:b w:val="false"/>
                <w:bCs w:val="false"/>
                <w:color w:val="000000"/>
                <w:sz w:val="19"/>
                <w:szCs w:val="19"/>
              </w:rPr>
              <w:t xml:space="preserve">Copernicus Global DEM (GLO-90 / GLO-30)</w:t>
            </w:r>
          </w:p>
        </w:tc>
        <w:tc>
          <w:tcPr>
            <w:tcW w:type="dxa" w:w="2800"/>
            <w:tcMar>
              <w:top w:type="dxa" w:w="80"/>
              <w:left w:type="dxa" w:w="100"/>
              <w:bottom w:type="dxa" w:w="80"/>
              <w:right w:type="dxa" w:w="100"/>
            </w:tcMar>
          </w:tcPr>
          <w:p>
            <w:r>
              <w:rPr>
                <w:b w:val="false"/>
                <w:bCs w:val="false"/>
                <w:color w:val="000000"/>
                <w:sz w:val="19"/>
                <w:szCs w:val="19"/>
              </w:rPr>
              <w:t xml:space="preserve">Open-Meteo Elevation API</w:t>
            </w:r>
          </w:p>
        </w:tc>
        <w:tc>
          <w:tcPr>
            <w:tcW w:type="dxa" w:w="1200"/>
            <w:tcMar>
              <w:top w:type="dxa" w:w="80"/>
              <w:left w:type="dxa" w:w="100"/>
              <w:bottom w:type="dxa" w:w="80"/>
              <w:right w:type="dxa" w:w="100"/>
            </w:tcMar>
          </w:tcPr>
          <w:p>
            <w:r>
              <w:rPr>
                <w:b w:val="false"/>
                <w:bCs w:val="false"/>
                <w:color w:val="000000"/>
                <w:sz w:val="19"/>
                <w:szCs w:val="19"/>
              </w:rPr>
              <w:t xml:space="preserve">Free</w:t>
            </w:r>
          </w:p>
        </w:tc>
      </w:tr>
      <w:tr>
        <w:tc>
          <w:tcPr>
            <w:tcW w:type="dxa" w:w="2600"/>
            <w:tcMar>
              <w:top w:type="dxa" w:w="80"/>
              <w:left w:type="dxa" w:w="100"/>
              <w:bottom w:type="dxa" w:w="80"/>
              <w:right w:type="dxa" w:w="100"/>
            </w:tcMar>
          </w:tcPr>
          <w:p>
            <w:r>
              <w:rPr>
                <w:b w:val="false"/>
                <w:bCs w:val="false"/>
                <w:color w:val="000000"/>
                <w:sz w:val="19"/>
                <w:szCs w:val="19"/>
              </w:rPr>
              <w:t xml:space="preserve">Water bodies &amp; rivers</w:t>
            </w:r>
          </w:p>
        </w:tc>
        <w:tc>
          <w:tcPr>
            <w:tcW w:type="dxa" w:w="3800"/>
            <w:tcMar>
              <w:top w:type="dxa" w:w="80"/>
              <w:left w:type="dxa" w:w="100"/>
              <w:bottom w:type="dxa" w:w="80"/>
              <w:right w:type="dxa" w:w="100"/>
            </w:tcMar>
          </w:tcPr>
          <w:p>
            <w:r>
              <w:rPr>
                <w:b w:val="false"/>
                <w:bCs w:val="false"/>
                <w:color w:val="000000"/>
                <w:sz w:val="19"/>
                <w:szCs w:val="19"/>
              </w:rPr>
              <w:t xml:space="preserve">OpenStreetMap hydrography</w:t>
            </w:r>
          </w:p>
        </w:tc>
        <w:tc>
          <w:tcPr>
            <w:tcW w:type="dxa" w:w="2800"/>
            <w:tcMar>
              <w:top w:type="dxa" w:w="80"/>
              <w:left w:type="dxa" w:w="100"/>
              <w:bottom w:type="dxa" w:w="80"/>
              <w:right w:type="dxa" w:w="100"/>
            </w:tcMar>
          </w:tcPr>
          <w:p>
            <w:r>
              <w:rPr>
                <w:b w:val="false"/>
                <w:bCs w:val="false"/>
                <w:color w:val="000000"/>
                <w:sz w:val="19"/>
                <w:szCs w:val="19"/>
              </w:rPr>
              <w:t xml:space="preserve">Overpass API (+ bulk extract for production)</w:t>
            </w:r>
          </w:p>
        </w:tc>
        <w:tc>
          <w:tcPr>
            <w:tcW w:type="dxa" w:w="1200"/>
            <w:tcMar>
              <w:top w:type="dxa" w:w="80"/>
              <w:left w:type="dxa" w:w="100"/>
              <w:bottom w:type="dxa" w:w="80"/>
              <w:right w:type="dxa" w:w="100"/>
            </w:tcMar>
          </w:tcPr>
          <w:p>
            <w:r>
              <w:rPr>
                <w:b w:val="false"/>
                <w:bCs w:val="false"/>
                <w:color w:val="000000"/>
                <w:sz w:val="19"/>
                <w:szCs w:val="19"/>
              </w:rPr>
              <w:t xml:space="preserve">Free</w:t>
            </w:r>
          </w:p>
        </w:tc>
      </w:tr>
      <w:tr>
        <w:tc>
          <w:tcPr>
            <w:tcW w:type="dxa" w:w="2600"/>
            <w:tcMar>
              <w:top w:type="dxa" w:w="80"/>
              <w:left w:type="dxa" w:w="100"/>
              <w:bottom w:type="dxa" w:w="80"/>
              <w:right w:type="dxa" w:w="100"/>
            </w:tcMar>
          </w:tcPr>
          <w:p>
            <w:r>
              <w:rPr>
                <w:b w:val="false"/>
                <w:bCs w:val="false"/>
                <w:color w:val="000000"/>
                <w:sz w:val="19"/>
                <w:szCs w:val="19"/>
              </w:rPr>
              <w:t xml:space="preserve">Building footprints (labels)</w:t>
            </w:r>
          </w:p>
        </w:tc>
        <w:tc>
          <w:tcPr>
            <w:tcW w:type="dxa" w:w="3800"/>
            <w:tcMar>
              <w:top w:type="dxa" w:w="80"/>
              <w:left w:type="dxa" w:w="100"/>
              <w:bottom w:type="dxa" w:w="80"/>
              <w:right w:type="dxa" w:w="100"/>
            </w:tcMar>
          </w:tcPr>
          <w:p>
            <w:r>
              <w:rPr>
                <w:b w:val="false"/>
                <w:bCs w:val="false"/>
                <w:color w:val="000000"/>
                <w:sz w:val="19"/>
                <w:szCs w:val="19"/>
              </w:rPr>
              <w:t xml:space="preserve">OpenStreetMap + Microsoft Global ML Building Footprints + Google Open Buildings v3</w:t>
            </w:r>
          </w:p>
        </w:tc>
        <w:tc>
          <w:tcPr>
            <w:tcW w:type="dxa" w:w="2800"/>
            <w:tcMar>
              <w:top w:type="dxa" w:w="80"/>
              <w:left w:type="dxa" w:w="100"/>
              <w:bottom w:type="dxa" w:w="80"/>
              <w:right w:type="dxa" w:w="100"/>
            </w:tcMar>
          </w:tcPr>
          <w:p>
            <w:r>
              <w:rPr>
                <w:b w:val="false"/>
                <w:bCs w:val="false"/>
                <w:color w:val="000000"/>
                <w:sz w:val="19"/>
                <w:szCs w:val="19"/>
              </w:rPr>
              <w:t xml:space="preserve">Overpass API / bulk GeoJSON download</w:t>
            </w:r>
          </w:p>
        </w:tc>
        <w:tc>
          <w:tcPr>
            <w:tcW w:type="dxa" w:w="1200"/>
            <w:tcMar>
              <w:top w:type="dxa" w:w="80"/>
              <w:left w:type="dxa" w:w="100"/>
              <w:bottom w:type="dxa" w:w="80"/>
              <w:right w:type="dxa" w:w="100"/>
            </w:tcMar>
          </w:tcPr>
          <w:p>
            <w:r>
              <w:rPr>
                <w:b w:val="false"/>
                <w:bCs w:val="false"/>
                <w:color w:val="000000"/>
                <w:sz w:val="19"/>
                <w:szCs w:val="19"/>
              </w:rPr>
              <w:t xml:space="preserve">Free</w:t>
            </w:r>
          </w:p>
        </w:tc>
      </w:tr>
    </w:tbl>
    <w:p>
      <w:pPr>
        <w:pStyle w:val="Heading1"/>
        <w:spacing w:after="160" w:before="360"/>
      </w:pPr>
      <w:r>
        <w:t xml:space="preserve">4. Dataset Details</w:t>
      </w:r>
    </w:p>
    <w:p>
      <w:pPr>
        <w:pStyle w:val="Heading2"/>
        <w:spacing w:after="120" w:before="260"/>
      </w:pPr>
      <w:r>
        <w:t xml:space="preserve">4.1 Satellite Imagery — Sentinel-2 Level-2A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Property</w:t>
            </w:r>
          </w:p>
        </w:tc>
        <w:tc>
          <w:tcPr>
            <w:tcW w:type="dxa" w:w="7800"/>
            <w:shd w:fill="1F4E5F" w:val="clear"/>
            <w:tcMar>
              <w:top w:type="dxa" w:w="80"/>
              <w:left w:type="dxa" w:w="100"/>
              <w:bottom w:type="dxa" w:w="80"/>
              <w:right w:type="dxa" w:w="100"/>
            </w:tcMar>
          </w:tcPr>
          <w:p>
            <w:r>
              <w:rPr>
                <w:b/>
                <w:bCs/>
                <w:color w:val="FFFFFF"/>
                <w:sz w:val="19"/>
                <w:szCs w:val="19"/>
              </w:rPr>
              <w:t xml:space="preserve">Detail</w:t>
            </w:r>
          </w:p>
        </w:tc>
      </w:tr>
      <w:tr>
        <w:tc>
          <w:tcPr>
            <w:tcW w:type="dxa" w:w="2600"/>
            <w:tcMar>
              <w:top w:type="dxa" w:w="80"/>
              <w:left w:type="dxa" w:w="100"/>
              <w:bottom w:type="dxa" w:w="80"/>
              <w:right w:type="dxa" w:w="100"/>
            </w:tcMar>
          </w:tcPr>
          <w:p>
            <w:r>
              <w:rPr>
                <w:b w:val="false"/>
                <w:bCs w:val="false"/>
                <w:color w:val="000000"/>
                <w:sz w:val="19"/>
                <w:szCs w:val="19"/>
              </w:rPr>
              <w:t xml:space="preserve">Provider</w:t>
            </w:r>
          </w:p>
        </w:tc>
        <w:tc>
          <w:tcPr>
            <w:tcW w:type="dxa" w:w="7800"/>
            <w:tcMar>
              <w:top w:type="dxa" w:w="80"/>
              <w:left w:type="dxa" w:w="100"/>
              <w:bottom w:type="dxa" w:w="80"/>
              <w:right w:type="dxa" w:w="100"/>
            </w:tcMar>
          </w:tcPr>
          <w:p>
            <w:r>
              <w:rPr>
                <w:b w:val="false"/>
                <w:bCs w:val="false"/>
                <w:color w:val="000000"/>
                <w:sz w:val="19"/>
                <w:szCs w:val="19"/>
              </w:rPr>
              <w:t xml:space="preserve">European Space Agency (ESA), Copernicus Programme</w:t>
            </w:r>
          </w:p>
        </w:tc>
      </w:tr>
      <w:tr>
        <w:tc>
          <w:tcPr>
            <w:tcW w:type="dxa" w:w="2600"/>
            <w:tcMar>
              <w:top w:type="dxa" w:w="80"/>
              <w:left w:type="dxa" w:w="100"/>
              <w:bottom w:type="dxa" w:w="80"/>
              <w:right w:type="dxa" w:w="100"/>
            </w:tcMar>
          </w:tcPr>
          <w:p>
            <w:r>
              <w:rPr>
                <w:b w:val="false"/>
                <w:bCs w:val="false"/>
                <w:color w:val="000000"/>
                <w:sz w:val="19"/>
                <w:szCs w:val="19"/>
              </w:rPr>
              <w:t xml:space="preserve">Access point</w:t>
            </w:r>
          </w:p>
        </w:tc>
        <w:tc>
          <w:tcPr>
            <w:tcW w:type="dxa" w:w="7800"/>
            <w:tcMar>
              <w:top w:type="dxa" w:w="80"/>
              <w:left w:type="dxa" w:w="100"/>
              <w:bottom w:type="dxa" w:w="80"/>
              <w:right w:type="dxa" w:w="100"/>
            </w:tcMar>
          </w:tcPr>
          <w:p>
            <w:r>
              <w:rPr>
                <w:b w:val="false"/>
                <w:bCs w:val="false"/>
                <w:color w:val="000000"/>
                <w:sz w:val="19"/>
                <w:szCs w:val="19"/>
              </w:rPr>
              <w:t xml:space="preserve">AWS Earth Search STAC API (earth-search.aws.element84.com) — a free, public, industry-standard catalog of Sentinel-2 scenes</w:t>
            </w:r>
          </w:p>
        </w:tc>
      </w:tr>
      <w:tr>
        <w:tc>
          <w:tcPr>
            <w:tcW w:type="dxa" w:w="2600"/>
            <w:tcMar>
              <w:top w:type="dxa" w:w="80"/>
              <w:left w:type="dxa" w:w="100"/>
              <w:bottom w:type="dxa" w:w="80"/>
              <w:right w:type="dxa" w:w="100"/>
            </w:tcMar>
          </w:tcPr>
          <w:p>
            <w:r>
              <w:rPr>
                <w:b w:val="false"/>
                <w:bCs w:val="false"/>
                <w:color w:val="000000"/>
                <w:sz w:val="19"/>
                <w:szCs w:val="19"/>
              </w:rPr>
              <w:t xml:space="preserve">Resolution</w:t>
            </w:r>
          </w:p>
        </w:tc>
        <w:tc>
          <w:tcPr>
            <w:tcW w:type="dxa" w:w="7800"/>
            <w:tcMar>
              <w:top w:type="dxa" w:w="80"/>
              <w:left w:type="dxa" w:w="100"/>
              <w:bottom w:type="dxa" w:w="80"/>
              <w:right w:type="dxa" w:w="100"/>
            </w:tcMar>
          </w:tcPr>
          <w:p>
            <w:r>
              <w:rPr>
                <w:b w:val="false"/>
                <w:bCs w:val="false"/>
                <w:color w:val="000000"/>
                <w:sz w:val="19"/>
                <w:szCs w:val="19"/>
              </w:rPr>
              <w:t xml:space="preserve">10m ground resolution (native Sentinel-2 resolution for visible + NIR bands)</w:t>
            </w:r>
          </w:p>
        </w:tc>
      </w:tr>
      <w:tr>
        <w:tc>
          <w:tcPr>
            <w:tcW w:type="dxa" w:w="2600"/>
            <w:tcMar>
              <w:top w:type="dxa" w:w="80"/>
              <w:left w:type="dxa" w:w="100"/>
              <w:bottom w:type="dxa" w:w="80"/>
              <w:right w:type="dxa" w:w="100"/>
            </w:tcMar>
          </w:tcPr>
          <w:p>
            <w:r>
              <w:rPr>
                <w:b w:val="false"/>
                <w:bCs w:val="false"/>
                <w:color w:val="000000"/>
                <w:sz w:val="19"/>
                <w:szCs w:val="19"/>
              </w:rPr>
              <w:t xml:space="preserve">Bands used</w:t>
            </w:r>
          </w:p>
        </w:tc>
        <w:tc>
          <w:tcPr>
            <w:tcW w:type="dxa" w:w="7800"/>
            <w:tcMar>
              <w:top w:type="dxa" w:w="80"/>
              <w:left w:type="dxa" w:w="100"/>
              <w:bottom w:type="dxa" w:w="80"/>
              <w:right w:type="dxa" w:w="100"/>
            </w:tcMar>
          </w:tcPr>
          <w:p>
            <w:r>
              <w:rPr>
                <w:b w:val="false"/>
                <w:bCs w:val="false"/>
                <w:color w:val="000000"/>
                <w:sz w:val="19"/>
                <w:szCs w:val="19"/>
              </w:rPr>
              <w:t xml:space="preserve">B02 (Blue), B03 (Green), B04 (Red), B08 (Near-Infrared) — all confirmed retrievable as direct Cloud-Optimized GeoTIFF (COG) links per scene</w:t>
            </w:r>
          </w:p>
        </w:tc>
      </w:tr>
      <w:tr>
        <w:tc>
          <w:tcPr>
            <w:tcW w:type="dxa" w:w="2600"/>
            <w:tcMar>
              <w:top w:type="dxa" w:w="80"/>
              <w:left w:type="dxa" w:w="100"/>
              <w:bottom w:type="dxa" w:w="80"/>
              <w:right w:type="dxa" w:w="100"/>
            </w:tcMar>
          </w:tcPr>
          <w:p>
            <w:r>
              <w:rPr>
                <w:b w:val="false"/>
                <w:bCs w:val="false"/>
                <w:color w:val="000000"/>
                <w:sz w:val="19"/>
                <w:szCs w:val="19"/>
              </w:rPr>
              <w:t xml:space="preserve">Temporal coverage</w:t>
            </w:r>
          </w:p>
        </w:tc>
        <w:tc>
          <w:tcPr>
            <w:tcW w:type="dxa" w:w="7800"/>
            <w:tcMar>
              <w:top w:type="dxa" w:w="80"/>
              <w:left w:type="dxa" w:w="100"/>
              <w:bottom w:type="dxa" w:w="80"/>
              <w:right w:type="dxa" w:w="100"/>
            </w:tcMar>
          </w:tcPr>
          <w:p>
            <w:r>
              <w:rPr>
                <w:b w:val="false"/>
                <w:bCs w:val="false"/>
                <w:color w:val="000000"/>
                <w:sz w:val="19"/>
                <w:szCs w:val="19"/>
              </w:rPr>
              <w:t xml:space="preserve">Sentinel-2 has continuous coverage since 2015 — we pull one low-cloud scene per target year (e.g. 2019 and 2024) for change detection</w:t>
            </w:r>
          </w:p>
        </w:tc>
      </w:tr>
      <w:tr>
        <w:tc>
          <w:tcPr>
            <w:tcW w:type="dxa" w:w="2600"/>
            <w:tcMar>
              <w:top w:type="dxa" w:w="80"/>
              <w:left w:type="dxa" w:w="100"/>
              <w:bottom w:type="dxa" w:w="80"/>
              <w:right w:type="dxa" w:w="100"/>
            </w:tcMar>
          </w:tcPr>
          <w:p>
            <w:r>
              <w:rPr>
                <w:b w:val="false"/>
                <w:bCs w:val="false"/>
                <w:color w:val="000000"/>
                <w:sz w:val="19"/>
                <w:szCs w:val="19"/>
              </w:rPr>
              <w:t xml:space="preserve">Update frequency</w:t>
            </w:r>
          </w:p>
        </w:tc>
        <w:tc>
          <w:tcPr>
            <w:tcW w:type="dxa" w:w="7800"/>
            <w:tcMar>
              <w:top w:type="dxa" w:w="80"/>
              <w:left w:type="dxa" w:w="100"/>
              <w:bottom w:type="dxa" w:w="80"/>
              <w:right w:type="dxa" w:w="100"/>
            </w:tcMar>
          </w:tcPr>
          <w:p>
            <w:r>
              <w:rPr>
                <w:b w:val="false"/>
                <w:bCs w:val="false"/>
                <w:color w:val="000000"/>
                <w:sz w:val="19"/>
                <w:szCs w:val="19"/>
              </w:rPr>
              <w:t xml:space="preserve">New scenes roughly every 5 days per location (revisit time), so cloud-free scenes are reliably obtainable</w:t>
            </w:r>
          </w:p>
        </w:tc>
      </w:tr>
    </w:tbl>
    <w:p>
      <w:pPr>
        <w:spacing w:after="160"/>
      </w:pPr>
      <w:r>
        <w:rPr>
          <w:b/>
          <w:bCs/>
        </w:rPr>
        <w:t xml:space="preserve">How verified: </w:t>
      </w:r>
      <w:r>
        <w:t xml:space="preserve">We wrote a script that queries the STAC API directly for our exact bounding box, filters for cloud cover under 5%, and confirms actual scene IDs, capture dates, and direct band download URLs are returned. This was run live and succeeded — real scene IDs and band URLs were retrieved for both 2019 and 2024.</w:t>
      </w:r>
    </w:p>
    <w:p>
      <w:pPr>
        <w:spacing w:after="160"/>
      </w:pPr>
      <w:r>
        <w:rPr>
          <w:b/>
          <w:bCs/>
        </w:rPr>
        <w:t xml:space="preserve">Why it's solid: </w:t>
      </w:r>
      <w:r>
        <w:t xml:space="preserve">Sentinel-2 is one of the most widely used satellite sources in published urban-planning and remote-sensing CV research (it is the dominant source cited in recent systematic reviews of computer vision in urban planning). It is not an obscure or unreliable source — it is the current academic standard for this kind of work.</w:t>
      </w:r>
    </w:p>
    <w:p>
      <w:pPr>
        <w:pStyle w:val="Heading2"/>
        <w:spacing w:after="120" w:before="260"/>
      </w:pPr>
      <w:r>
        <w:t xml:space="preserve">4.2 Elevation Data — Copernicus Global DEM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Property</w:t>
            </w:r>
          </w:p>
        </w:tc>
        <w:tc>
          <w:tcPr>
            <w:tcW w:type="dxa" w:w="7800"/>
            <w:shd w:fill="1F4E5F" w:val="clear"/>
            <w:tcMar>
              <w:top w:type="dxa" w:w="80"/>
              <w:left w:type="dxa" w:w="100"/>
              <w:bottom w:type="dxa" w:w="80"/>
              <w:right w:type="dxa" w:w="100"/>
            </w:tcMar>
          </w:tcPr>
          <w:p>
            <w:r>
              <w:rPr>
                <w:b/>
                <w:bCs/>
                <w:color w:val="FFFFFF"/>
                <w:sz w:val="19"/>
                <w:szCs w:val="19"/>
              </w:rPr>
              <w:t xml:space="preserve">Detail</w:t>
            </w:r>
          </w:p>
        </w:tc>
      </w:tr>
      <w:tr>
        <w:tc>
          <w:tcPr>
            <w:tcW w:type="dxa" w:w="2600"/>
            <w:tcMar>
              <w:top w:type="dxa" w:w="80"/>
              <w:left w:type="dxa" w:w="100"/>
              <w:bottom w:type="dxa" w:w="80"/>
              <w:right w:type="dxa" w:w="100"/>
            </w:tcMar>
          </w:tcPr>
          <w:p>
            <w:r>
              <w:rPr>
                <w:b w:val="false"/>
                <w:bCs w:val="false"/>
                <w:color w:val="000000"/>
                <w:sz w:val="19"/>
                <w:szCs w:val="19"/>
              </w:rPr>
              <w:t xml:space="preserve">Provider</w:t>
            </w:r>
          </w:p>
        </w:tc>
        <w:tc>
          <w:tcPr>
            <w:tcW w:type="dxa" w:w="7800"/>
            <w:tcMar>
              <w:top w:type="dxa" w:w="80"/>
              <w:left w:type="dxa" w:w="100"/>
              <w:bottom w:type="dxa" w:w="80"/>
              <w:right w:type="dxa" w:w="100"/>
            </w:tcMar>
          </w:tcPr>
          <w:p>
            <w:r>
              <w:rPr>
                <w:b w:val="false"/>
                <w:bCs w:val="false"/>
                <w:color w:val="000000"/>
                <w:sz w:val="19"/>
                <w:szCs w:val="19"/>
              </w:rPr>
              <w:t xml:space="preserve">Copernicus Programme (ESA) — Global DEM, accessed via the Open-Meteo Elevation API</w:t>
            </w:r>
          </w:p>
        </w:tc>
      </w:tr>
      <w:tr>
        <w:tc>
          <w:tcPr>
            <w:tcW w:type="dxa" w:w="2600"/>
            <w:tcMar>
              <w:top w:type="dxa" w:w="80"/>
              <w:left w:type="dxa" w:w="100"/>
              <w:bottom w:type="dxa" w:w="80"/>
              <w:right w:type="dxa" w:w="100"/>
            </w:tcMar>
          </w:tcPr>
          <w:p>
            <w:r>
              <w:rPr>
                <w:b w:val="false"/>
                <w:bCs w:val="false"/>
                <w:color w:val="000000"/>
                <w:sz w:val="19"/>
                <w:szCs w:val="19"/>
              </w:rPr>
              <w:t xml:space="preserve">Resolution</w:t>
            </w:r>
          </w:p>
        </w:tc>
        <w:tc>
          <w:tcPr>
            <w:tcW w:type="dxa" w:w="7800"/>
            <w:tcMar>
              <w:top w:type="dxa" w:w="80"/>
              <w:left w:type="dxa" w:w="100"/>
              <w:bottom w:type="dxa" w:w="80"/>
              <w:right w:type="dxa" w:w="100"/>
            </w:tcMar>
          </w:tcPr>
          <w:p>
            <w:r>
              <w:rPr>
                <w:b w:val="false"/>
                <w:bCs w:val="false"/>
                <w:color w:val="000000"/>
                <w:sz w:val="19"/>
                <w:szCs w:val="19"/>
              </w:rPr>
              <w:t xml:space="preserve">GLO-90 (90m) / GLO-30 (30m) native grid; our feasibility sampling used a coarser point-grid (~660m spacing) for quick verification — production use will sample at native resolution</w:t>
            </w:r>
          </w:p>
        </w:tc>
      </w:tr>
      <w:tr>
        <w:tc>
          <w:tcPr>
            <w:tcW w:type="dxa" w:w="2600"/>
            <w:tcMar>
              <w:top w:type="dxa" w:w="80"/>
              <w:left w:type="dxa" w:w="100"/>
              <w:bottom w:type="dxa" w:w="80"/>
              <w:right w:type="dxa" w:w="100"/>
            </w:tcMar>
          </w:tcPr>
          <w:p>
            <w:r>
              <w:rPr>
                <w:b w:val="false"/>
                <w:bCs w:val="false"/>
                <w:color w:val="000000"/>
                <w:sz w:val="19"/>
                <w:szCs w:val="19"/>
              </w:rPr>
              <w:t xml:space="preserve">Coverage</w:t>
            </w:r>
          </w:p>
        </w:tc>
        <w:tc>
          <w:tcPr>
            <w:tcW w:type="dxa" w:w="7800"/>
            <w:tcMar>
              <w:top w:type="dxa" w:w="80"/>
              <w:left w:type="dxa" w:w="100"/>
              <w:bottom w:type="dxa" w:w="80"/>
              <w:right w:type="dxa" w:w="100"/>
            </w:tcMar>
          </w:tcPr>
          <w:p>
            <w:r>
              <w:rPr>
                <w:b w:val="false"/>
                <w:bCs w:val="false"/>
                <w:color w:val="000000"/>
                <w:sz w:val="19"/>
                <w:szCs w:val="19"/>
              </w:rPr>
              <w:t xml:space="preserve">Global — includes full coverage of our study area</w:t>
            </w:r>
          </w:p>
        </w:tc>
      </w:tr>
      <w:tr>
        <w:tc>
          <w:tcPr>
            <w:tcW w:type="dxa" w:w="2600"/>
            <w:tcMar>
              <w:top w:type="dxa" w:w="80"/>
              <w:left w:type="dxa" w:w="100"/>
              <w:bottom w:type="dxa" w:w="80"/>
              <w:right w:type="dxa" w:w="100"/>
            </w:tcMar>
          </w:tcPr>
          <w:p>
            <w:r>
              <w:rPr>
                <w:b w:val="false"/>
                <w:bCs w:val="false"/>
                <w:color w:val="000000"/>
                <w:sz w:val="19"/>
                <w:szCs w:val="19"/>
              </w:rPr>
              <w:t xml:space="preserve">Purpose in project</w:t>
            </w:r>
          </w:p>
        </w:tc>
        <w:tc>
          <w:tcPr>
            <w:tcW w:type="dxa" w:w="7800"/>
            <w:tcMar>
              <w:top w:type="dxa" w:w="80"/>
              <w:left w:type="dxa" w:w="100"/>
              <w:bottom w:type="dxa" w:w="80"/>
              <w:right w:type="dxa" w:w="100"/>
            </w:tcMar>
          </w:tcPr>
          <w:p>
            <w:r>
              <w:rPr>
                <w:b w:val="false"/>
                <w:bCs w:val="false"/>
                <w:color w:val="000000"/>
                <w:sz w:val="19"/>
                <w:szCs w:val="19"/>
              </w:rPr>
              <w:t xml:space="preserve">Identifying low-lying zones (bottom 25–30th percentile elevation) that are more susceptible to flooding</w:t>
            </w:r>
          </w:p>
        </w:tc>
      </w:tr>
    </w:tbl>
    <w:p>
      <w:pPr>
        <w:spacing w:after="160"/>
      </w:pPr>
      <w:r>
        <w:rPr>
          <w:b/>
          <w:bCs/>
        </w:rPr>
        <w:t xml:space="preserve">How verified: </w:t>
      </w:r>
      <w:r>
        <w:t xml:space="preserve">Live API calls returned real elevation values (in metres above sea level) for our exact coordinate grid over the study area, batched into safe request sizes to respect API limits.</w:t>
      </w:r>
    </w:p>
    <w:p>
      <w:pPr>
        <w:spacing w:after="160"/>
      </w:pPr>
      <w:r>
        <w:rPr>
          <w:b/>
          <w:bCs/>
        </w:rPr>
        <w:t xml:space="preserve">Known limitation (disclosed honestly): </w:t>
      </w:r>
      <w:r>
        <w:t xml:space="preserve">Our feasibility-stage sampling grid is coarser than the DEM's native resolution — this is intentional for a quick verification pass. For actual model training, we will sample at the DEM's native 30–90m resolution rather than the coarser feasibility grid, to avoid overstating precision.</w:t>
      </w:r>
    </w:p>
    <w:p>
      <w:pPr>
        <w:pStyle w:val="Heading2"/>
        <w:spacing w:after="120" w:before="260"/>
      </w:pPr>
      <w:r>
        <w:t xml:space="preserve">4.3 Water Bodies &amp; Hydrography — OpenStreetMap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Property</w:t>
            </w:r>
          </w:p>
        </w:tc>
        <w:tc>
          <w:tcPr>
            <w:tcW w:type="dxa" w:w="7800"/>
            <w:shd w:fill="1F4E5F" w:val="clear"/>
            <w:tcMar>
              <w:top w:type="dxa" w:w="80"/>
              <w:left w:type="dxa" w:w="100"/>
              <w:bottom w:type="dxa" w:w="80"/>
              <w:right w:type="dxa" w:w="100"/>
            </w:tcMar>
          </w:tcPr>
          <w:p>
            <w:r>
              <w:rPr>
                <w:b/>
                <w:bCs/>
                <w:color w:val="FFFFFF"/>
                <w:sz w:val="19"/>
                <w:szCs w:val="19"/>
              </w:rPr>
              <w:t xml:space="preserve">Detail</w:t>
            </w:r>
          </w:p>
        </w:tc>
      </w:tr>
      <w:tr>
        <w:tc>
          <w:tcPr>
            <w:tcW w:type="dxa" w:w="2600"/>
            <w:tcMar>
              <w:top w:type="dxa" w:w="80"/>
              <w:left w:type="dxa" w:w="100"/>
              <w:bottom w:type="dxa" w:w="80"/>
              <w:right w:type="dxa" w:w="100"/>
            </w:tcMar>
          </w:tcPr>
          <w:p>
            <w:r>
              <w:rPr>
                <w:b w:val="false"/>
                <w:bCs w:val="false"/>
                <w:color w:val="000000"/>
                <w:sz w:val="19"/>
                <w:szCs w:val="19"/>
              </w:rPr>
              <w:t xml:space="preserve">Provider</w:t>
            </w:r>
          </w:p>
        </w:tc>
        <w:tc>
          <w:tcPr>
            <w:tcW w:type="dxa" w:w="7800"/>
            <w:tcMar>
              <w:top w:type="dxa" w:w="80"/>
              <w:left w:type="dxa" w:w="100"/>
              <w:bottom w:type="dxa" w:w="80"/>
              <w:right w:type="dxa" w:w="100"/>
            </w:tcMar>
          </w:tcPr>
          <w:p>
            <w:r>
              <w:rPr>
                <w:b w:val="false"/>
                <w:bCs w:val="false"/>
                <w:color w:val="000000"/>
                <w:sz w:val="19"/>
                <w:szCs w:val="19"/>
              </w:rPr>
              <w:t xml:space="preserve">OpenStreetMap (OSM), a global crowd-sourced and continuously validated geographic database</w:t>
            </w:r>
          </w:p>
        </w:tc>
      </w:tr>
      <w:tr>
        <w:tc>
          <w:tcPr>
            <w:tcW w:type="dxa" w:w="2600"/>
            <w:tcMar>
              <w:top w:type="dxa" w:w="80"/>
              <w:left w:type="dxa" w:w="100"/>
              <w:bottom w:type="dxa" w:w="80"/>
              <w:right w:type="dxa" w:w="100"/>
            </w:tcMar>
          </w:tcPr>
          <w:p>
            <w:r>
              <w:rPr>
                <w:b w:val="false"/>
                <w:bCs w:val="false"/>
                <w:color w:val="000000"/>
                <w:sz w:val="19"/>
                <w:szCs w:val="19"/>
              </w:rPr>
              <w:t xml:space="preserve">Access method</w:t>
            </w:r>
          </w:p>
        </w:tc>
        <w:tc>
          <w:tcPr>
            <w:tcW w:type="dxa" w:w="7800"/>
            <w:tcMar>
              <w:top w:type="dxa" w:w="80"/>
              <w:left w:type="dxa" w:w="100"/>
              <w:bottom w:type="dxa" w:w="80"/>
              <w:right w:type="dxa" w:w="100"/>
            </w:tcMar>
          </w:tcPr>
          <w:p>
            <w:r>
              <w:rPr>
                <w:b w:val="false"/>
                <w:bCs w:val="false"/>
                <w:color w:val="000000"/>
                <w:sz w:val="19"/>
                <w:szCs w:val="19"/>
              </w:rPr>
              <w:t xml:space="preserve">Overpass API (live queries) for verification; bulk regional GeoJSON/PBF extracts for production-scale use</w:t>
            </w:r>
          </w:p>
        </w:tc>
      </w:tr>
      <w:tr>
        <w:tc>
          <w:tcPr>
            <w:tcW w:type="dxa" w:w="2600"/>
            <w:tcMar>
              <w:top w:type="dxa" w:w="80"/>
              <w:left w:type="dxa" w:w="100"/>
              <w:bottom w:type="dxa" w:w="80"/>
              <w:right w:type="dxa" w:w="100"/>
            </w:tcMar>
          </w:tcPr>
          <w:p>
            <w:r>
              <w:rPr>
                <w:b w:val="false"/>
                <w:bCs w:val="false"/>
                <w:color w:val="000000"/>
                <w:sz w:val="19"/>
                <w:szCs w:val="19"/>
              </w:rPr>
              <w:t xml:space="preserve">Data type</w:t>
            </w:r>
          </w:p>
        </w:tc>
        <w:tc>
          <w:tcPr>
            <w:tcW w:type="dxa" w:w="7800"/>
            <w:tcMar>
              <w:top w:type="dxa" w:w="80"/>
              <w:left w:type="dxa" w:w="100"/>
              <w:bottom w:type="dxa" w:w="80"/>
              <w:right w:type="dxa" w:w="100"/>
            </w:tcMar>
          </w:tcPr>
          <w:p>
            <w:r>
              <w:rPr>
                <w:b w:val="false"/>
                <w:bCs w:val="false"/>
                <w:color w:val="000000"/>
                <w:sz w:val="19"/>
                <w:szCs w:val="19"/>
              </w:rPr>
              <w:t xml:space="preserve">Vector data — rivers, canals, and water body polygons/linestrings, not raster imagery</w:t>
            </w:r>
          </w:p>
        </w:tc>
      </w:tr>
      <w:tr>
        <w:tc>
          <w:tcPr>
            <w:tcW w:type="dxa" w:w="2600"/>
            <w:tcMar>
              <w:top w:type="dxa" w:w="80"/>
              <w:left w:type="dxa" w:w="100"/>
              <w:bottom w:type="dxa" w:w="80"/>
              <w:right w:type="dxa" w:w="100"/>
            </w:tcMar>
          </w:tcPr>
          <w:p>
            <w:r>
              <w:rPr>
                <w:b w:val="false"/>
                <w:bCs w:val="false"/>
                <w:color w:val="000000"/>
                <w:sz w:val="19"/>
                <w:szCs w:val="19"/>
              </w:rPr>
              <w:t xml:space="preserve">Purpose in project</w:t>
            </w:r>
          </w:p>
        </w:tc>
        <w:tc>
          <w:tcPr>
            <w:tcW w:type="dxa" w:w="7800"/>
            <w:tcMar>
              <w:top w:type="dxa" w:w="80"/>
              <w:left w:type="dxa" w:w="100"/>
              <w:bottom w:type="dxa" w:w="80"/>
              <w:right w:type="dxa" w:w="100"/>
            </w:tcMar>
          </w:tcPr>
          <w:p>
            <w:r>
              <w:rPr>
                <w:b w:val="false"/>
                <w:bCs w:val="false"/>
                <w:color w:val="000000"/>
                <w:sz w:val="19"/>
                <w:szCs w:val="19"/>
              </w:rPr>
              <w:t xml:space="preserve">Calculating distance-to-water for every location, used directly in our risk-scoring formula</w:t>
            </w:r>
          </w:p>
        </w:tc>
      </w:tr>
    </w:tbl>
    <w:p>
      <w:pPr>
        <w:spacing w:after="160"/>
      </w:pPr>
      <w:r>
        <w:rPr>
          <w:b/>
          <w:bCs/>
        </w:rPr>
        <w:t xml:space="preserve">How verified: </w:t>
      </w:r>
      <w:r>
        <w:t xml:space="preserve">Live Overpass API queries against our exact bounding box confirmed real river/water segments are returned for the Periyar basin, including actual OSM tags identifying the specific waterway.</w:t>
      </w:r>
    </w:p>
    <w:p>
      <w:pPr>
        <w:spacing w:after="160"/>
      </w:pPr>
      <w:r>
        <w:rPr>
          <w:b/>
          <w:bCs/>
        </w:rPr>
        <w:t xml:space="preserve">Known limitation (disclosed honestly): </w:t>
      </w:r>
      <w:r>
        <w:t xml:space="preserve">The public Overpass API has rate limits and is not intended for heavy repeated querying. For the production pipeline, we will switch to a one-time bulk regional extract (e.g. via Geofabrik or the official OSM export tools) rather than repeated live queries — this is standard practice for OSM-based research, not a workaround unique to us.</w:t>
      </w:r>
    </w:p>
    <w:p>
      <w:pPr>
        <w:pStyle w:val="Heading2"/>
        <w:spacing w:after="120" w:before="260"/>
      </w:pPr>
      <w:r>
        <w:t xml:space="preserve">4.4 Building Footprints — OSM, Microsoft, Google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800"/>
      </w:tblGrid>
      <w:tr>
        <w:trPr>
          <w:tblHeader/>
        </w:trPr>
        <w:tc>
          <w:tcPr>
            <w:tcW w:type="dxa" w:w="2800"/>
            <w:shd w:fill="1F4E5F" w:val="clear"/>
            <w:tcMar>
              <w:top w:type="dxa" w:w="80"/>
              <w:left w:type="dxa" w:w="100"/>
              <w:bottom w:type="dxa" w:w="80"/>
              <w:right w:type="dxa" w:w="100"/>
            </w:tcMar>
          </w:tcPr>
          <w:p>
            <w:r>
              <w:rPr>
                <w:b/>
                <w:bCs/>
                <w:color w:val="FFFFFF"/>
                <w:sz w:val="19"/>
                <w:szCs w:val="19"/>
              </w:rPr>
              <w:t xml:space="preserve">Source</w:t>
            </w:r>
          </w:p>
        </w:tc>
        <w:tc>
          <w:tcPr>
            <w:tcW w:type="dxa" w:w="2600"/>
            <w:shd w:fill="1F4E5F" w:val="clear"/>
            <w:tcMar>
              <w:top w:type="dxa" w:w="80"/>
              <w:left w:type="dxa" w:w="100"/>
              <w:bottom w:type="dxa" w:w="80"/>
              <w:right w:type="dxa" w:w="100"/>
            </w:tcMar>
          </w:tcPr>
          <w:p>
            <w:r>
              <w:rPr>
                <w:b/>
                <w:bCs/>
                <w:color w:val="FFFFFF"/>
                <w:sz w:val="19"/>
                <w:szCs w:val="19"/>
              </w:rPr>
              <w:t xml:space="preserve">Coverage</w:t>
            </w:r>
          </w:p>
        </w:tc>
        <w:tc>
          <w:tcPr>
            <w:tcW w:type="dxa" w:w="2200"/>
            <w:shd w:fill="1F4E5F" w:val="clear"/>
            <w:tcMar>
              <w:top w:type="dxa" w:w="80"/>
              <w:left w:type="dxa" w:w="100"/>
              <w:bottom w:type="dxa" w:w="80"/>
              <w:right w:type="dxa" w:w="100"/>
            </w:tcMar>
          </w:tcPr>
          <w:p>
            <w:r>
              <w:rPr>
                <w:b/>
                <w:bCs/>
                <w:color w:val="FFFFFF"/>
                <w:sz w:val="19"/>
                <w:szCs w:val="19"/>
              </w:rPr>
              <w:t xml:space="preserve">Format</w:t>
            </w:r>
          </w:p>
        </w:tc>
        <w:tc>
          <w:tcPr>
            <w:tcW w:type="dxa" w:w="1800"/>
            <w:shd w:fill="1F4E5F" w:val="clear"/>
            <w:tcMar>
              <w:top w:type="dxa" w:w="80"/>
              <w:left w:type="dxa" w:w="100"/>
              <w:bottom w:type="dxa" w:w="80"/>
              <w:right w:type="dxa" w:w="100"/>
            </w:tcMar>
          </w:tcPr>
          <w:p>
            <w:r>
              <w:rPr>
                <w:b/>
                <w:bCs/>
                <w:color w:val="FFFFFF"/>
                <w:sz w:val="19"/>
                <w:szCs w:val="19"/>
              </w:rPr>
              <w:t xml:space="preserve">Role in Project</w:t>
            </w:r>
          </w:p>
        </w:tc>
      </w:tr>
      <w:tr>
        <w:tc>
          <w:tcPr>
            <w:tcW w:type="dxa" w:w="2800"/>
            <w:tcMar>
              <w:top w:type="dxa" w:w="80"/>
              <w:left w:type="dxa" w:w="100"/>
              <w:bottom w:type="dxa" w:w="80"/>
              <w:right w:type="dxa" w:w="100"/>
            </w:tcMar>
          </w:tcPr>
          <w:p>
            <w:r>
              <w:rPr>
                <w:b w:val="false"/>
                <w:bCs w:val="false"/>
                <w:color w:val="000000"/>
                <w:sz w:val="19"/>
                <w:szCs w:val="19"/>
              </w:rPr>
              <w:t xml:space="preserve">OpenStreetMap buildings</w:t>
            </w:r>
          </w:p>
        </w:tc>
        <w:tc>
          <w:tcPr>
            <w:tcW w:type="dxa" w:w="2600"/>
            <w:tcMar>
              <w:top w:type="dxa" w:w="80"/>
              <w:left w:type="dxa" w:w="100"/>
              <w:bottom w:type="dxa" w:w="80"/>
              <w:right w:type="dxa" w:w="100"/>
            </w:tcMar>
          </w:tcPr>
          <w:p>
            <w:r>
              <w:rPr>
                <w:b w:val="false"/>
                <w:bCs w:val="false"/>
                <w:color w:val="000000"/>
                <w:sz w:val="19"/>
                <w:szCs w:val="19"/>
              </w:rPr>
              <w:t xml:space="preserve">Variable — dense in mapped urban areas</w:t>
            </w:r>
          </w:p>
        </w:tc>
        <w:tc>
          <w:tcPr>
            <w:tcW w:type="dxa" w:w="2200"/>
            <w:tcMar>
              <w:top w:type="dxa" w:w="80"/>
              <w:left w:type="dxa" w:w="100"/>
              <w:bottom w:type="dxa" w:w="80"/>
              <w:right w:type="dxa" w:w="100"/>
            </w:tcMar>
          </w:tcPr>
          <w:p>
            <w:r>
              <w:rPr>
                <w:b w:val="false"/>
                <w:bCs w:val="false"/>
                <w:color w:val="000000"/>
                <w:sz w:val="19"/>
                <w:szCs w:val="19"/>
              </w:rPr>
              <w:t xml:space="preserve">Vector polygons via Overpass / bulk extract</w:t>
            </w:r>
          </w:p>
        </w:tc>
        <w:tc>
          <w:tcPr>
            <w:tcW w:type="dxa" w:w="1800"/>
            <w:tcMar>
              <w:top w:type="dxa" w:w="80"/>
              <w:left w:type="dxa" w:w="100"/>
              <w:bottom w:type="dxa" w:w="80"/>
              <w:right w:type="dxa" w:w="100"/>
            </w:tcMar>
          </w:tcPr>
          <w:p>
            <w:r>
              <w:rPr>
                <w:b w:val="false"/>
                <w:bCs w:val="false"/>
                <w:color w:val="000000"/>
                <w:sz w:val="19"/>
                <w:szCs w:val="19"/>
              </w:rPr>
              <w:t xml:space="preserve">Supplementary ground-truth labels</w:t>
            </w:r>
          </w:p>
        </w:tc>
      </w:tr>
      <w:tr>
        <w:tc>
          <w:tcPr>
            <w:tcW w:type="dxa" w:w="2800"/>
            <w:tcMar>
              <w:top w:type="dxa" w:w="80"/>
              <w:left w:type="dxa" w:w="100"/>
              <w:bottom w:type="dxa" w:w="80"/>
              <w:right w:type="dxa" w:w="100"/>
            </w:tcMar>
          </w:tcPr>
          <w:p>
            <w:r>
              <w:rPr>
                <w:b w:val="false"/>
                <w:bCs w:val="false"/>
                <w:color w:val="000000"/>
                <w:sz w:val="19"/>
                <w:szCs w:val="19"/>
              </w:rPr>
              <w:t xml:space="preserve">Microsoft Global ML Building Footprints</w:t>
            </w:r>
          </w:p>
        </w:tc>
        <w:tc>
          <w:tcPr>
            <w:tcW w:type="dxa" w:w="2600"/>
            <w:tcMar>
              <w:top w:type="dxa" w:w="80"/>
              <w:left w:type="dxa" w:w="100"/>
              <w:bottom w:type="dxa" w:w="80"/>
              <w:right w:type="dxa" w:w="100"/>
            </w:tcMar>
          </w:tcPr>
          <w:p>
            <w:r>
              <w:rPr>
                <w:b w:val="false"/>
                <w:bCs w:val="false"/>
                <w:color w:val="000000"/>
                <w:sz w:val="19"/>
                <w:szCs w:val="19"/>
              </w:rPr>
              <w:t xml:space="preserve">Nationwide India coverage, AI-detected from satellite imagery</w:t>
            </w:r>
          </w:p>
        </w:tc>
        <w:tc>
          <w:tcPr>
            <w:tcW w:type="dxa" w:w="2200"/>
            <w:tcMar>
              <w:top w:type="dxa" w:w="80"/>
              <w:left w:type="dxa" w:w="100"/>
              <w:bottom w:type="dxa" w:w="80"/>
              <w:right w:type="dxa" w:w="100"/>
            </w:tcMar>
          </w:tcPr>
          <w:p>
            <w:r>
              <w:rPr>
                <w:b w:val="false"/>
                <w:bCs w:val="false"/>
                <w:color w:val="000000"/>
                <w:sz w:val="19"/>
                <w:szCs w:val="19"/>
              </w:rPr>
              <w:t xml:space="preserve">GeoJSON, partitioned by region</w:t>
            </w:r>
          </w:p>
        </w:tc>
        <w:tc>
          <w:tcPr>
            <w:tcW w:type="dxa" w:w="1800"/>
            <w:tcMar>
              <w:top w:type="dxa" w:w="80"/>
              <w:left w:type="dxa" w:w="100"/>
              <w:bottom w:type="dxa" w:w="80"/>
              <w:right w:type="dxa" w:w="100"/>
            </w:tcMar>
          </w:tcPr>
          <w:p>
            <w:r>
              <w:rPr>
                <w:b w:val="false"/>
                <w:bCs w:val="false"/>
                <w:color w:val="000000"/>
                <w:sz w:val="19"/>
                <w:szCs w:val="19"/>
              </w:rPr>
              <w:t xml:space="preserve">Primary ground-truth labels for fine-tuning our segmentation model</w:t>
            </w:r>
          </w:p>
        </w:tc>
      </w:tr>
      <w:tr>
        <w:tc>
          <w:tcPr>
            <w:tcW w:type="dxa" w:w="2800"/>
            <w:tcMar>
              <w:top w:type="dxa" w:w="80"/>
              <w:left w:type="dxa" w:w="100"/>
              <w:bottom w:type="dxa" w:w="80"/>
              <w:right w:type="dxa" w:w="100"/>
            </w:tcMar>
          </w:tcPr>
          <w:p>
            <w:r>
              <w:rPr>
                <w:b w:val="false"/>
                <w:bCs w:val="false"/>
                <w:color w:val="000000"/>
                <w:sz w:val="19"/>
                <w:szCs w:val="19"/>
              </w:rPr>
              <w:t xml:space="preserve">Google Open Buildings v3</w:t>
            </w:r>
          </w:p>
        </w:tc>
        <w:tc>
          <w:tcPr>
            <w:tcW w:type="dxa" w:w="2600"/>
            <w:tcMar>
              <w:top w:type="dxa" w:w="80"/>
              <w:left w:type="dxa" w:w="100"/>
              <w:bottom w:type="dxa" w:w="80"/>
              <w:right w:type="dxa" w:w="100"/>
            </w:tcMar>
          </w:tcPr>
          <w:p>
            <w:r>
              <w:rPr>
                <w:b w:val="false"/>
                <w:bCs w:val="false"/>
                <w:color w:val="000000"/>
                <w:sz w:val="19"/>
                <w:szCs w:val="19"/>
              </w:rPr>
              <w:t xml:space="preserve">South Asia incl. India, AI-detected</w:t>
            </w:r>
          </w:p>
        </w:tc>
        <w:tc>
          <w:tcPr>
            <w:tcW w:type="dxa" w:w="2200"/>
            <w:tcMar>
              <w:top w:type="dxa" w:w="80"/>
              <w:left w:type="dxa" w:w="100"/>
              <w:bottom w:type="dxa" w:w="80"/>
              <w:right w:type="dxa" w:w="100"/>
            </w:tcMar>
          </w:tcPr>
          <w:p>
            <w:r>
              <w:rPr>
                <w:b w:val="false"/>
                <w:bCs w:val="false"/>
                <w:color w:val="000000"/>
                <w:sz w:val="19"/>
                <w:szCs w:val="19"/>
              </w:rPr>
              <w:t xml:space="preserve">CSV / GeoJSON with confidence scores</w:t>
            </w:r>
          </w:p>
        </w:tc>
        <w:tc>
          <w:tcPr>
            <w:tcW w:type="dxa" w:w="1800"/>
            <w:tcMar>
              <w:top w:type="dxa" w:w="80"/>
              <w:left w:type="dxa" w:w="100"/>
              <w:bottom w:type="dxa" w:w="80"/>
              <w:right w:type="dxa" w:w="100"/>
            </w:tcMar>
          </w:tcPr>
          <w:p>
            <w:r>
              <w:rPr>
                <w:b w:val="false"/>
                <w:bCs w:val="false"/>
                <w:color w:val="000000"/>
                <w:sz w:val="19"/>
                <w:szCs w:val="19"/>
              </w:rPr>
              <w:t xml:space="preserve">Cross-validation / secondary label source</w:t>
            </w:r>
          </w:p>
        </w:tc>
      </w:tr>
    </w:tbl>
    <w:p>
      <w:pPr>
        <w:spacing w:after="160"/>
      </w:pPr>
      <w:r>
        <w:rPr>
          <w:b/>
          <w:bCs/>
        </w:rPr>
        <w:t xml:space="preserve">How verified: </w:t>
      </w:r>
      <w:r>
        <w:t xml:space="preserve">We confirmed live reachability of the Microsoft GitHub repository and dataset index, and the Google Open Buildings portal, and separately ran live Overpass queries that returned real building polygons for our target town.</w:t>
      </w:r>
    </w:p>
    <w:p>
      <w:pPr>
        <w:spacing w:after="160"/>
      </w:pPr>
      <w:r>
        <w:rPr>
          <w:b/>
          <w:bCs/>
        </w:rPr>
        <w:t xml:space="preserve">Why this combination is solid: </w:t>
      </w:r>
      <w:r>
        <w:t xml:space="preserve">Using two independently generated building datasets (Microsoft's and Google's, both produced by AI models trained on satellite imagery at global scale) alongside OSM's human-mapped buildings gives us a cross-checked ground truth — if a location is flagged as "building" by more than one independent source, our label confidence is higher. This is a deliberate reliability improvement over relying on a single label source.</w:t>
      </w:r>
    </w:p>
    <w:p>
      <w:pPr>
        <w:pStyle w:val="Heading1"/>
        <w:spacing w:after="160" w:before="360"/>
      </w:pPr>
      <w:r>
        <w:t xml:space="preserve">5. How We Verified These Datasets Are Solid (Not Just Assumed)</w:t>
      </w:r>
    </w:p>
    <w:p>
      <w:pPr>
        <w:spacing w:after="160"/>
      </w:pPr>
      <w:r>
        <w:t xml:space="preserve">Rather than simply citing that these datasets exist, we built and ran an actual feasibility-check pipeline (four Python scripts, one per data layer, plus a master verification runner) that:</w:t>
      </w:r>
    </w:p>
    <w:p>
      <w:pPr>
        <w:pStyle w:val="ListParagraph"/>
        <w:numPr>
          <w:ilvl w:val="0"/>
          <w:numId w:val="3"/>
        </w:numPr>
        <w:spacing w:after="100"/>
      </w:pPr>
      <w:r>
        <w:t xml:space="preserve">Connects live to each data source's real API endpoint</w:t>
      </w:r>
    </w:p>
    <w:p>
      <w:pPr>
        <w:pStyle w:val="ListParagraph"/>
        <w:numPr>
          <w:ilvl w:val="0"/>
          <w:numId w:val="3"/>
        </w:numPr>
        <w:spacing w:after="100"/>
      </w:pPr>
      <w:r>
        <w:t xml:space="preserve">Confirms actual data is returned for our exact study area (not a generic example region)</w:t>
      </w:r>
    </w:p>
    <w:p>
      <w:pPr>
        <w:pStyle w:val="ListParagraph"/>
        <w:numPr>
          <w:ilvl w:val="0"/>
          <w:numId w:val="3"/>
        </w:numPr>
        <w:spacing w:after="100"/>
      </w:pPr>
      <w:r>
        <w:t xml:space="preserve">Logs whether each run used genuine live data or had to fall back to a synthetic placeholder — every run produces a provenance record (LIVE_FETCH vs SYNTHETIC_FALLBACK) so we always know exactly what we're looking at</w:t>
      </w:r>
    </w:p>
    <w:p>
      <w:pPr>
        <w:pStyle w:val="ListParagraph"/>
        <w:numPr>
          <w:ilvl w:val="0"/>
          <w:numId w:val="3"/>
        </w:numPr>
        <w:spacing w:after="100"/>
      </w:pPr>
      <w:r>
        <w:t xml:space="preserve">Produces visual proof — comparison maps, elevation contour plots, water-proximity maps, and a combined risk map — generated directly from the fetched data</w:t>
      </w:r>
    </w:p>
    <w:p>
      <w:pPr>
        <w:spacing w:after="160"/>
      </w:pPr>
      <w:r>
        <w:t xml:space="preserve">This was run end-to-end and succeeded: real Sentinel-2 scene IDs and band URLs, real elevation values, and real OSM water/building geometries were all retrieved for our exact target coordinates.</w:t>
      </w:r>
    </w:p>
    <w:p>
      <w:pPr>
        <w:pStyle w:val="Heading1"/>
        <w:spacing w:after="160" w:before="360"/>
      </w:pPr>
      <w:r>
        <w:t xml:space="preserve">6. How This Data Will Be Used in the Project Pipeline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222222"/>
          <w:sz w:val="18"/>
          <w:szCs w:val="18"/>
        </w:rPr>
        <w:t xml:space="preserve">STAGE 1 — OBSERVATION</w:t>
      </w:r>
      <w:r>
        <w:br/>
      </w:r>
      <w:r>
        <w:rPr>
          <w:rFonts w:ascii="Consolas" w:cs="Consolas" w:eastAsia="Consolas" w:hAnsi="Consolas"/>
          <w:color w:val="222222"/>
          <w:sz w:val="18"/>
          <w:szCs w:val="18"/>
        </w:rPr>
        <w:t xml:space="preserve">  Sentinel-2 bands (B02/B03/B04/B08) -&gt; segmentation model input</w:t>
      </w:r>
      <w:r>
        <w:br/>
      </w:r>
      <w:r>
        <w:rPr>
          <w:rFonts w:ascii="Consolas" w:cs="Consolas" w:eastAsia="Consolas" w:hAnsi="Consolas"/>
          <w:color w:val="222222"/>
          <w:sz w:val="18"/>
          <w:szCs w:val="18"/>
        </w:rPr>
        <w:t xml:space="preserve">  -&gt; identifies buildings, vegetation, and other land cover per pixel</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STAGE 2 — ANALYSIS (Change Detection)</w:t>
      </w:r>
      <w:r>
        <w:br/>
      </w:r>
      <w:r>
        <w:rPr>
          <w:rFonts w:ascii="Consolas" w:cs="Consolas" w:eastAsia="Consolas" w:hAnsi="Consolas"/>
          <w:color w:val="222222"/>
          <w:sz w:val="18"/>
          <w:szCs w:val="18"/>
        </w:rPr>
        <w:t xml:space="preserve">  Compare segmentation output for Year A vs Year B (e.g. 2019 vs 2024)</w:t>
      </w:r>
      <w:r>
        <w:br/>
      </w:r>
      <w:r>
        <w:rPr>
          <w:rFonts w:ascii="Consolas" w:cs="Consolas" w:eastAsia="Consolas" w:hAnsi="Consolas"/>
          <w:color w:val="222222"/>
          <w:sz w:val="18"/>
          <w:szCs w:val="18"/>
        </w:rPr>
        <w:t xml:space="preserve">  -&gt; flags NEW construction and LOST green cover</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STAGE 3 — PREDICTION (Our Novel Risk-Scoring Layer)</w:t>
      </w:r>
      <w:r>
        <w:br/>
      </w:r>
      <w:r>
        <w:rPr>
          <w:rFonts w:ascii="Consolas" w:cs="Consolas" w:eastAsia="Consolas" w:hAnsi="Consolas"/>
          <w:color w:val="222222"/>
          <w:sz w:val="18"/>
          <w:szCs w:val="18"/>
        </w:rPr>
        <w:t xml:space="preserve">  New construction  +  Elevation (Copernicus DEM)  +  Distance to water (OSM)</w:t>
      </w:r>
      <w:r>
        <w:br/>
      </w:r>
      <w:r>
        <w:rPr>
          <w:rFonts w:ascii="Consolas" w:cs="Consolas" w:eastAsia="Consolas" w:hAnsi="Consolas"/>
          <w:color w:val="222222"/>
          <w:sz w:val="18"/>
          <w:szCs w:val="18"/>
        </w:rPr>
        <w:t xml:space="preserve">  -&gt; Risk Score per zone: Low / Medium / High</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GROUND TRUTH / MODEL TRAINING</w:t>
      </w:r>
      <w:r>
        <w:br/>
      </w:r>
      <w:r>
        <w:rPr>
          <w:rFonts w:ascii="Consolas" w:cs="Consolas" w:eastAsia="Consolas" w:hAnsi="Consolas"/>
          <w:color w:val="222222"/>
          <w:sz w:val="18"/>
          <w:szCs w:val="18"/>
        </w:rPr>
        <w:t xml:space="preserve">  Building footprints (OSM + Microsoft + Google)</w:t>
      </w:r>
      <w:r>
        <w:br/>
      </w:r>
      <w:r>
        <w:rPr>
          <w:rFonts w:ascii="Consolas" w:cs="Consolas" w:eastAsia="Consolas" w:hAnsi="Consolas"/>
          <w:color w:val="222222"/>
          <w:sz w:val="18"/>
          <w:szCs w:val="18"/>
        </w:rPr>
        <w:t xml:space="preserve">  -&gt; used to fine-tune the segmentation model on real Indian building patterns</w:t>
      </w:r>
      <w:r>
        <w:br/>
      </w:r>
      <w:r>
        <w:rPr>
          <w:rFonts w:ascii="Consolas" w:cs="Consolas" w:eastAsia="Consolas" w:hAnsi="Consolas"/>
          <w:color w:val="222222"/>
          <w:sz w:val="18"/>
          <w:szCs w:val="18"/>
        </w:rPr>
        <w:t xml:space="preserve">  -&gt; cross-validated across independent sources for label confidence</w:t>
      </w:r>
    </w:p>
    <w:p>
      <w:pPr>
        <w:pStyle w:val="Heading1"/>
        <w:spacing w:after="160" w:before="360"/>
      </w:pPr>
      <w:r>
        <w:t xml:space="preserve">7. Known Limitations &amp; How We Are Addressing Them</w:t>
      </w:r>
    </w:p>
    <w:p>
      <w:pPr>
        <w:spacing w:after="160"/>
      </w:pPr>
      <w:r>
        <w:t xml:space="preserve">We believe in presenting this honestly rather than overstating what the data can do — this table anticipates the most likely follow-up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Limitation</w:t>
            </w:r>
          </w:p>
        </w:tc>
        <w:tc>
          <w:tcPr>
            <w:tcW w:type="dxa" w:w="3400"/>
            <w:shd w:fill="1F4E5F" w:val="clear"/>
            <w:tcMar>
              <w:top w:type="dxa" w:w="80"/>
              <w:left w:type="dxa" w:w="100"/>
              <w:bottom w:type="dxa" w:w="80"/>
              <w:right w:type="dxa" w:w="100"/>
            </w:tcMar>
          </w:tcPr>
          <w:p>
            <w:r>
              <w:rPr>
                <w:b/>
                <w:bCs/>
                <w:color w:val="FFFFFF"/>
                <w:sz w:val="19"/>
                <w:szCs w:val="19"/>
              </w:rPr>
              <w:t xml:space="preserve">Why it exists</w:t>
            </w:r>
          </w:p>
        </w:tc>
        <w:tc>
          <w:tcPr>
            <w:tcW w:type="dxa" w:w="3600"/>
            <w:shd w:fill="1F4E5F" w:val="clear"/>
            <w:tcMar>
              <w:top w:type="dxa" w:w="80"/>
              <w:left w:type="dxa" w:w="100"/>
              <w:bottom w:type="dxa" w:w="80"/>
              <w:right w:type="dxa" w:w="100"/>
            </w:tcMar>
          </w:tcPr>
          <w:p>
            <w:r>
              <w:rPr>
                <w:b/>
                <w:bCs/>
                <w:color w:val="FFFFFF"/>
                <w:sz w:val="19"/>
                <w:szCs w:val="19"/>
              </w:rPr>
              <w:t xml:space="preserve">How we are addressing it</w:t>
            </w:r>
          </w:p>
        </w:tc>
      </w:tr>
      <w:tr>
        <w:tc>
          <w:tcPr>
            <w:tcW w:type="dxa" w:w="2600"/>
            <w:tcMar>
              <w:top w:type="dxa" w:w="80"/>
              <w:left w:type="dxa" w:w="100"/>
              <w:bottom w:type="dxa" w:w="80"/>
              <w:right w:type="dxa" w:w="100"/>
            </w:tcMar>
          </w:tcPr>
          <w:p>
            <w:r>
              <w:rPr>
                <w:b w:val="false"/>
                <w:bCs w:val="false"/>
                <w:color w:val="000000"/>
                <w:sz w:val="19"/>
                <w:szCs w:val="19"/>
              </w:rPr>
              <w:t xml:space="preserve">Sentinel-2 preview thumbnails vs raw band GeoTIFFs</w:t>
            </w:r>
          </w:p>
        </w:tc>
        <w:tc>
          <w:tcPr>
            <w:tcW w:type="dxa" w:w="3400"/>
            <w:tcMar>
              <w:top w:type="dxa" w:w="80"/>
              <w:left w:type="dxa" w:w="100"/>
              <w:bottom w:type="dxa" w:w="80"/>
              <w:right w:type="dxa" w:w="100"/>
            </w:tcMar>
          </w:tcPr>
          <w:p>
            <w:r>
              <w:rPr>
                <w:b w:val="false"/>
                <w:bCs w:val="false"/>
                <w:color w:val="000000"/>
                <w:sz w:val="19"/>
                <w:szCs w:val="19"/>
              </w:rPr>
              <w:t xml:space="preserve">Quick feasibility checks used rendered preview images for speed</w:t>
            </w:r>
          </w:p>
        </w:tc>
        <w:tc>
          <w:tcPr>
            <w:tcW w:type="dxa" w:w="3600"/>
            <w:tcMar>
              <w:top w:type="dxa" w:w="80"/>
              <w:left w:type="dxa" w:w="100"/>
              <w:bottom w:type="dxa" w:w="80"/>
              <w:right w:type="dxa" w:w="100"/>
            </w:tcMar>
          </w:tcPr>
          <w:p>
            <w:r>
              <w:rPr>
                <w:b w:val="false"/>
                <w:bCs w:val="false"/>
                <w:color w:val="000000"/>
                <w:sz w:val="19"/>
                <w:szCs w:val="19"/>
              </w:rPr>
              <w:t xml:space="preserve">Production pipeline downloads and processes the actual B02/B03/B04/B08 GeoTIFF bands (URLs already confirmed retrievable), enabling real spectral indices (NDVI/NDBI) instead of RGB approximation</w:t>
            </w:r>
          </w:p>
        </w:tc>
      </w:tr>
      <w:tr>
        <w:tc>
          <w:tcPr>
            <w:tcW w:type="dxa" w:w="2600"/>
            <w:tcMar>
              <w:top w:type="dxa" w:w="80"/>
              <w:left w:type="dxa" w:w="100"/>
              <w:bottom w:type="dxa" w:w="80"/>
              <w:right w:type="dxa" w:w="100"/>
            </w:tcMar>
          </w:tcPr>
          <w:p>
            <w:r>
              <w:rPr>
                <w:b w:val="false"/>
                <w:bCs w:val="false"/>
                <w:color w:val="000000"/>
                <w:sz w:val="19"/>
                <w:szCs w:val="19"/>
              </w:rPr>
              <w:t xml:space="preserve">Elevation feasibility-grid resolution is coarser than DEM's native resolution</w:t>
            </w:r>
          </w:p>
        </w:tc>
        <w:tc>
          <w:tcPr>
            <w:tcW w:type="dxa" w:w="3400"/>
            <w:tcMar>
              <w:top w:type="dxa" w:w="80"/>
              <w:left w:type="dxa" w:w="100"/>
              <w:bottom w:type="dxa" w:w="80"/>
              <w:right w:type="dxa" w:w="100"/>
            </w:tcMar>
          </w:tcPr>
          <w:p>
            <w:r>
              <w:rPr>
                <w:b w:val="false"/>
                <w:bCs w:val="false"/>
                <w:color w:val="000000"/>
                <w:sz w:val="19"/>
                <w:szCs w:val="19"/>
              </w:rPr>
              <w:t xml:space="preserve">Feasibility check used a light sampling grid to verify API access quickly</w:t>
            </w:r>
          </w:p>
        </w:tc>
        <w:tc>
          <w:tcPr>
            <w:tcW w:type="dxa" w:w="3600"/>
            <w:tcMar>
              <w:top w:type="dxa" w:w="80"/>
              <w:left w:type="dxa" w:w="100"/>
              <w:bottom w:type="dxa" w:w="80"/>
              <w:right w:type="dxa" w:w="100"/>
            </w:tcMar>
          </w:tcPr>
          <w:p>
            <w:r>
              <w:rPr>
                <w:b w:val="false"/>
                <w:bCs w:val="false"/>
                <w:color w:val="000000"/>
                <w:sz w:val="19"/>
                <w:szCs w:val="19"/>
              </w:rPr>
              <w:t xml:space="preserve">Production runs will sample at the DEM's native 30–90m resolution</w:t>
            </w:r>
          </w:p>
        </w:tc>
      </w:tr>
      <w:tr>
        <w:tc>
          <w:tcPr>
            <w:tcW w:type="dxa" w:w="2600"/>
            <w:tcMar>
              <w:top w:type="dxa" w:w="80"/>
              <w:left w:type="dxa" w:w="100"/>
              <w:bottom w:type="dxa" w:w="80"/>
              <w:right w:type="dxa" w:w="100"/>
            </w:tcMar>
          </w:tcPr>
          <w:p>
            <w:r>
              <w:rPr>
                <w:b w:val="false"/>
                <w:bCs w:val="false"/>
                <w:color w:val="000000"/>
                <w:sz w:val="19"/>
                <w:szCs w:val="19"/>
              </w:rPr>
              <w:t xml:space="preserve">Overpass API has rate limits</w:t>
            </w:r>
          </w:p>
        </w:tc>
        <w:tc>
          <w:tcPr>
            <w:tcW w:type="dxa" w:w="3400"/>
            <w:tcMar>
              <w:top w:type="dxa" w:w="80"/>
              <w:left w:type="dxa" w:w="100"/>
              <w:bottom w:type="dxa" w:w="80"/>
              <w:right w:type="dxa" w:w="100"/>
            </w:tcMar>
          </w:tcPr>
          <w:p>
            <w:r>
              <w:rPr>
                <w:b w:val="false"/>
                <w:bCs w:val="false"/>
                <w:color w:val="000000"/>
                <w:sz w:val="19"/>
                <w:szCs w:val="19"/>
              </w:rPr>
              <w:t xml:space="preserve">It is a shared public service not meant for heavy repeated querying</w:t>
            </w:r>
          </w:p>
        </w:tc>
        <w:tc>
          <w:tcPr>
            <w:tcW w:type="dxa" w:w="3600"/>
            <w:tcMar>
              <w:top w:type="dxa" w:w="80"/>
              <w:left w:type="dxa" w:w="100"/>
              <w:bottom w:type="dxa" w:w="80"/>
              <w:right w:type="dxa" w:w="100"/>
            </w:tcMar>
          </w:tcPr>
          <w:p>
            <w:r>
              <w:rPr>
                <w:b w:val="false"/>
                <w:bCs w:val="false"/>
                <w:color w:val="000000"/>
                <w:sz w:val="19"/>
                <w:szCs w:val="19"/>
              </w:rPr>
              <w:t xml:space="preserve">Production pipeline will use one-time bulk regional extracts (standard OSM practice) instead of repeated live queries</w:t>
            </w:r>
          </w:p>
        </w:tc>
      </w:tr>
      <w:tr>
        <w:tc>
          <w:tcPr>
            <w:tcW w:type="dxa" w:w="2600"/>
            <w:tcMar>
              <w:top w:type="dxa" w:w="80"/>
              <w:left w:type="dxa" w:w="100"/>
              <w:bottom w:type="dxa" w:w="80"/>
              <w:right w:type="dxa" w:w="100"/>
            </w:tcMar>
          </w:tcPr>
          <w:p>
            <w:r>
              <w:rPr>
                <w:b w:val="false"/>
                <w:bCs w:val="false"/>
                <w:color w:val="000000"/>
                <w:sz w:val="19"/>
                <w:szCs w:val="19"/>
              </w:rPr>
              <w:t xml:space="preserve">Pretrained CV models are trained mostly on non-Indian cities</w:t>
            </w:r>
          </w:p>
        </w:tc>
        <w:tc>
          <w:tcPr>
            <w:tcW w:type="dxa" w:w="3400"/>
            <w:tcMar>
              <w:top w:type="dxa" w:w="80"/>
              <w:left w:type="dxa" w:w="100"/>
              <w:bottom w:type="dxa" w:w="80"/>
              <w:right w:type="dxa" w:w="100"/>
            </w:tcMar>
          </w:tcPr>
          <w:p>
            <w:r>
              <w:rPr>
                <w:b w:val="false"/>
                <w:bCs w:val="false"/>
                <w:color w:val="000000"/>
                <w:sz w:val="19"/>
                <w:szCs w:val="19"/>
              </w:rPr>
              <w:t xml:space="preserve">Public benchmark datasets (Cityscapes, ADE20K) are Western-city-centric</w:t>
            </w:r>
          </w:p>
        </w:tc>
        <w:tc>
          <w:tcPr>
            <w:tcW w:type="dxa" w:w="3600"/>
            <w:tcMar>
              <w:top w:type="dxa" w:w="80"/>
              <w:left w:type="dxa" w:w="100"/>
              <w:bottom w:type="dxa" w:w="80"/>
              <w:right w:type="dxa" w:w="100"/>
            </w:tcMar>
          </w:tcPr>
          <w:p>
            <w:r>
              <w:rPr>
                <w:b w:val="false"/>
                <w:bCs w:val="false"/>
                <w:color w:val="000000"/>
                <w:sz w:val="19"/>
                <w:szCs w:val="19"/>
              </w:rPr>
              <w:t xml:space="preserve">We fine-tune on local building-footprint ground truth (Microsoft/Google/OSM) specifically to correct for this, and this fine-tuning is itself part of our project's contribution</w:t>
            </w:r>
          </w:p>
        </w:tc>
      </w:tr>
      <w:tr>
        <w:tc>
          <w:tcPr>
            <w:tcW w:type="dxa" w:w="2600"/>
            <w:tcMar>
              <w:top w:type="dxa" w:w="80"/>
              <w:left w:type="dxa" w:w="100"/>
              <w:bottom w:type="dxa" w:w="80"/>
              <w:right w:type="dxa" w:w="100"/>
            </w:tcMar>
          </w:tcPr>
          <w:p>
            <w:r>
              <w:rPr>
                <w:b w:val="false"/>
                <w:bCs w:val="false"/>
                <w:color w:val="000000"/>
                <w:sz w:val="19"/>
                <w:szCs w:val="19"/>
              </w:rPr>
              <w:t xml:space="preserve">Study limited to one town</w:t>
            </w:r>
          </w:p>
        </w:tc>
        <w:tc>
          <w:tcPr>
            <w:tcW w:type="dxa" w:w="3400"/>
            <w:tcMar>
              <w:top w:type="dxa" w:w="80"/>
              <w:left w:type="dxa" w:w="100"/>
              <w:bottom w:type="dxa" w:w="80"/>
              <w:right w:type="dxa" w:w="100"/>
            </w:tcMar>
          </w:tcPr>
          <w:p>
            <w:r>
              <w:rPr>
                <w:b w:val="false"/>
                <w:bCs w:val="false"/>
                <w:color w:val="000000"/>
                <w:sz w:val="19"/>
                <w:szCs w:val="19"/>
              </w:rPr>
              <w:t xml:space="preserve">Full-country or full-state coverage is out of scope for a final-year timeline</w:t>
            </w:r>
          </w:p>
        </w:tc>
        <w:tc>
          <w:tcPr>
            <w:tcW w:type="dxa" w:w="3600"/>
            <w:tcMar>
              <w:top w:type="dxa" w:w="80"/>
              <w:left w:type="dxa" w:w="100"/>
              <w:bottom w:type="dxa" w:w="80"/>
              <w:right w:type="dxa" w:w="100"/>
            </w:tcMar>
          </w:tcPr>
          <w:p>
            <w:r>
              <w:rPr>
                <w:b w:val="false"/>
                <w:bCs w:val="false"/>
                <w:color w:val="000000"/>
                <w:sz w:val="19"/>
                <w:szCs w:val="19"/>
              </w:rPr>
              <w:t xml:space="preserve">This is a deliberate, disclosed scope decision — the pipeline is built to be reusable for additional towns as future work</w:t>
            </w:r>
          </w:p>
        </w:tc>
      </w:tr>
    </w:tbl>
    <w:p>
      <w:pPr>
        <w:pStyle w:val="Heading1"/>
        <w:spacing w:after="160" w:before="360"/>
      </w:pPr>
      <w:r>
        <w:t xml:space="preserve">8. Storage &amp; Computational Feasibility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5F" w:val="clear"/>
            <w:tcMar>
              <w:top w:type="dxa" w:w="80"/>
              <w:left w:type="dxa" w:w="100"/>
              <w:bottom w:type="dxa" w:w="80"/>
              <w:right w:type="dxa" w:w="100"/>
            </w:tcMar>
          </w:tcPr>
          <w:p>
            <w:r>
              <w:rPr>
                <w:b/>
                <w:bCs/>
                <w:color w:val="FFFFFF"/>
                <w:sz w:val="19"/>
                <w:szCs w:val="19"/>
              </w:rPr>
              <w:t xml:space="preserve">Resource</w:t>
            </w:r>
          </w:p>
        </w:tc>
        <w:tc>
          <w:tcPr>
            <w:tcW w:type="dxa" w:w="6000"/>
            <w:shd w:fill="1F4E5F" w:val="clear"/>
            <w:tcMar>
              <w:top w:type="dxa" w:w="80"/>
              <w:left w:type="dxa" w:w="100"/>
              <w:bottom w:type="dxa" w:w="80"/>
              <w:right w:type="dxa" w:w="100"/>
            </w:tcMar>
          </w:tcPr>
          <w:p>
            <w:r>
              <w:rPr>
                <w:b/>
                <w:bCs/>
                <w:color w:val="FFFFFF"/>
                <w:sz w:val="19"/>
                <w:szCs w:val="19"/>
              </w:rPr>
              <w:t xml:space="preserve">Estimate</w:t>
            </w:r>
          </w:p>
        </w:tc>
      </w:tr>
      <w:tr>
        <w:tc>
          <w:tcPr>
            <w:tcW w:type="dxa" w:w="3600"/>
            <w:tcMar>
              <w:top w:type="dxa" w:w="80"/>
              <w:left w:type="dxa" w:w="100"/>
              <w:bottom w:type="dxa" w:w="80"/>
              <w:right w:type="dxa" w:w="100"/>
            </w:tcMar>
          </w:tcPr>
          <w:p>
            <w:r>
              <w:rPr>
                <w:b w:val="false"/>
                <w:bCs w:val="false"/>
                <w:color w:val="000000"/>
                <w:sz w:val="19"/>
                <w:szCs w:val="19"/>
              </w:rPr>
              <w:t xml:space="preserve">Satellite imagery (multi-year, one town)</w:t>
            </w:r>
          </w:p>
        </w:tc>
        <w:tc>
          <w:tcPr>
            <w:tcW w:type="dxa" w:w="6000"/>
            <w:tcMar>
              <w:top w:type="dxa" w:w="80"/>
              <w:left w:type="dxa" w:w="100"/>
              <w:bottom w:type="dxa" w:w="80"/>
              <w:right w:type="dxa" w:w="100"/>
            </w:tcMar>
          </w:tcPr>
          <w:p>
            <w:r>
              <w:rPr>
                <w:b w:val="false"/>
                <w:bCs w:val="false"/>
                <w:color w:val="000000"/>
                <w:sz w:val="19"/>
                <w:szCs w:val="19"/>
              </w:rPr>
              <w:t xml:space="preserve">~50–150 MB per year; ~300–450 MB for a 3-year change-detection set</w:t>
            </w:r>
          </w:p>
        </w:tc>
      </w:tr>
      <w:tr>
        <w:tc>
          <w:tcPr>
            <w:tcW w:type="dxa" w:w="3600"/>
            <w:tcMar>
              <w:top w:type="dxa" w:w="80"/>
              <w:left w:type="dxa" w:w="100"/>
              <w:bottom w:type="dxa" w:w="80"/>
              <w:right w:type="dxa" w:w="100"/>
            </w:tcMar>
          </w:tcPr>
          <w:p>
            <w:r>
              <w:rPr>
                <w:b w:val="false"/>
                <w:bCs w:val="false"/>
                <w:color w:val="000000"/>
                <w:sz w:val="19"/>
                <w:szCs w:val="19"/>
              </w:rPr>
              <w:t xml:space="preserve">Elevation data</w:t>
            </w:r>
          </w:p>
        </w:tc>
        <w:tc>
          <w:tcPr>
            <w:tcW w:type="dxa" w:w="6000"/>
            <w:tcMar>
              <w:top w:type="dxa" w:w="80"/>
              <w:left w:type="dxa" w:w="100"/>
              <w:bottom w:type="dxa" w:w="80"/>
              <w:right w:type="dxa" w:w="100"/>
            </w:tcMar>
          </w:tcPr>
          <w:p>
            <w:r>
              <w:rPr>
                <w:b w:val="false"/>
                <w:bCs w:val="false"/>
                <w:color w:val="000000"/>
                <w:sz w:val="19"/>
                <w:szCs w:val="19"/>
              </w:rPr>
              <w:t xml:space="preserve">~5–20 MB</w:t>
            </w:r>
          </w:p>
        </w:tc>
      </w:tr>
      <w:tr>
        <w:tc>
          <w:tcPr>
            <w:tcW w:type="dxa" w:w="3600"/>
            <w:tcMar>
              <w:top w:type="dxa" w:w="80"/>
              <w:left w:type="dxa" w:w="100"/>
              <w:bottom w:type="dxa" w:w="80"/>
              <w:right w:type="dxa" w:w="100"/>
            </w:tcMar>
          </w:tcPr>
          <w:p>
            <w:r>
              <w:rPr>
                <w:b w:val="false"/>
                <w:bCs w:val="false"/>
                <w:color w:val="000000"/>
                <w:sz w:val="19"/>
                <w:szCs w:val="19"/>
              </w:rPr>
              <w:t xml:space="preserve">Water/hydrography vector data</w:t>
            </w:r>
          </w:p>
        </w:tc>
        <w:tc>
          <w:tcPr>
            <w:tcW w:type="dxa" w:w="6000"/>
            <w:tcMar>
              <w:top w:type="dxa" w:w="80"/>
              <w:left w:type="dxa" w:w="100"/>
              <w:bottom w:type="dxa" w:w="80"/>
              <w:right w:type="dxa" w:w="100"/>
            </w:tcMar>
          </w:tcPr>
          <w:p>
            <w:r>
              <w:rPr>
                <w:b w:val="false"/>
                <w:bCs w:val="false"/>
                <w:color w:val="000000"/>
                <w:sz w:val="19"/>
                <w:szCs w:val="19"/>
              </w:rPr>
              <w:t xml:space="preserve">A few MB (vector, not raster)</w:t>
            </w:r>
          </w:p>
        </w:tc>
      </w:tr>
      <w:tr>
        <w:tc>
          <w:tcPr>
            <w:tcW w:type="dxa" w:w="3600"/>
            <w:tcMar>
              <w:top w:type="dxa" w:w="80"/>
              <w:left w:type="dxa" w:w="100"/>
              <w:bottom w:type="dxa" w:w="80"/>
              <w:right w:type="dxa" w:w="100"/>
            </w:tcMar>
          </w:tcPr>
          <w:p>
            <w:r>
              <w:rPr>
                <w:b w:val="false"/>
                <w:bCs w:val="false"/>
                <w:color w:val="000000"/>
                <w:sz w:val="19"/>
                <w:szCs w:val="19"/>
              </w:rPr>
              <w:t xml:space="preserve">Building footprint labels</w:t>
            </w:r>
          </w:p>
        </w:tc>
        <w:tc>
          <w:tcPr>
            <w:tcW w:type="dxa" w:w="6000"/>
            <w:tcMar>
              <w:top w:type="dxa" w:w="80"/>
              <w:left w:type="dxa" w:w="100"/>
              <w:bottom w:type="dxa" w:w="80"/>
              <w:right w:type="dxa" w:w="100"/>
            </w:tcMar>
          </w:tcPr>
          <w:p>
            <w:r>
              <w:rPr>
                <w:b w:val="false"/>
                <w:bCs w:val="false"/>
                <w:color w:val="000000"/>
                <w:sz w:val="19"/>
                <w:szCs w:val="19"/>
              </w:rPr>
              <w:t xml:space="preserve">Varies by region — typically under 1–2 GB for a single town's extract</w:t>
            </w:r>
          </w:p>
        </w:tc>
      </w:tr>
      <w:tr>
        <w:tc>
          <w:tcPr>
            <w:tcW w:type="dxa" w:w="3600"/>
            <w:tcMar>
              <w:top w:type="dxa" w:w="80"/>
              <w:left w:type="dxa" w:w="100"/>
              <w:bottom w:type="dxa" w:w="80"/>
              <w:right w:type="dxa" w:w="100"/>
            </w:tcMar>
          </w:tcPr>
          <w:p>
            <w:r>
              <w:rPr>
                <w:b w:val="false"/>
                <w:bCs w:val="false"/>
                <w:color w:val="000000"/>
                <w:sz w:val="19"/>
                <w:szCs w:val="19"/>
              </w:rPr>
              <w:t xml:space="preserve">Total estimated storage</w:t>
            </w:r>
          </w:p>
        </w:tc>
        <w:tc>
          <w:tcPr>
            <w:tcW w:type="dxa" w:w="6000"/>
            <w:tcMar>
              <w:top w:type="dxa" w:w="80"/>
              <w:left w:type="dxa" w:w="100"/>
              <w:bottom w:type="dxa" w:w="80"/>
              <w:right w:type="dxa" w:w="100"/>
            </w:tcMar>
          </w:tcPr>
          <w:p>
            <w:r>
              <w:rPr>
                <w:b w:val="false"/>
                <w:bCs w:val="false"/>
                <w:color w:val="000000"/>
                <w:sz w:val="19"/>
                <w:szCs w:val="19"/>
              </w:rPr>
              <w:t xml:space="preserve">Well under 5 GB — comfortably fits within free-tier cloud storage (e.g. Google Drive's 15 GB free tier)</w:t>
            </w:r>
          </w:p>
        </w:tc>
      </w:tr>
      <w:tr>
        <w:tc>
          <w:tcPr>
            <w:tcW w:type="dxa" w:w="3600"/>
            <w:tcMar>
              <w:top w:type="dxa" w:w="80"/>
              <w:left w:type="dxa" w:w="100"/>
              <w:bottom w:type="dxa" w:w="80"/>
              <w:right w:type="dxa" w:w="100"/>
            </w:tcMar>
          </w:tcPr>
          <w:p>
            <w:r>
              <w:rPr>
                <w:b w:val="false"/>
                <w:bCs w:val="false"/>
                <w:color w:val="000000"/>
                <w:sz w:val="19"/>
                <w:szCs w:val="19"/>
              </w:rPr>
              <w:t xml:space="preserve">Compute</w:t>
            </w:r>
          </w:p>
        </w:tc>
        <w:tc>
          <w:tcPr>
            <w:tcW w:type="dxa" w:w="6000"/>
            <w:tcMar>
              <w:top w:type="dxa" w:w="80"/>
              <w:left w:type="dxa" w:w="100"/>
              <w:bottom w:type="dxa" w:w="80"/>
              <w:right w:type="dxa" w:w="100"/>
            </w:tcMar>
          </w:tcPr>
          <w:p>
            <w:r>
              <w:rPr>
                <w:b w:val="false"/>
                <w:bCs w:val="false"/>
                <w:color w:val="000000"/>
                <w:sz w:val="19"/>
                <w:szCs w:val="19"/>
              </w:rPr>
              <w:t xml:space="preserve">Google Colab's free GPU tier is sufficient for fine-tuning a pretrained segmentation model at this data scale</w:t>
            </w:r>
          </w:p>
        </w:tc>
      </w:tr>
    </w:tbl>
    <w:p>
      <w:pPr>
        <w:pStyle w:val="Heading1"/>
        <w:spacing w:after="160" w:before="360"/>
      </w:pPr>
      <w:r>
        <w:t xml:space="preserve">9. Risk &amp; Mitigation — What Could Still Go Wrong</w:t>
      </w:r>
    </w:p>
    <w:p>
      <w:pPr>
        <w:spacing w:after="160"/>
      </w:pPr>
      <w:r>
        <w:t xml:space="preserve">Verified, free, and reachable datasets are a solid foundation — but we are not claiming this guarantees a friction-free project. Real computer-vision and remote-sensing projects at this scale routinely run into engineering issues that have nothing to do with dataset availability. We list these honestly here, along with our mitigation plan for each, rather than waiting for a panel member to raise them first.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1F4E5F" w:val="clear"/>
            <w:tcMar>
              <w:top w:type="dxa" w:w="80"/>
              <w:left w:type="dxa" w:w="100"/>
              <w:bottom w:type="dxa" w:w="80"/>
              <w:right w:type="dxa" w:w="100"/>
            </w:tcMar>
          </w:tcPr>
          <w:p>
            <w:r>
              <w:rPr>
                <w:b/>
                <w:bCs/>
                <w:color w:val="FFFFFF"/>
                <w:sz w:val="19"/>
                <w:szCs w:val="19"/>
              </w:rPr>
              <w:t xml:space="preserve">Risk</w:t>
            </w:r>
          </w:p>
        </w:tc>
        <w:tc>
          <w:tcPr>
            <w:tcW w:type="dxa" w:w="3400"/>
            <w:shd w:fill="1F4E5F" w:val="clear"/>
            <w:tcMar>
              <w:top w:type="dxa" w:w="80"/>
              <w:left w:type="dxa" w:w="100"/>
              <w:bottom w:type="dxa" w:w="80"/>
              <w:right w:type="dxa" w:w="100"/>
            </w:tcMar>
          </w:tcPr>
          <w:p>
            <w:r>
              <w:rPr>
                <w:b/>
                <w:bCs/>
                <w:color w:val="FFFFFF"/>
                <w:sz w:val="19"/>
                <w:szCs w:val="19"/>
              </w:rPr>
              <w:t xml:space="preserve">Why it can happen</w:t>
            </w:r>
          </w:p>
        </w:tc>
        <w:tc>
          <w:tcPr>
            <w:tcW w:type="dxa" w:w="3200"/>
            <w:shd w:fill="1F4E5F" w:val="clear"/>
            <w:tcMar>
              <w:top w:type="dxa" w:w="80"/>
              <w:left w:type="dxa" w:w="100"/>
              <w:bottom w:type="dxa" w:w="80"/>
              <w:right w:type="dxa" w:w="100"/>
            </w:tcMar>
          </w:tcPr>
          <w:p>
            <w:r>
              <w:rPr>
                <w:b/>
                <w:bCs/>
                <w:color w:val="FFFFFF"/>
                <w:sz w:val="19"/>
                <w:szCs w:val="19"/>
              </w:rPr>
              <w:t xml:space="preserve">Our mitigation</w:t>
            </w:r>
          </w:p>
        </w:tc>
      </w:tr>
      <w:tr>
        <w:tc>
          <w:tcPr>
            <w:tcW w:type="dxa" w:w="2800"/>
            <w:tcMar>
              <w:top w:type="dxa" w:w="80"/>
              <w:left w:type="dxa" w:w="100"/>
              <w:bottom w:type="dxa" w:w="80"/>
              <w:right w:type="dxa" w:w="100"/>
            </w:tcMar>
          </w:tcPr>
          <w:p>
            <w:r>
              <w:rPr>
                <w:b w:val="false"/>
                <w:bCs w:val="false"/>
                <w:color w:val="000000"/>
                <w:sz w:val="19"/>
                <w:szCs w:val="19"/>
              </w:rPr>
              <w:t xml:space="preserve">Segmentation model accuracy is initially mediocre</w:t>
            </w:r>
          </w:p>
        </w:tc>
        <w:tc>
          <w:tcPr>
            <w:tcW w:type="dxa" w:w="3400"/>
            <w:tcMar>
              <w:top w:type="dxa" w:w="80"/>
              <w:left w:type="dxa" w:w="100"/>
              <w:bottom w:type="dxa" w:w="80"/>
              <w:right w:type="dxa" w:w="100"/>
            </w:tcMar>
          </w:tcPr>
          <w:p>
            <w:r>
              <w:rPr>
                <w:b w:val="false"/>
                <w:bCs w:val="false"/>
                <w:color w:val="000000"/>
                <w:sz w:val="19"/>
                <w:szCs w:val="19"/>
              </w:rPr>
              <w:t xml:space="preserve">Fine-tuning on a small local dataset rarely matches benchmark-paper accuracy on the first attempt; Indian urban patterns differ from the mostly-Western imagery pretrained models were trained on</w:t>
            </w:r>
          </w:p>
        </w:tc>
        <w:tc>
          <w:tcPr>
            <w:tcW w:type="dxa" w:w="3200"/>
            <w:tcMar>
              <w:top w:type="dxa" w:w="80"/>
              <w:left w:type="dxa" w:w="100"/>
              <w:bottom w:type="dxa" w:w="80"/>
              <w:right w:type="dxa" w:w="100"/>
            </w:tcMar>
          </w:tcPr>
          <w:p>
            <w:r>
              <w:rPr>
                <w:b w:val="false"/>
                <w:bCs w:val="false"/>
                <w:color w:val="000000"/>
                <w:sz w:val="19"/>
                <w:szCs w:val="19"/>
              </w:rPr>
              <w:t xml:space="preserve">Budget multiple training/evaluation cycles (not a single run); track IoU/F1 explicitly; treat the first working model as a baseline to iterate on, not a final result</w:t>
            </w:r>
          </w:p>
        </w:tc>
      </w:tr>
      <w:tr>
        <w:tc>
          <w:tcPr>
            <w:tcW w:type="dxa" w:w="2800"/>
            <w:tcMar>
              <w:top w:type="dxa" w:w="80"/>
              <w:left w:type="dxa" w:w="100"/>
              <w:bottom w:type="dxa" w:w="80"/>
              <w:right w:type="dxa" w:w="100"/>
            </w:tcMar>
          </w:tcPr>
          <w:p>
            <w:r>
              <w:rPr>
                <w:b w:val="false"/>
                <w:bCs w:val="false"/>
                <w:color w:val="000000"/>
                <w:sz w:val="19"/>
                <w:szCs w:val="19"/>
              </w:rPr>
              <w:t xml:space="preserve">Cloud-free satellite scenes may be sparse for our exact town/year</w:t>
            </w:r>
          </w:p>
        </w:tc>
        <w:tc>
          <w:tcPr>
            <w:tcW w:type="dxa" w:w="3400"/>
            <w:tcMar>
              <w:top w:type="dxa" w:w="80"/>
              <w:left w:type="dxa" w:w="100"/>
              <w:bottom w:type="dxa" w:w="80"/>
              <w:right w:type="dxa" w:w="100"/>
            </w:tcMar>
          </w:tcPr>
          <w:p>
            <w:r>
              <w:rPr>
                <w:b w:val="false"/>
                <w:bCs w:val="false"/>
                <w:color w:val="000000"/>
                <w:sz w:val="19"/>
                <w:szCs w:val="19"/>
              </w:rPr>
              <w:t xml:space="preserve">Kerala's monsoon season limits cloud-free Sentinel-2 coverage in some months/years</w:t>
            </w:r>
          </w:p>
        </w:tc>
        <w:tc>
          <w:tcPr>
            <w:tcW w:type="dxa" w:w="3200"/>
            <w:tcMar>
              <w:top w:type="dxa" w:w="80"/>
              <w:left w:type="dxa" w:w="100"/>
              <w:bottom w:type="dxa" w:w="80"/>
              <w:right w:type="dxa" w:w="100"/>
            </w:tcMar>
          </w:tcPr>
          <w:p>
            <w:r>
              <w:rPr>
                <w:b w:val="false"/>
                <w:bCs w:val="false"/>
                <w:color w:val="000000"/>
                <w:sz w:val="19"/>
                <w:szCs w:val="19"/>
              </w:rPr>
              <w:t xml:space="preserve">Keep comparison years flexible (e.g. shift from 2019 to 2018 or 2020 if needed) rather than fixing them rigidly in advance</w:t>
            </w:r>
          </w:p>
        </w:tc>
      </w:tr>
      <w:tr>
        <w:tc>
          <w:tcPr>
            <w:tcW w:type="dxa" w:w="2800"/>
            <w:tcMar>
              <w:top w:type="dxa" w:w="80"/>
              <w:left w:type="dxa" w:w="100"/>
              <w:bottom w:type="dxa" w:w="80"/>
              <w:right w:type="dxa" w:w="100"/>
            </w:tcMar>
          </w:tcPr>
          <w:p>
            <w:r>
              <w:rPr>
                <w:b w:val="false"/>
                <w:bCs w:val="false"/>
                <w:color w:val="000000"/>
                <w:sz w:val="19"/>
                <w:szCs w:val="19"/>
              </w:rPr>
              <w:t xml:space="preserve">Building footprint labels contain their own errors</w:t>
            </w:r>
          </w:p>
        </w:tc>
        <w:tc>
          <w:tcPr>
            <w:tcW w:type="dxa" w:w="3400"/>
            <w:tcMar>
              <w:top w:type="dxa" w:w="80"/>
              <w:left w:type="dxa" w:w="100"/>
              <w:bottom w:type="dxa" w:w="80"/>
              <w:right w:type="dxa" w:w="100"/>
            </w:tcMar>
          </w:tcPr>
          <w:p>
            <w:r>
              <w:rPr>
                <w:b w:val="false"/>
                <w:bCs w:val="false"/>
                <w:color w:val="000000"/>
                <w:sz w:val="19"/>
                <w:szCs w:val="19"/>
              </w:rPr>
              <w:t xml:space="preserve">Microsoft/Google footprints are AI-generated, not surveyed — they have known noise, especially in dense or informal settlements</w:t>
            </w:r>
          </w:p>
        </w:tc>
        <w:tc>
          <w:tcPr>
            <w:tcW w:type="dxa" w:w="3200"/>
            <w:tcMar>
              <w:top w:type="dxa" w:w="80"/>
              <w:left w:type="dxa" w:w="100"/>
              <w:bottom w:type="dxa" w:w="80"/>
              <w:right w:type="dxa" w:w="100"/>
            </w:tcMar>
          </w:tcPr>
          <w:p>
            <w:r>
              <w:rPr>
                <w:b w:val="false"/>
                <w:bCs w:val="false"/>
                <w:color w:val="000000"/>
                <w:sz w:val="19"/>
                <w:szCs w:val="19"/>
              </w:rPr>
              <w:t xml:space="preserve">Cross-check labels across multiple independent sources (OSM + Microsoft + Google); manually spot-check a sample against the raw imagery before trusting it as ground truth</w:t>
            </w:r>
          </w:p>
        </w:tc>
      </w:tr>
      <w:tr>
        <w:tc>
          <w:tcPr>
            <w:tcW w:type="dxa" w:w="2800"/>
            <w:tcMar>
              <w:top w:type="dxa" w:w="80"/>
              <w:left w:type="dxa" w:w="100"/>
              <w:bottom w:type="dxa" w:w="80"/>
              <w:right w:type="dxa" w:w="100"/>
            </w:tcMar>
          </w:tcPr>
          <w:p>
            <w:r>
              <w:rPr>
                <w:b w:val="false"/>
                <w:bCs w:val="false"/>
                <w:color w:val="000000"/>
                <w:sz w:val="19"/>
                <w:szCs w:val="19"/>
              </w:rPr>
              <w:t xml:space="preserve">Public APIs (Overpass, STAC) may rate-limit or go down temporarily</w:t>
            </w:r>
          </w:p>
        </w:tc>
        <w:tc>
          <w:tcPr>
            <w:tcW w:type="dxa" w:w="3400"/>
            <w:tcMar>
              <w:top w:type="dxa" w:w="80"/>
              <w:left w:type="dxa" w:w="100"/>
              <w:bottom w:type="dxa" w:w="80"/>
              <w:right w:type="dxa" w:w="100"/>
            </w:tcMar>
          </w:tcPr>
          <w:p>
            <w:r>
              <w:rPr>
                <w:b w:val="false"/>
                <w:bCs w:val="false"/>
                <w:color w:val="000000"/>
                <w:sz w:val="19"/>
                <w:szCs w:val="19"/>
              </w:rPr>
              <w:t xml:space="preserve">These are shared free services, not dedicated infrastructure</w:t>
            </w:r>
          </w:p>
        </w:tc>
        <w:tc>
          <w:tcPr>
            <w:tcW w:type="dxa" w:w="3200"/>
            <w:tcMar>
              <w:top w:type="dxa" w:w="80"/>
              <w:left w:type="dxa" w:w="100"/>
              <w:bottom w:type="dxa" w:w="80"/>
              <w:right w:type="dxa" w:w="100"/>
            </w:tcMar>
          </w:tcPr>
          <w:p>
            <w:r>
              <w:rPr>
                <w:b w:val="false"/>
                <w:bCs w:val="false"/>
                <w:color w:val="000000"/>
                <w:sz w:val="19"/>
                <w:szCs w:val="19"/>
              </w:rPr>
              <w:t xml:space="preserve">Move to one-time bulk downloads for production use (already planned); cache all fetched data locally so re-running the pipeline doesn't require re-fetching</w:t>
            </w:r>
          </w:p>
        </w:tc>
      </w:tr>
      <w:tr>
        <w:tc>
          <w:tcPr>
            <w:tcW w:type="dxa" w:w="2800"/>
            <w:tcMar>
              <w:top w:type="dxa" w:w="80"/>
              <w:left w:type="dxa" w:w="100"/>
              <w:bottom w:type="dxa" w:w="80"/>
              <w:right w:type="dxa" w:w="100"/>
            </w:tcMar>
          </w:tcPr>
          <w:p>
            <w:r>
              <w:rPr>
                <w:b w:val="false"/>
                <w:bCs w:val="false"/>
                <w:color w:val="000000"/>
                <w:sz w:val="19"/>
                <w:szCs w:val="19"/>
              </w:rPr>
              <w:t xml:space="preserve">Risk-scoring thresholds (e.g. 350m water buffer, 25th-percentile elevation) are heuristic, not scientifically validated</w:t>
            </w:r>
          </w:p>
        </w:tc>
        <w:tc>
          <w:tcPr>
            <w:tcW w:type="dxa" w:w="3400"/>
            <w:tcMar>
              <w:top w:type="dxa" w:w="80"/>
              <w:left w:type="dxa" w:w="100"/>
              <w:bottom w:type="dxa" w:w="80"/>
              <w:right w:type="dxa" w:w="100"/>
            </w:tcMar>
          </w:tcPr>
          <w:p>
            <w:r>
              <w:rPr>
                <w:b w:val="false"/>
                <w:bCs w:val="false"/>
                <w:color w:val="000000"/>
                <w:sz w:val="19"/>
                <w:szCs w:val="19"/>
              </w:rPr>
              <w:t xml:space="preserve">No official, freely available flood-extent ground truth exists for our study area to calibrate against</w:t>
            </w:r>
          </w:p>
        </w:tc>
        <w:tc>
          <w:tcPr>
            <w:tcW w:type="dxa" w:w="3200"/>
            <w:tcMar>
              <w:top w:type="dxa" w:w="80"/>
              <w:left w:type="dxa" w:w="100"/>
              <w:bottom w:type="dxa" w:w="80"/>
              <w:right w:type="dxa" w:w="100"/>
            </w:tcMar>
          </w:tcPr>
          <w:p>
            <w:r>
              <w:rPr>
                <w:b w:val="false"/>
                <w:bCs w:val="false"/>
                <w:color w:val="000000"/>
                <w:sz w:val="19"/>
                <w:szCs w:val="19"/>
              </w:rPr>
              <w:t xml:space="preserve">Present thresholds explicitly as a starting heuristic, not precise flood science; note calibration against real flood-extent records as future work if such data becomes available</w:t>
            </w:r>
          </w:p>
        </w:tc>
      </w:tr>
      <w:tr>
        <w:tc>
          <w:tcPr>
            <w:tcW w:type="dxa" w:w="2800"/>
            <w:tcMar>
              <w:top w:type="dxa" w:w="80"/>
              <w:left w:type="dxa" w:w="100"/>
              <w:bottom w:type="dxa" w:w="80"/>
              <w:right w:type="dxa" w:w="100"/>
            </w:tcMar>
          </w:tcPr>
          <w:p>
            <w:r>
              <w:rPr>
                <w:b w:val="false"/>
                <w:bCs w:val="false"/>
                <w:color w:val="000000"/>
                <w:sz w:val="19"/>
                <w:szCs w:val="19"/>
              </w:rPr>
              <w:t xml:space="preserve">Time overrun is the most likely real risk, more than data availability</w:t>
            </w:r>
          </w:p>
        </w:tc>
        <w:tc>
          <w:tcPr>
            <w:tcW w:type="dxa" w:w="3400"/>
            <w:tcMar>
              <w:top w:type="dxa" w:w="80"/>
              <w:left w:type="dxa" w:w="100"/>
              <w:bottom w:type="dxa" w:w="80"/>
              <w:right w:type="dxa" w:w="100"/>
            </w:tcMar>
          </w:tcPr>
          <w:p>
            <w:r>
              <w:rPr>
                <w:b w:val="false"/>
                <w:bCs w:val="false"/>
                <w:color w:val="000000"/>
                <w:sz w:val="19"/>
                <w:szCs w:val="19"/>
              </w:rPr>
              <w:t xml:space="preserve">GIS/CV debugging (alignment issues, resampling artifacts, model convergence) consistently takes longer than initial estimates</w:t>
            </w:r>
          </w:p>
        </w:tc>
        <w:tc>
          <w:tcPr>
            <w:tcW w:type="dxa" w:w="3200"/>
            <w:tcMar>
              <w:top w:type="dxa" w:w="80"/>
              <w:left w:type="dxa" w:w="100"/>
              <w:bottom w:type="dxa" w:w="80"/>
              <w:right w:type="dxa" w:w="100"/>
            </w:tcMar>
          </w:tcPr>
          <w:p>
            <w:r>
              <w:rPr>
                <w:b w:val="false"/>
                <w:bCs w:val="false"/>
                <w:color w:val="000000"/>
                <w:sz w:val="19"/>
                <w:szCs w:val="19"/>
              </w:rPr>
              <w:t xml:space="preserve">Built slack into the project timeline; prioritized a working end-to-end pipeline early over perfecting any single stage first</w:t>
            </w:r>
          </w:p>
        </w:tc>
      </w:tr>
    </w:tbl>
    <w:p>
      <w:pPr>
        <w:spacing w:after="160"/>
      </w:pPr>
      <w:r>
        <w:rPr>
          <w:b/>
          <w:bCs/>
        </w:rPr>
        <w:t xml:space="preserve">Our position: </w:t>
      </w:r>
      <w:r>
        <w:t xml:space="preserve">the datasets are sufficient to build a genuine, defensible project — that is a different and more honest claim than promising a project with no issues. We would rather document this risk table now than discover these points for the first time during evaluation.</w:t>
      </w:r>
    </w:p>
    <w:p>
      <w:pPr>
        <w:pStyle w:val="Heading1"/>
        <w:spacing w:after="160" w:before="360"/>
      </w:pPr>
      <w:r>
        <w:t xml:space="preserve">10. Anticipated Questions &amp; Direct Answers</w:t>
      </w:r>
    </w:p>
    <w:p>
      <w:pPr>
        <w:pStyle w:val="Heading3"/>
        <w:spacing w:after="100" w:before="200"/>
      </w:pPr>
      <w:r>
        <w:t xml:space="preserve">"Is this data reliable enough for a real risk-assessment claim?"</w:t>
      </w:r>
    </w:p>
    <w:p>
      <w:pPr>
        <w:spacing w:after="160"/>
      </w:pPr>
      <w:r>
        <w:t xml:space="preserve">The satellite and elevation sources (Copernicus/ESA-backed) are the same sources used in peer-reviewed remote-sensing and urban-planning research. The building footprint labels are cross-validated across three independent sources. We are also explicit that our risk score is a rule-based, explainable decision-support indicator — not a certified engineering flood model — which is an honest and defensible framing for a student project.</w:t>
      </w:r>
    </w:p>
    <w:p>
      <w:pPr>
        <w:pStyle w:val="Heading3"/>
        <w:spacing w:after="100" w:before="200"/>
      </w:pPr>
      <w:r>
        <w:t xml:space="preserve">"Why not use a single, ready-made dataset instead of combining four sources?"</w:t>
      </w:r>
    </w:p>
    <w:p>
      <w:pPr>
        <w:spacing w:after="160"/>
      </w:pPr>
      <w:r>
        <w:t xml:space="preserve">No single free dataset provides satellite imagery, elevation, hydrography, and building footprints together at usable resolution for an Indian town. Combining verified, independently-sourced datasets is standard practice in urban remote-sensing research, and is what related published work in this space does.</w:t>
      </w:r>
    </w:p>
    <w:p>
      <w:pPr>
        <w:pStyle w:val="Heading3"/>
        <w:spacing w:after="100" w:before="200"/>
      </w:pPr>
      <w:r>
        <w:t xml:space="preserve">"What if a data source becomes unavailable or rate-limited?"</w:t>
      </w:r>
    </w:p>
    <w:p>
      <w:pPr>
        <w:spacing w:after="160"/>
      </w:pPr>
      <w:r>
        <w:t xml:space="preserve">Every module in our pipeline has a documented fallback path and logs explicitly when it is used, so we never silently present fallback/synthetic data as if it were real. For production-scale needs (e.g. building footprints), we already plan to move from live API queries to one-time bulk downloads specifically to avoid this risk.</w:t>
      </w:r>
    </w:p>
    <w:p>
      <w:pPr>
        <w:pStyle w:val="Heading3"/>
        <w:spacing w:after="100" w:before="200"/>
      </w:pPr>
      <w:r>
        <w:t xml:space="preserve">"Is this data specific to India, or borrowed from elsewhere?"</w:t>
      </w:r>
    </w:p>
    <w:p>
      <w:pPr>
        <w:spacing w:after="160"/>
      </w:pPr>
      <w:r>
        <w:t xml:space="preserve">All four sources have genuine India/Kerala coverage: Sentinel-2 and Copernicus DEM are global (so India is natively covered), OpenStreetMap has active community mapping in Kerala, and both Microsoft's and Google's building footprint datasets explicitly include India in their public coverage.</w:t>
      </w:r>
    </w:p>
    <w:p>
      <w:pPr>
        <w:pStyle w:val="Heading1"/>
        <w:spacing w:after="160" w:before="360"/>
      </w:pPr>
      <w:r>
        <w:t xml:space="preserve">11. Reference Links</w:t>
      </w:r>
    </w:p>
    <w:p>
      <w:pPr>
        <w:pStyle w:val="ListParagraph"/>
        <w:numPr>
          <w:ilvl w:val="0"/>
          <w:numId w:val="2"/>
        </w:numPr>
        <w:spacing w:after="100"/>
      </w:pPr>
      <w:r>
        <w:t xml:space="preserve">Sentinel-2 STAC catalog (AWS Earth Search): earth-search.aws.element84.com</w:t>
      </w:r>
    </w:p>
    <w:p>
      <w:pPr>
        <w:pStyle w:val="ListParagraph"/>
        <w:numPr>
          <w:ilvl w:val="0"/>
          <w:numId w:val="2"/>
        </w:numPr>
        <w:spacing w:after="100"/>
      </w:pPr>
      <w:r>
        <w:t xml:space="preserve">Copernicus Programme / Sentinel-2 mission: sentinel.esa.int</w:t>
      </w:r>
    </w:p>
    <w:p>
      <w:pPr>
        <w:pStyle w:val="ListParagraph"/>
        <w:numPr>
          <w:ilvl w:val="0"/>
          <w:numId w:val="2"/>
        </w:numPr>
        <w:spacing w:after="100"/>
      </w:pPr>
      <w:r>
        <w:t xml:space="preserve">Open-Meteo Elevation API (Copernicus DEM backend): open-meteo.com</w:t>
      </w:r>
    </w:p>
    <w:p>
      <w:pPr>
        <w:pStyle w:val="ListParagraph"/>
        <w:numPr>
          <w:ilvl w:val="0"/>
          <w:numId w:val="2"/>
        </w:numPr>
        <w:spacing w:after="100"/>
      </w:pPr>
      <w:r>
        <w:t xml:space="preserve">OpenStreetMap / Overpass API: overpass-api.de, openstreetmap.org</w:t>
      </w:r>
    </w:p>
    <w:p>
      <w:pPr>
        <w:pStyle w:val="ListParagraph"/>
        <w:numPr>
          <w:ilvl w:val="0"/>
          <w:numId w:val="2"/>
        </w:numPr>
        <w:spacing w:after="100"/>
      </w:pPr>
      <w:r>
        <w:t xml:space="preserve">Microsoft Global ML Building Footprints: github.com/microsoft/GlobalMLBuildingFootprints</w:t>
      </w:r>
    </w:p>
    <w:p>
      <w:pPr>
        <w:pStyle w:val="ListParagraph"/>
        <w:numPr>
          <w:ilvl w:val="0"/>
          <w:numId w:val="2"/>
        </w:numPr>
        <w:spacing w:after="100"/>
      </w:pPr>
      <w:r>
        <w:t xml:space="preserve">Google Open Buildings v3: sites.research.google/open-buildings</w:t>
      </w:r>
    </w:p>
    <w:p>
      <w:pPr>
        <w:spacing w:before="400"/>
      </w:pPr>
      <w:r>
        <w:rPr>
          <w:i/>
          <w:iCs/>
          <w:color w:val="888888"/>
        </w:rPr>
        <w:t xml:space="preserve">— End of report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2026-08-22T12:34:13.929Z</dcterms:created>
  <dcterms:modified xsi:type="dcterms:W3CDTF">2026-08-22T12:34:13.942Z</dcterms:modified>
</cp:coreProperties>
</file>

<file path=docProps/custom.xml><?xml version="1.0" encoding="utf-8"?>
<Properties xmlns="http://schemas.openxmlformats.org/officeDocument/2006/custom-properties" xmlns:vt="http://schemas.openxmlformats.org/officeDocument/2006/docPropsVTypes"/>
</file>