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6D57B14" w:rsidR="00CB4A2C" w:rsidRDefault="00EC7271" w:rsidP="002638B2">
          <w:pPr>
            <w:pStyle w:val="NoSpacing"/>
            <w:ind w:right="657"/>
          </w:pPr>
          <w:r>
            <w:rPr>
              <w:noProof/>
            </w:rPr>
            <mc:AlternateContent>
              <mc:Choice Requires="wpg">
                <w:drawing>
                  <wp:anchor distT="0" distB="0" distL="114300" distR="114300" simplePos="0" relativeHeight="251687936" behindDoc="1" locked="0" layoutInCell="1" allowOverlap="1" wp14:anchorId="26DF96CB" wp14:editId="27CFDACB">
                    <wp:simplePos x="0" y="0"/>
                    <wp:positionH relativeFrom="page">
                      <wp:posOffset>232012</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F142A" w14:textId="77777777" w:rsidR="00EC7271" w:rsidRDefault="00EC7271" w:rsidP="00EC727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DF96CB" id="Group 11" o:spid="_x0000_s1026" style="position:absolute;margin-left:18.2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99F142A" w14:textId="77777777" w:rsidR="00EC7271" w:rsidRDefault="00EC7271" w:rsidP="00EC727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A6BEE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B176B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B176B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v:textbox>
                    <w10:wrap anchorx="page" anchory="page"/>
                  </v:shape>
                </w:pict>
              </mc:Fallback>
            </mc:AlternateContent>
          </w:r>
        </w:p>
        <w:p w14:paraId="684C42F0" w14:textId="336D85CA" w:rsidR="00CA74F4" w:rsidRDefault="00EC7271"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BB26BE1" wp14:editId="1C2693BE">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E2BDD86" w:rsidR="00EB32CE" w:rsidRPr="00B176B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176B5">
                                  <w:rPr>
                                    <w:rFonts w:asciiTheme="majorHAnsi" w:hAnsiTheme="majorHAnsi" w:cs="Arial"/>
                                    <w:b/>
                                    <w:color w:val="624ABB"/>
                                    <w:sz w:val="56"/>
                                  </w:rPr>
                                  <w:t>OWASP</w:t>
                                </w:r>
                                <w:r w:rsidR="00CD4E3F" w:rsidRPr="00B176B5">
                                  <w:rPr>
                                    <w:rFonts w:asciiTheme="majorHAnsi" w:hAnsiTheme="majorHAnsi" w:cs="Arial"/>
                                    <w:b/>
                                    <w:color w:val="624ABB"/>
                                    <w:sz w:val="56"/>
                                  </w:rPr>
                                  <w:t xml:space="preserve"> API 2019 </w:t>
                                </w:r>
                                <w:r w:rsidRPr="00B176B5">
                                  <w:rPr>
                                    <w:rFonts w:asciiTheme="majorHAnsi" w:hAnsiTheme="majorHAnsi" w:cs="Arial"/>
                                    <w:b/>
                                    <w:color w:val="624ABB"/>
                                    <w:sz w:val="56"/>
                                  </w:rPr>
                                  <w:t xml:space="preserve">TOP 10 </w:t>
                                </w:r>
                              </w:p>
                              <w:p w14:paraId="5709D450" w14:textId="753BC0A7" w:rsidR="00EB32CE" w:rsidRPr="00B176B5" w:rsidRDefault="00EB32CE" w:rsidP="00CA74F4">
                                <w:pPr>
                                  <w:ind w:left="0" w:right="72"/>
                                  <w:rPr>
                                    <w:rFonts w:asciiTheme="majorHAnsi" w:hAnsiTheme="majorHAnsi" w:cs="Arial"/>
                                    <w:b/>
                                    <w:color w:val="624ABB"/>
                                    <w:sz w:val="56"/>
                                  </w:rPr>
                                </w:pPr>
                                <w:r w:rsidRPr="00B176B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6E2BDD86" w:rsidR="00EB32CE" w:rsidRPr="00B176B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176B5">
                            <w:rPr>
                              <w:rFonts w:asciiTheme="majorHAnsi" w:hAnsiTheme="majorHAnsi" w:cs="Arial"/>
                              <w:b/>
                              <w:color w:val="624ABB"/>
                              <w:sz w:val="56"/>
                            </w:rPr>
                            <w:t>OWASP</w:t>
                          </w:r>
                          <w:r w:rsidR="00CD4E3F" w:rsidRPr="00B176B5">
                            <w:rPr>
                              <w:rFonts w:asciiTheme="majorHAnsi" w:hAnsiTheme="majorHAnsi" w:cs="Arial"/>
                              <w:b/>
                              <w:color w:val="624ABB"/>
                              <w:sz w:val="56"/>
                            </w:rPr>
                            <w:t xml:space="preserve"> API 2019 </w:t>
                          </w:r>
                          <w:r w:rsidRPr="00B176B5">
                            <w:rPr>
                              <w:rFonts w:asciiTheme="majorHAnsi" w:hAnsiTheme="majorHAnsi" w:cs="Arial"/>
                              <w:b/>
                              <w:color w:val="624ABB"/>
                              <w:sz w:val="56"/>
                            </w:rPr>
                            <w:t xml:space="preserve">TOP 10 </w:t>
                          </w:r>
                        </w:p>
                        <w:p w14:paraId="5709D450" w14:textId="753BC0A7" w:rsidR="00EB32CE" w:rsidRPr="00B176B5" w:rsidRDefault="00EB32CE" w:rsidP="00CA74F4">
                          <w:pPr>
                            <w:ind w:left="0" w:right="72"/>
                            <w:rPr>
                              <w:rFonts w:asciiTheme="majorHAnsi" w:hAnsiTheme="majorHAnsi" w:cs="Arial"/>
                              <w:b/>
                              <w:color w:val="624ABB"/>
                              <w:sz w:val="56"/>
                            </w:rPr>
                          </w:pPr>
                          <w:r w:rsidRPr="00B176B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740A694" w14:textId="77777777" w:rsidR="006A2030" w:rsidRPr="00B176B5" w:rsidRDefault="00CA74F4" w:rsidP="00C8580D">
      <w:pPr>
        <w:pStyle w:val="Heading1"/>
        <w:numPr>
          <w:ilvl w:val="0"/>
          <w:numId w:val="0"/>
        </w:numPr>
        <w:ind w:left="357" w:right="657"/>
        <w:rPr>
          <w:noProof/>
          <w:color w:val="624ABB"/>
        </w:rPr>
      </w:pPr>
      <w:r w:rsidRPr="00015B29">
        <w:lastRenderedPageBreak/>
        <w:tab/>
      </w:r>
      <w:bookmarkStart w:id="1" w:name="_Toc531865325"/>
      <w:bookmarkStart w:id="2" w:name="_Toc531953751"/>
      <w:bookmarkStart w:id="3" w:name="_Toc25309942"/>
      <w:bookmarkStart w:id="4" w:name="_Toc31962058"/>
      <w:bookmarkStart w:id="5" w:name="_Toc31962108"/>
      <w:bookmarkStart w:id="6" w:name="_Toc32503193"/>
      <w:bookmarkStart w:id="7" w:name="_Toc32503309"/>
      <w:r w:rsidR="00D36C46">
        <w:t>Table of Content</w:t>
      </w:r>
      <w:bookmarkEnd w:id="1"/>
      <w:bookmarkEnd w:id="2"/>
      <w:bookmarkEnd w:id="3"/>
      <w:bookmarkEnd w:id="4"/>
      <w:bookmarkEnd w:id="5"/>
      <w:bookmarkEnd w:id="6"/>
      <w:bookmarkEnd w:id="7"/>
      <w:r w:rsidR="00C8580D" w:rsidRPr="00B176B5">
        <w:rPr>
          <w:rFonts w:asciiTheme="majorHAnsi" w:hAnsiTheme="majorHAnsi"/>
          <w:caps/>
          <w:color w:val="624ABB"/>
          <w:sz w:val="22"/>
        </w:rPr>
        <w:fldChar w:fldCharType="begin"/>
      </w:r>
      <w:r w:rsidR="00C8580D" w:rsidRPr="00B176B5">
        <w:rPr>
          <w:rFonts w:asciiTheme="majorHAnsi" w:hAnsiTheme="majorHAnsi"/>
          <w:caps/>
          <w:color w:val="624ABB"/>
          <w:sz w:val="22"/>
        </w:rPr>
        <w:instrText xml:space="preserve"> TOC \o "1-4" \n </w:instrText>
      </w:r>
      <w:r w:rsidR="00C8580D" w:rsidRPr="00B176B5">
        <w:rPr>
          <w:rFonts w:asciiTheme="majorHAnsi" w:hAnsiTheme="majorHAnsi"/>
          <w:caps/>
          <w:color w:val="624ABB"/>
          <w:sz w:val="22"/>
        </w:rPr>
        <w:fldChar w:fldCharType="separate"/>
      </w:r>
    </w:p>
    <w:p w14:paraId="4643408D" w14:textId="77777777" w:rsidR="006A2030" w:rsidRPr="00B176B5" w:rsidRDefault="006A2030">
      <w:pPr>
        <w:pStyle w:val="TOC1"/>
        <w:rPr>
          <w:rFonts w:asciiTheme="minorHAnsi" w:eastAsiaTheme="minorEastAsia" w:hAnsiTheme="minorHAnsi" w:cstheme="minorBidi"/>
          <w:b w:val="0"/>
          <w:caps w:val="0"/>
          <w:noProof/>
          <w:color w:val="624ABB"/>
          <w:sz w:val="22"/>
          <w:szCs w:val="22"/>
          <w:lang w:eastAsia="en-US"/>
        </w:rPr>
      </w:pPr>
      <w:r w:rsidRPr="00B176B5">
        <w:rPr>
          <w:noProof/>
          <w:color w:val="624ABB"/>
        </w:rPr>
        <w:t>Table of Content</w:t>
      </w:r>
    </w:p>
    <w:p w14:paraId="1D103153"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noProof/>
          <w:color w:val="624ABB"/>
        </w:rPr>
        <w:t>1.</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Introduction</w:t>
      </w:r>
    </w:p>
    <w:p w14:paraId="1140F74D"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1.1.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Application Characteristics</w:t>
      </w:r>
    </w:p>
    <w:p w14:paraId="045BF6A7"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rFonts w:asciiTheme="minorHAnsi" w:hAnsiTheme="minorHAnsi"/>
          <w:noProof/>
          <w:color w:val="624ABB"/>
        </w:rPr>
        <w:t>2.</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Security Violation Overview</w:t>
      </w:r>
    </w:p>
    <w:p w14:paraId="5712288D"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API -2019 Top 10 Vulnerabilities</w:t>
      </w:r>
    </w:p>
    <w:p w14:paraId="6EAA98CA"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2.2.</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API1:2019 Broken Object Level Authorization</w:t>
      </w:r>
    </w:p>
    <w:p w14:paraId="21B468FB"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2.3.</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API2:2019 Broken User Authentication</w:t>
      </w:r>
    </w:p>
    <w:p w14:paraId="212C38BB"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2.4.</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API3:2019 Excessive Data Exposure</w:t>
      </w:r>
    </w:p>
    <w:p w14:paraId="388925B7"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2.5.</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API4:2019 Lack of Resources &amp; Rate Limiting</w:t>
      </w:r>
    </w:p>
    <w:p w14:paraId="0078B7C6"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2.6.</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API5:2019 Broken Function Level Authorization</w:t>
      </w:r>
    </w:p>
    <w:p w14:paraId="322ED5B0"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2.7.</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API6:2019 Mass Assignment</w:t>
      </w:r>
    </w:p>
    <w:p w14:paraId="49C8819A"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2.8.</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API7:2019 Security Misconfiguration</w:t>
      </w:r>
    </w:p>
    <w:p w14:paraId="2C20CCEC"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2.9.</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API8:2019 Injection</w:t>
      </w:r>
    </w:p>
    <w:p w14:paraId="01623EF9"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2.10.</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API9:2019 Improper Assets Management</w:t>
      </w:r>
    </w:p>
    <w:p w14:paraId="311683A4"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2.11.</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API10:2019 Insufficient Logging &amp; Monitoring</w:t>
      </w:r>
    </w:p>
    <w:p w14:paraId="47C4F25C"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rFonts w:asciiTheme="minorHAnsi" w:hAnsiTheme="minorHAnsi"/>
          <w:noProof/>
          <w:color w:val="624ABB"/>
        </w:rPr>
        <w:t>3.</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Security Violation Details</w:t>
      </w:r>
    </w:p>
    <w:p w14:paraId="69929936"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API1:2019 Broken Object Level Authorization</w:t>
      </w:r>
    </w:p>
    <w:p w14:paraId="380C906C"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3.2.</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API2:2019 Broken User Authentication</w:t>
      </w:r>
    </w:p>
    <w:p w14:paraId="550D56F9"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3.3.</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API3:2019 Excessive Data Exposure</w:t>
      </w:r>
    </w:p>
    <w:p w14:paraId="7BCE8331"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3.4.</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API4:2019 Lack of Resources &amp; Rate Limiting</w:t>
      </w:r>
    </w:p>
    <w:p w14:paraId="3C8BEEDB"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3.5.</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API5:2019 Broken Function Level Authorization</w:t>
      </w:r>
    </w:p>
    <w:p w14:paraId="5F570B5E"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3.6.</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API6:2019 Mass Assignment</w:t>
      </w:r>
    </w:p>
    <w:p w14:paraId="295BFDC0"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3.7.</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API7:2019 Security Misconfiguration</w:t>
      </w:r>
    </w:p>
    <w:p w14:paraId="4922781B"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3.8.</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API8:2019 Injection</w:t>
      </w:r>
    </w:p>
    <w:p w14:paraId="4A6676FB"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3.9.</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API9:2019 Improper Assets Management</w:t>
      </w:r>
    </w:p>
    <w:p w14:paraId="57EF467C"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3.10.</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API10:2019 Insufficient Logging &amp; Monitoring</w:t>
      </w:r>
    </w:p>
    <w:p w14:paraId="116FF1F2"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noProof/>
          <w:color w:val="624ABB"/>
        </w:rPr>
        <w:t>4.</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Appendix</w:t>
      </w:r>
    </w:p>
    <w:p w14:paraId="0EA17DCD"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About CAST Software Intelligence</w:t>
      </w:r>
    </w:p>
    <w:p w14:paraId="6463CD61"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4.2.</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About CAST Security</w:t>
      </w:r>
    </w:p>
    <w:p w14:paraId="63CAED02"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4.3.</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Applicability of OWASP API 2019 in CAST Solution</w:t>
      </w:r>
    </w:p>
    <w:p w14:paraId="31007FBA" w14:textId="5D255F79" w:rsidR="00C9214B" w:rsidRPr="00B176B5" w:rsidRDefault="00C8580D" w:rsidP="002638B2">
      <w:pPr>
        <w:ind w:left="0" w:right="657"/>
        <w:rPr>
          <w:color w:val="624ABB"/>
          <w:sz w:val="16"/>
          <w:szCs w:val="16"/>
        </w:rPr>
      </w:pPr>
      <w:r w:rsidRPr="00B176B5">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5326"/>
      <w:bookmarkStart w:id="9" w:name="_Toc531953752"/>
      <w:bookmarkStart w:id="10" w:name="_Toc25309943"/>
      <w:bookmarkStart w:id="11" w:name="_Toc31962059"/>
      <w:bookmarkStart w:id="12" w:name="_Toc31962109"/>
      <w:bookmarkStart w:id="13" w:name="_Toc32503194"/>
      <w:bookmarkStart w:id="14" w:name="_Toc32503310"/>
      <w:r w:rsidR="005773E4">
        <w:t>Introduction</w:t>
      </w:r>
      <w:bookmarkEnd w:id="8"/>
      <w:bookmarkEnd w:id="9"/>
      <w:bookmarkEnd w:id="10"/>
      <w:bookmarkEnd w:id="11"/>
      <w:bookmarkEnd w:id="12"/>
      <w:bookmarkEnd w:id="13"/>
      <w:bookmarkEnd w:id="14"/>
    </w:p>
    <w:p w14:paraId="14450E93" w14:textId="77777777" w:rsidR="0031045C" w:rsidRDefault="0031045C" w:rsidP="0031045C">
      <w:pPr>
        <w:spacing w:after="0" w:line="240" w:lineRule="auto"/>
        <w:ind w:right="657"/>
      </w:pPr>
      <w:bookmarkStart w:id="15" w:name="_Hlk530663297"/>
      <w:bookmarkStart w:id="16" w:name="_Toc525042462"/>
      <w:bookmarkStart w:id="17" w:name="_Toc531865338"/>
      <w:bookmarkStart w:id="18" w:name="_Toc531953766"/>
      <w:bookmarkStart w:id="19" w:name="_Toc25309957"/>
      <w:bookmarkStart w:id="20" w:name="_Toc31962073"/>
      <w:bookmarkStart w:id="21" w:name="_Toc3196212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84CD4DA" w14:textId="77777777" w:rsidR="0031045C" w:rsidRDefault="0031045C" w:rsidP="0031045C">
      <w:pPr>
        <w:spacing w:after="0" w:line="240" w:lineRule="auto"/>
        <w:ind w:right="657"/>
      </w:pPr>
    </w:p>
    <w:p w14:paraId="768E728E" w14:textId="77777777" w:rsidR="0031045C" w:rsidRPr="00755F5D" w:rsidRDefault="0031045C" w:rsidP="0031045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51CD96BD" w14:textId="77777777" w:rsidR="0031045C" w:rsidRPr="00592C0F" w:rsidRDefault="0031045C" w:rsidP="0031045C">
      <w:pPr>
        <w:pStyle w:val="Heading2"/>
        <w:spacing w:after="0"/>
        <w:ind w:left="540" w:right="657" w:hanging="540"/>
        <w:rPr>
          <w:lang w:val="en-US"/>
        </w:rPr>
      </w:pPr>
      <w:bookmarkStart w:id="22" w:name="_Toc380677725"/>
      <w:bookmarkStart w:id="23" w:name="_Toc531865297"/>
      <w:bookmarkStart w:id="24" w:name="_Toc531949426"/>
      <w:bookmarkStart w:id="25" w:name="_Toc531949636"/>
      <w:bookmarkStart w:id="26" w:name="_Toc31959159"/>
      <w:bookmarkStart w:id="27" w:name="_Toc32503195"/>
      <w:bookmarkStart w:id="28" w:name="_Toc32503311"/>
      <w:bookmarkEnd w:id="15"/>
      <w:r w:rsidRPr="005773E4">
        <w:rPr>
          <w:lang w:val="en-US"/>
        </w:rPr>
        <w:t xml:space="preserve">Application </w:t>
      </w:r>
      <w:bookmarkEnd w:id="22"/>
      <w:r>
        <w:rPr>
          <w:lang w:val="en-US"/>
        </w:rPr>
        <w:t>Characteristics</w:t>
      </w:r>
      <w:bookmarkEnd w:id="23"/>
      <w:bookmarkEnd w:id="24"/>
      <w:bookmarkEnd w:id="25"/>
      <w:bookmarkEnd w:id="26"/>
      <w:bookmarkEnd w:id="27"/>
      <w:bookmarkEnd w:id="28"/>
    </w:p>
    <w:p w14:paraId="571CB2E4" w14:textId="77777777" w:rsidR="0031045C" w:rsidRDefault="0031045C" w:rsidP="0031045C">
      <w:pPr>
        <w:spacing w:after="0" w:line="240" w:lineRule="auto"/>
        <w:ind w:right="657"/>
        <w:rPr>
          <w:rFonts w:asciiTheme="minorHAnsi" w:hAnsiTheme="minorHAnsi"/>
          <w:noProof/>
          <w:sz w:val="22"/>
        </w:rPr>
      </w:pPr>
    </w:p>
    <w:p w14:paraId="0307B3B1" w14:textId="77777777" w:rsidR="0031045C" w:rsidRDefault="0031045C" w:rsidP="0031045C">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59853F20" w14:textId="77777777" w:rsidR="0031045C" w:rsidRDefault="0031045C" w:rsidP="0031045C">
      <w:pPr>
        <w:ind w:right="657"/>
      </w:pPr>
    </w:p>
    <w:p w14:paraId="67D3A6CF" w14:textId="77777777" w:rsidR="0031045C" w:rsidRDefault="0031045C" w:rsidP="0031045C">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31045C" w:rsidRPr="005773E4" w14:paraId="242CBC7B" w14:textId="77777777" w:rsidTr="00CB2001">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3DB35187"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234B8B5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31045C" w:rsidRPr="005773E4" w14:paraId="72A546B2"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63477F8A"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8F4CE90"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31045C" w:rsidRPr="005773E4" w14:paraId="20EDAF42" w14:textId="77777777" w:rsidTr="00CB2001">
        <w:trPr>
          <w:trHeight w:val="303"/>
        </w:trPr>
        <w:tc>
          <w:tcPr>
            <w:tcW w:w="2111" w:type="dxa"/>
            <w:hideMark/>
          </w:tcPr>
          <w:p w14:paraId="49961971"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1E5AEAC8"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31045C" w:rsidRPr="005773E4" w14:paraId="7A5AE54D"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59693E15"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357F93E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31045C" w:rsidRPr="005773E4" w14:paraId="466BABA0" w14:textId="77777777" w:rsidTr="00CB2001">
        <w:trPr>
          <w:trHeight w:val="303"/>
        </w:trPr>
        <w:tc>
          <w:tcPr>
            <w:tcW w:w="2111" w:type="dxa"/>
            <w:hideMark/>
          </w:tcPr>
          <w:p w14:paraId="0C1BC4FE"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20610E3B"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31045C" w:rsidRPr="005773E4" w14:paraId="2FA93526"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BA3E9D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4A4E0F2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0968B9B1" w14:textId="77777777" w:rsidR="0031045C" w:rsidRPr="00B1237A" w:rsidRDefault="0031045C" w:rsidP="0031045C">
      <w:pPr>
        <w:spacing w:after="0" w:line="240" w:lineRule="auto"/>
        <w:ind w:right="657"/>
        <w:rPr>
          <w:rFonts w:asciiTheme="minorHAnsi" w:hAnsiTheme="minorHAnsi"/>
          <w:noProof/>
          <w:sz w:val="22"/>
        </w:rPr>
      </w:pPr>
      <w:r>
        <w:rPr>
          <w:noProof/>
          <w:lang w:eastAsia="en-US"/>
        </w:rPr>
        <w:drawing>
          <wp:inline distT="0" distB="0" distL="0" distR="0" wp14:anchorId="78D869E2" wp14:editId="2162EB1B">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A86856" w14:textId="77777777" w:rsidR="0031045C" w:rsidRPr="00B1237A" w:rsidRDefault="0031045C" w:rsidP="0031045C">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04B76517" w14:textId="77777777" w:rsidR="0031045C" w:rsidRPr="00B1237A" w:rsidRDefault="0031045C" w:rsidP="0031045C">
      <w:pPr>
        <w:ind w:right="657"/>
        <w:jc w:val="left"/>
        <w:rPr>
          <w:rFonts w:asciiTheme="minorHAnsi" w:hAnsiTheme="minorHAnsi"/>
          <w:noProof/>
          <w:sz w:val="22"/>
        </w:rPr>
      </w:pPr>
    </w:p>
    <w:p w14:paraId="0AADDF87" w14:textId="77777777" w:rsidR="0031045C" w:rsidRDefault="0031045C" w:rsidP="0031045C">
      <w:pPr>
        <w:spacing w:after="0" w:line="240" w:lineRule="auto"/>
        <w:ind w:left="0" w:right="657"/>
        <w:jc w:val="left"/>
      </w:pPr>
      <w:r>
        <w:t xml:space="preserve"> </w:t>
      </w:r>
    </w:p>
    <w:p w14:paraId="4B64EC0C" w14:textId="77777777" w:rsidR="0031045C" w:rsidRDefault="0031045C" w:rsidP="0031045C">
      <w:pPr>
        <w:spacing w:after="0" w:line="240" w:lineRule="auto"/>
        <w:ind w:left="0" w:right="657"/>
        <w:jc w:val="left"/>
      </w:pPr>
    </w:p>
    <w:p w14:paraId="79C0766D" w14:textId="77777777" w:rsidR="0031045C" w:rsidRDefault="0031045C" w:rsidP="0031045C">
      <w:pPr>
        <w:spacing w:after="0" w:line="240" w:lineRule="auto"/>
        <w:ind w:left="0" w:right="657"/>
        <w:jc w:val="left"/>
      </w:pPr>
    </w:p>
    <w:p w14:paraId="678C2D47" w14:textId="77777777" w:rsidR="0031045C" w:rsidRDefault="0031045C" w:rsidP="0031045C">
      <w:pPr>
        <w:spacing w:after="0" w:line="240" w:lineRule="auto"/>
        <w:ind w:left="0" w:right="657"/>
        <w:jc w:val="left"/>
      </w:pPr>
    </w:p>
    <w:p w14:paraId="07B1FC66" w14:textId="77777777" w:rsidR="0031045C" w:rsidRDefault="0031045C" w:rsidP="0031045C">
      <w:pPr>
        <w:spacing w:after="0" w:line="240" w:lineRule="auto"/>
        <w:ind w:left="0" w:right="657"/>
        <w:jc w:val="left"/>
      </w:pPr>
    </w:p>
    <w:p w14:paraId="522C9558" w14:textId="77777777" w:rsidR="0031045C" w:rsidRDefault="0031045C" w:rsidP="0031045C">
      <w:pPr>
        <w:spacing w:after="0" w:line="240" w:lineRule="auto"/>
        <w:ind w:left="0" w:right="657"/>
        <w:jc w:val="left"/>
      </w:pPr>
    </w:p>
    <w:p w14:paraId="136A24F7" w14:textId="77777777" w:rsidR="0031045C" w:rsidRDefault="0031045C" w:rsidP="0031045C">
      <w:pPr>
        <w:spacing w:after="0" w:line="240" w:lineRule="auto"/>
        <w:ind w:left="0" w:right="657"/>
        <w:jc w:val="left"/>
      </w:pPr>
    </w:p>
    <w:p w14:paraId="6A18E2F5" w14:textId="77777777" w:rsidR="0031045C" w:rsidRDefault="0031045C" w:rsidP="0031045C">
      <w:pPr>
        <w:spacing w:after="0" w:line="240" w:lineRule="auto"/>
        <w:ind w:left="0" w:right="657"/>
        <w:jc w:val="left"/>
      </w:pPr>
    </w:p>
    <w:p w14:paraId="57C7B8EE" w14:textId="77777777" w:rsidR="0031045C" w:rsidRDefault="0031045C" w:rsidP="0031045C">
      <w:pPr>
        <w:spacing w:after="0" w:line="240" w:lineRule="auto"/>
        <w:ind w:left="0" w:right="657"/>
        <w:jc w:val="left"/>
      </w:pPr>
    </w:p>
    <w:p w14:paraId="240E59D4" w14:textId="77777777" w:rsidR="0031045C" w:rsidRDefault="0031045C" w:rsidP="0031045C">
      <w:pPr>
        <w:spacing w:after="0" w:line="240" w:lineRule="auto"/>
        <w:ind w:left="0" w:right="657"/>
        <w:jc w:val="left"/>
      </w:pPr>
    </w:p>
    <w:p w14:paraId="5598EBE9" w14:textId="77777777" w:rsidR="0031045C" w:rsidRDefault="0031045C" w:rsidP="0031045C">
      <w:pPr>
        <w:spacing w:after="0" w:line="240" w:lineRule="auto"/>
        <w:ind w:left="0" w:right="657"/>
        <w:jc w:val="left"/>
      </w:pPr>
    </w:p>
    <w:p w14:paraId="669F37F0" w14:textId="77777777" w:rsidR="0031045C" w:rsidRDefault="0031045C" w:rsidP="0031045C">
      <w:pPr>
        <w:spacing w:after="0" w:line="240" w:lineRule="auto"/>
        <w:ind w:left="0" w:right="657"/>
        <w:jc w:val="left"/>
      </w:pPr>
    </w:p>
    <w:p w14:paraId="0531DA6B" w14:textId="77777777" w:rsidR="0031045C" w:rsidRDefault="0031045C" w:rsidP="0031045C">
      <w:pPr>
        <w:spacing w:after="0" w:line="240" w:lineRule="auto"/>
        <w:ind w:left="0" w:right="657"/>
        <w:jc w:val="left"/>
      </w:pPr>
    </w:p>
    <w:p w14:paraId="6494E162" w14:textId="77777777" w:rsidR="0031045C" w:rsidRDefault="0031045C" w:rsidP="0031045C">
      <w:pPr>
        <w:spacing w:after="0" w:line="240" w:lineRule="auto"/>
        <w:ind w:left="0" w:right="657"/>
        <w:jc w:val="left"/>
      </w:pPr>
    </w:p>
    <w:p w14:paraId="3E975461" w14:textId="77777777" w:rsidR="0031045C" w:rsidRDefault="0031045C" w:rsidP="0031045C">
      <w:pPr>
        <w:spacing w:after="0" w:line="240" w:lineRule="auto"/>
        <w:ind w:left="0" w:right="657"/>
        <w:jc w:val="left"/>
      </w:pPr>
    </w:p>
    <w:p w14:paraId="4E8CD6AB" w14:textId="77777777" w:rsidR="0031045C" w:rsidRDefault="0031045C" w:rsidP="0031045C">
      <w:pPr>
        <w:spacing w:after="0" w:line="240" w:lineRule="auto"/>
        <w:ind w:left="0" w:right="657"/>
        <w:jc w:val="left"/>
      </w:pPr>
    </w:p>
    <w:p w14:paraId="0C143843" w14:textId="77777777" w:rsidR="0031045C" w:rsidRDefault="0031045C" w:rsidP="0031045C">
      <w:pPr>
        <w:spacing w:after="0" w:line="240" w:lineRule="auto"/>
        <w:ind w:left="0" w:right="657"/>
        <w:jc w:val="left"/>
      </w:pPr>
    </w:p>
    <w:p w14:paraId="7EBF2985" w14:textId="77777777" w:rsidR="0031045C" w:rsidRDefault="0031045C" w:rsidP="0031045C">
      <w:pPr>
        <w:spacing w:after="0" w:line="240" w:lineRule="auto"/>
        <w:ind w:left="0" w:right="657"/>
        <w:jc w:val="left"/>
      </w:pPr>
    </w:p>
    <w:p w14:paraId="06A8C297" w14:textId="77777777" w:rsidR="0031045C" w:rsidRDefault="0031045C" w:rsidP="0031045C">
      <w:pPr>
        <w:spacing w:after="0" w:line="240" w:lineRule="auto"/>
        <w:ind w:left="0" w:right="657"/>
        <w:jc w:val="left"/>
      </w:pPr>
    </w:p>
    <w:p w14:paraId="133DC44B" w14:textId="77777777" w:rsidR="0031045C" w:rsidRDefault="0031045C" w:rsidP="0031045C">
      <w:pPr>
        <w:spacing w:after="0" w:line="240" w:lineRule="auto"/>
        <w:ind w:left="0" w:right="657"/>
        <w:jc w:val="left"/>
      </w:pPr>
    </w:p>
    <w:p w14:paraId="43A035E1" w14:textId="77777777" w:rsidR="0031045C" w:rsidRPr="005773E4" w:rsidRDefault="0031045C" w:rsidP="0031045C">
      <w:pPr>
        <w:pStyle w:val="Heading1"/>
        <w:ind w:right="657"/>
        <w:rPr>
          <w:rFonts w:asciiTheme="minorHAnsi" w:hAnsiTheme="minorHAnsi"/>
          <w:noProof/>
          <w:sz w:val="22"/>
        </w:rPr>
      </w:pPr>
      <w:bookmarkStart w:id="29" w:name="_Toc531865298"/>
      <w:bookmarkStart w:id="30" w:name="_Toc531949427"/>
      <w:bookmarkStart w:id="31" w:name="_Toc531949637"/>
      <w:bookmarkStart w:id="32" w:name="_Toc31959160"/>
      <w:bookmarkStart w:id="33" w:name="_Toc32503196"/>
      <w:bookmarkStart w:id="34" w:name="_Toc32503312"/>
      <w:r>
        <w:lastRenderedPageBreak/>
        <w:t>Security Violation Overview</w:t>
      </w:r>
      <w:bookmarkEnd w:id="29"/>
      <w:bookmarkEnd w:id="30"/>
      <w:bookmarkEnd w:id="31"/>
      <w:bookmarkEnd w:id="32"/>
      <w:bookmarkEnd w:id="33"/>
      <w:bookmarkEnd w:id="34"/>
    </w:p>
    <w:p w14:paraId="743FE143" w14:textId="77777777" w:rsidR="0031045C" w:rsidRDefault="0031045C" w:rsidP="0031045C">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API Security 2019 standard. </w:t>
      </w:r>
    </w:p>
    <w:p w14:paraId="51B1B017" w14:textId="77777777" w:rsidR="0031045C" w:rsidRDefault="0031045C" w:rsidP="0031045C">
      <w:pPr>
        <w:ind w:left="0" w:right="657"/>
        <w:jc w:val="left"/>
        <w:rPr>
          <w:rFonts w:asciiTheme="minorHAnsi" w:hAnsiTheme="minorHAnsi"/>
          <w:noProof/>
          <w:sz w:val="20"/>
        </w:rPr>
      </w:pPr>
    </w:p>
    <w:p w14:paraId="28BD39CC" w14:textId="77777777" w:rsidR="0031045C" w:rsidRPr="00212651" w:rsidRDefault="0031045C" w:rsidP="0031045C">
      <w:pPr>
        <w:pStyle w:val="Heading2"/>
        <w:spacing w:after="0"/>
        <w:ind w:left="540" w:right="657" w:hanging="540"/>
        <w:rPr>
          <w:rFonts w:eastAsia="Calibri"/>
        </w:rPr>
      </w:pPr>
      <w:bookmarkStart w:id="35" w:name="_Toc531865299"/>
      <w:bookmarkStart w:id="36" w:name="_Toc531949428"/>
      <w:bookmarkStart w:id="37" w:name="_Toc531949638"/>
      <w:bookmarkStart w:id="38" w:name="_Toc31959161"/>
      <w:bookmarkStart w:id="39" w:name="_Toc32503197"/>
      <w:bookmarkStart w:id="40" w:name="_Toc32503313"/>
      <w:r>
        <w:rPr>
          <w:rFonts w:eastAsia="Calibri"/>
          <w:lang w:val="en-US"/>
        </w:rPr>
        <w:t>OWASP API -2019 Top 10 Vulnerabilities</w:t>
      </w:r>
      <w:bookmarkEnd w:id="35"/>
      <w:bookmarkEnd w:id="36"/>
      <w:bookmarkEnd w:id="37"/>
      <w:bookmarkEnd w:id="38"/>
      <w:bookmarkEnd w:id="39"/>
      <w:bookmarkEnd w:id="40"/>
    </w:p>
    <w:p w14:paraId="7E5F1FF9" w14:textId="77777777" w:rsidR="0031045C" w:rsidRDefault="0031045C" w:rsidP="0031045C">
      <w:pPr>
        <w:pStyle w:val="BodyContent"/>
        <w:ind w:right="657"/>
        <w:rPr>
          <w:rFonts w:asciiTheme="minorHAnsi" w:hAnsiTheme="minorHAnsi" w:cstheme="minorHAnsi"/>
          <w:sz w:val="20"/>
          <w:szCs w:val="20"/>
        </w:rPr>
      </w:pPr>
    </w:p>
    <w:p w14:paraId="225A7DA2" w14:textId="77777777" w:rsidR="0031045C" w:rsidRDefault="0031045C" w:rsidP="0031045C">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0492722B"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List of OWASP API -2019</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31045C" w:rsidRPr="00AC5F7C" w14:paraId="71BC9564"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1328596" w14:textId="77777777" w:rsidR="0031045C" w:rsidRPr="00FC19A1" w:rsidRDefault="0031045C" w:rsidP="00CB2001">
            <w:pPr>
              <w:ind w:left="330" w:right="657"/>
              <w:jc w:val="left"/>
              <w:rPr>
                <w:rFonts w:ascii="Open Sans" w:hAnsi="Open Sans" w:cs="Open Sans"/>
              </w:rPr>
            </w:pPr>
            <w:r>
              <w:rPr>
                <w:rFonts w:ascii="Open Sans" w:hAnsi="Open Sans" w:cs="Open Sans"/>
              </w:rPr>
              <w:t>OWASP-2019</w:t>
            </w:r>
          </w:p>
        </w:tc>
        <w:tc>
          <w:tcPr>
            <w:tcW w:w="1530" w:type="dxa"/>
            <w:tcBorders>
              <w:bottom w:val="single" w:sz="12" w:space="0" w:color="B2B9FF"/>
            </w:tcBorders>
            <w:shd w:val="clear" w:color="auto" w:fill="C7C9E0"/>
            <w:vAlign w:val="center"/>
          </w:tcPr>
          <w:p w14:paraId="0A3B742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25E4D46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56B4D0D6"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31045C" w:rsidRPr="00CA2066" w14:paraId="522E6788"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ABC1835" w14:textId="77777777" w:rsidR="0031045C" w:rsidRPr="007675B2" w:rsidRDefault="0031045C" w:rsidP="00CB2001">
            <w:pPr>
              <w:ind w:right="657"/>
              <w:jc w:val="left"/>
              <w:rPr>
                <w:rFonts w:ascii="Open Sans" w:hAnsi="Open Sans" w:cs="Open Sans"/>
                <w:b w:val="0"/>
              </w:rPr>
            </w:pPr>
            <w:r w:rsidRPr="0026763D">
              <w:rPr>
                <w:rFonts w:ascii="Open Sans" w:hAnsi="Open Sans" w:cs="Open Sans"/>
                <w:b w:val="0"/>
              </w:rPr>
              <w:t>API8:2019 Injection</w:t>
            </w:r>
          </w:p>
        </w:tc>
        <w:tc>
          <w:tcPr>
            <w:tcW w:w="1530" w:type="dxa"/>
            <w:tcBorders>
              <w:top w:val="single" w:sz="12" w:space="0" w:color="B2B9FF"/>
            </w:tcBorders>
          </w:tcPr>
          <w:p w14:paraId="4CF9A54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045C6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FD9D0D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E63CA5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469D8D" w14:textId="77777777" w:rsidR="0031045C" w:rsidRPr="007675B2" w:rsidRDefault="0031045C" w:rsidP="00CB2001">
            <w:pPr>
              <w:ind w:right="657"/>
              <w:jc w:val="left"/>
              <w:rPr>
                <w:rFonts w:ascii="Open Sans" w:hAnsi="Open Sans" w:cs="Open Sans"/>
                <w:b w:val="0"/>
              </w:rPr>
            </w:pPr>
            <w:r>
              <w:rPr>
                <w:rFonts w:ascii="Open Sans" w:hAnsi="Open Sans" w:cs="Open Sans"/>
                <w:b w:val="0"/>
              </w:rPr>
              <w:t>A…</w:t>
            </w:r>
          </w:p>
        </w:tc>
        <w:tc>
          <w:tcPr>
            <w:tcW w:w="1530" w:type="dxa"/>
          </w:tcPr>
          <w:p w14:paraId="05171F9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29C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C85B4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55D02F" w14:textId="77777777" w:rsidR="0031045C" w:rsidRPr="004207FB" w:rsidRDefault="0031045C" w:rsidP="0031045C">
      <w:pPr>
        <w:ind w:left="0" w:right="657"/>
        <w:rPr>
          <w:i/>
          <w:sz w:val="14"/>
        </w:rPr>
      </w:pPr>
      <w:r>
        <w:rPr>
          <w:i/>
          <w:sz w:val="14"/>
        </w:rPr>
        <w:t xml:space="preserve">Table 2: OWASP API 2019 Top 10 Rules </w:t>
      </w:r>
    </w:p>
    <w:p w14:paraId="1820627C" w14:textId="77777777" w:rsidR="0031045C" w:rsidRDefault="0031045C" w:rsidP="0031045C">
      <w:pPr>
        <w:pStyle w:val="BodyContent"/>
        <w:ind w:right="657"/>
        <w:jc w:val="center"/>
        <w:rPr>
          <w:rFonts w:ascii="Calibri" w:eastAsia="Calibri" w:hAnsi="Calibri"/>
          <w:bCs/>
          <w:i/>
          <w:noProof/>
          <w:color w:val="auto"/>
          <w:sz w:val="20"/>
          <w:szCs w:val="22"/>
        </w:rPr>
      </w:pPr>
    </w:p>
    <w:p w14:paraId="2D6EE67F" w14:textId="77777777" w:rsidR="0031045C" w:rsidRDefault="0031045C" w:rsidP="0031045C">
      <w:pPr>
        <w:spacing w:after="0" w:line="240" w:lineRule="auto"/>
        <w:ind w:left="0" w:right="657"/>
        <w:jc w:val="left"/>
        <w:rPr>
          <w:rFonts w:eastAsia="Calibri"/>
          <w:lang w:eastAsia="en-US"/>
        </w:rPr>
      </w:pPr>
      <w:r>
        <w:rPr>
          <w:rFonts w:eastAsia="Calibri"/>
          <w:lang w:eastAsia="en-US"/>
        </w:rPr>
        <w:br w:type="page"/>
      </w:r>
    </w:p>
    <w:p w14:paraId="128D5980" w14:textId="77777777" w:rsidR="0031045C" w:rsidRPr="00212651" w:rsidRDefault="0031045C" w:rsidP="0031045C">
      <w:pPr>
        <w:pStyle w:val="Heading2"/>
        <w:spacing w:after="0"/>
        <w:ind w:left="540" w:right="657" w:hanging="540"/>
        <w:rPr>
          <w:rFonts w:eastAsia="Calibri"/>
        </w:rPr>
      </w:pPr>
      <w:bookmarkStart w:id="41" w:name="_Toc531865300"/>
      <w:bookmarkStart w:id="42" w:name="_Toc531949429"/>
      <w:bookmarkStart w:id="43" w:name="_Toc531949639"/>
      <w:bookmarkStart w:id="44" w:name="_Toc31959162"/>
      <w:bookmarkStart w:id="45" w:name="_Toc32503198"/>
      <w:bookmarkStart w:id="46" w:name="_Toc32503314"/>
      <w:r>
        <w:rPr>
          <w:rFonts w:eastAsia="Calibri"/>
          <w:lang w:val="en-US"/>
        </w:rPr>
        <w:lastRenderedPageBreak/>
        <w:t xml:space="preserve">OWASP - </w:t>
      </w:r>
      <w:bookmarkEnd w:id="41"/>
      <w:bookmarkEnd w:id="42"/>
      <w:bookmarkEnd w:id="43"/>
      <w:r w:rsidRPr="0026763D">
        <w:rPr>
          <w:rFonts w:eastAsia="Calibri"/>
          <w:lang w:val="en-US"/>
        </w:rPr>
        <w:t>API1:2019 Broken Object Level Authorization</w:t>
      </w:r>
      <w:bookmarkEnd w:id="44"/>
      <w:bookmarkEnd w:id="45"/>
      <w:bookmarkEnd w:id="46"/>
    </w:p>
    <w:p w14:paraId="53AF424A" w14:textId="77777777" w:rsidR="0031045C" w:rsidRDefault="0031045C" w:rsidP="0031045C">
      <w:pPr>
        <w:pStyle w:val="BodyContent"/>
        <w:ind w:right="657"/>
        <w:rPr>
          <w:rFonts w:asciiTheme="minorHAnsi" w:hAnsiTheme="minorHAnsi" w:cstheme="minorHAnsi"/>
          <w:sz w:val="20"/>
          <w:szCs w:val="20"/>
        </w:rPr>
      </w:pPr>
    </w:p>
    <w:p w14:paraId="058EF2F8" w14:textId="77777777" w:rsidR="0031045C" w:rsidRDefault="0031045C" w:rsidP="0031045C">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580BBEA7"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proofErr w:type="gramStart"/>
      <w:r>
        <w:rPr>
          <w:rFonts w:asciiTheme="minorHAnsi" w:hAnsiTheme="minorHAnsi" w:cstheme="minorHAnsi"/>
          <w:sz w:val="20"/>
          <w:szCs w:val="20"/>
        </w:rPr>
        <w:t>API</w:t>
      </w:r>
      <w:proofErr w:type="gramEnd"/>
      <w:r>
        <w:rPr>
          <w:rFonts w:asciiTheme="minorHAnsi" w:hAnsiTheme="minorHAnsi" w:cstheme="minorHAnsi"/>
          <w:sz w:val="20"/>
          <w:szCs w:val="20"/>
        </w:rPr>
        <w:t xml:space="preserve">:2019 </w:t>
      </w:r>
      <w:r w:rsidRPr="009E18E4">
        <w:rPr>
          <w:rFonts w:asciiTheme="minorHAnsi" w:hAnsiTheme="minorHAnsi" w:cstheme="minorHAnsi"/>
          <w:sz w:val="20"/>
          <w:szCs w:val="20"/>
        </w:rPr>
        <w:t xml:space="preserve">Broken Object Level Authorization </w:t>
      </w:r>
      <w:r>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31045C" w:rsidRPr="00AC5F7C" w14:paraId="1685D54E" w14:textId="77777777" w:rsidTr="00E02C2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59DED1A"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69DCF85"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620" w:type="dxa"/>
            <w:tcBorders>
              <w:bottom w:val="single" w:sz="12" w:space="0" w:color="B2B9FF"/>
            </w:tcBorders>
            <w:shd w:val="clear" w:color="auto" w:fill="C7C9E0"/>
            <w:vAlign w:val="center"/>
          </w:tcPr>
          <w:p w14:paraId="0F2EE95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tcBorders>
              <w:bottom w:val="single" w:sz="12" w:space="0" w:color="B2B9FF"/>
            </w:tcBorders>
            <w:shd w:val="clear" w:color="auto" w:fill="C7C9E0"/>
            <w:vAlign w:val="center"/>
          </w:tcPr>
          <w:p w14:paraId="15B9DDF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31045C" w:rsidRPr="00CA2066" w14:paraId="4BB95C10"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754D32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C3438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A69A5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1F76A6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B1C0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0DB49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25D507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89ED6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55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1AE8C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07C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84F435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3D6B95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9137E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204C4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60A276"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6455A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C078C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E513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026D2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A10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AF937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5C2D5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4DE7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5F66E3" w14:textId="77777777" w:rsidR="0031045C" w:rsidRDefault="0031045C" w:rsidP="0031045C">
      <w:pPr>
        <w:spacing w:after="0" w:line="240" w:lineRule="auto"/>
        <w:ind w:left="0"/>
        <w:jc w:val="left"/>
        <w:rPr>
          <w:rFonts w:eastAsia="Calibri"/>
          <w:lang w:eastAsia="en-US"/>
        </w:rPr>
      </w:pPr>
    </w:p>
    <w:p w14:paraId="32FAD6CD"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Pr="009E18E4">
        <w:rPr>
          <w:rFonts w:ascii="Verdana" w:hAnsi="Verdana"/>
          <w:i/>
          <w:sz w:val="14"/>
        </w:rPr>
        <w:t>API1:2019 Broken Object Level Authorization</w:t>
      </w:r>
      <w:r>
        <w:rPr>
          <w:rFonts w:ascii="Verdana" w:hAnsi="Verdana"/>
          <w:i/>
          <w:sz w:val="14"/>
        </w:rPr>
        <w:t xml:space="preserve"> rules</w:t>
      </w:r>
    </w:p>
    <w:p w14:paraId="5C0F431F" w14:textId="77777777" w:rsidR="0031045C" w:rsidRDefault="0031045C" w:rsidP="0031045C">
      <w:pPr>
        <w:pStyle w:val="BodyContent"/>
        <w:ind w:right="657"/>
        <w:rPr>
          <w:rFonts w:ascii="Verdana" w:hAnsi="Verdana" w:cstheme="minorHAnsi"/>
          <w:sz w:val="20"/>
          <w:szCs w:val="20"/>
        </w:rPr>
      </w:pPr>
    </w:p>
    <w:p w14:paraId="508EF57F" w14:textId="77777777" w:rsidR="0031045C" w:rsidRPr="00212651" w:rsidRDefault="0031045C" w:rsidP="0031045C">
      <w:pPr>
        <w:pStyle w:val="Heading2"/>
        <w:spacing w:after="0"/>
        <w:ind w:left="540" w:right="657" w:hanging="540"/>
        <w:rPr>
          <w:rFonts w:eastAsia="Calibri"/>
        </w:rPr>
      </w:pPr>
      <w:bookmarkStart w:id="47" w:name="_Toc531865301"/>
      <w:bookmarkStart w:id="48" w:name="_Toc531949430"/>
      <w:bookmarkStart w:id="49" w:name="_Toc531949640"/>
      <w:bookmarkStart w:id="50" w:name="_Toc31959163"/>
      <w:bookmarkStart w:id="51" w:name="_Toc32503199"/>
      <w:bookmarkStart w:id="52" w:name="_Toc32503315"/>
      <w:r>
        <w:rPr>
          <w:rFonts w:eastAsia="Calibri"/>
          <w:lang w:val="en-US"/>
        </w:rPr>
        <w:t xml:space="preserve">OWASP - </w:t>
      </w:r>
      <w:r w:rsidRPr="009E18E4">
        <w:rPr>
          <w:rFonts w:eastAsia="Calibri"/>
          <w:lang w:val="en-US"/>
        </w:rPr>
        <w:t>API2:2019 Broken User Authentication</w:t>
      </w:r>
      <w:bookmarkEnd w:id="47"/>
      <w:bookmarkEnd w:id="48"/>
      <w:bookmarkEnd w:id="49"/>
      <w:bookmarkEnd w:id="50"/>
      <w:bookmarkEnd w:id="51"/>
      <w:bookmarkEnd w:id="52"/>
    </w:p>
    <w:p w14:paraId="176CDEEF" w14:textId="77777777" w:rsidR="0031045C" w:rsidRDefault="0031045C" w:rsidP="0031045C">
      <w:pPr>
        <w:pStyle w:val="BodyContent"/>
        <w:ind w:right="657"/>
        <w:rPr>
          <w:rFonts w:asciiTheme="minorHAnsi" w:hAnsiTheme="minorHAnsi" w:cstheme="minorHAnsi"/>
          <w:sz w:val="20"/>
          <w:szCs w:val="20"/>
        </w:rPr>
      </w:pPr>
    </w:p>
    <w:p w14:paraId="46B1297A" w14:textId="77777777" w:rsidR="0031045C" w:rsidRDefault="0031045C" w:rsidP="0031045C">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1590FF1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9E18E4">
        <w:rPr>
          <w:rFonts w:asciiTheme="minorHAnsi" w:hAnsiTheme="minorHAnsi" w:cstheme="minorHAnsi"/>
          <w:sz w:val="20"/>
          <w:szCs w:val="20"/>
        </w:rPr>
        <w:t xml:space="preserve">API2:2019 Broken User Authentication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31045C" w:rsidRPr="00AC5F7C" w14:paraId="7FE4C1E6" w14:textId="77777777" w:rsidTr="00E02C2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960F88"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5DEC4D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7E33919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B64AA44"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2448F9"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5EF94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322088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5BAE558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A13C2C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3FC122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05B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8A1EEC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75318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CBAE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57AC67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5240C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168B285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9797F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AD39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329D1F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1B7D4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23A19D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A35640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4BE1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8D8755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690B3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6E0C5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7F65B2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139F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31A426D" w14:textId="77777777" w:rsidR="0031045C" w:rsidRDefault="0031045C" w:rsidP="0031045C">
      <w:pPr>
        <w:spacing w:after="0" w:line="240" w:lineRule="auto"/>
        <w:ind w:left="0"/>
        <w:jc w:val="left"/>
        <w:rPr>
          <w:rFonts w:eastAsia="Calibri"/>
          <w:lang w:eastAsia="en-US"/>
        </w:rPr>
      </w:pPr>
    </w:p>
    <w:p w14:paraId="017335CE" w14:textId="77777777" w:rsidR="0031045C" w:rsidRDefault="0031045C" w:rsidP="0031045C">
      <w:pPr>
        <w:spacing w:after="0" w:line="240" w:lineRule="auto"/>
        <w:ind w:left="0"/>
        <w:jc w:val="left"/>
        <w:rPr>
          <w:rFonts w:eastAsia="Calibri"/>
          <w:lang w:eastAsia="en-US"/>
        </w:rPr>
      </w:pPr>
    </w:p>
    <w:p w14:paraId="3BE3CA05"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2466DF">
        <w:rPr>
          <w:rFonts w:ascii="Verdana" w:hAnsi="Verdana"/>
          <w:i/>
          <w:sz w:val="14"/>
        </w:rPr>
        <w:t>API2:2019 Broken User Authentication</w:t>
      </w:r>
      <w:r>
        <w:rPr>
          <w:rFonts w:ascii="Verdana" w:hAnsi="Verdana"/>
          <w:i/>
          <w:sz w:val="14"/>
        </w:rPr>
        <w:t xml:space="preserve"> rules</w:t>
      </w:r>
    </w:p>
    <w:p w14:paraId="2CCA05C6"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5D4C47B5" w14:textId="77777777" w:rsidR="0031045C" w:rsidRPr="00212651" w:rsidRDefault="0031045C" w:rsidP="0031045C">
      <w:pPr>
        <w:pStyle w:val="Heading2"/>
        <w:spacing w:after="0"/>
        <w:ind w:left="540" w:right="657" w:hanging="540"/>
        <w:rPr>
          <w:rFonts w:eastAsia="Calibri"/>
        </w:rPr>
      </w:pPr>
      <w:bookmarkStart w:id="53" w:name="_Toc531865302"/>
      <w:bookmarkStart w:id="54" w:name="_Toc531949431"/>
      <w:bookmarkStart w:id="55" w:name="_Toc531949641"/>
      <w:bookmarkStart w:id="56" w:name="_Toc31959164"/>
      <w:bookmarkStart w:id="57" w:name="_Toc32503200"/>
      <w:bookmarkStart w:id="58" w:name="_Toc32503316"/>
      <w:r>
        <w:rPr>
          <w:rFonts w:eastAsia="Calibri"/>
          <w:lang w:val="en-US"/>
        </w:rPr>
        <w:lastRenderedPageBreak/>
        <w:t>OWASP -</w:t>
      </w:r>
      <w:bookmarkEnd w:id="53"/>
      <w:bookmarkEnd w:id="54"/>
      <w:bookmarkEnd w:id="55"/>
      <w:r w:rsidRPr="002466DF">
        <w:t xml:space="preserve"> </w:t>
      </w:r>
      <w:r w:rsidRPr="002466DF">
        <w:rPr>
          <w:rFonts w:eastAsia="Calibri"/>
          <w:lang w:val="en-US"/>
        </w:rPr>
        <w:t>API3:2019 Excessive Data Exposure</w:t>
      </w:r>
      <w:bookmarkEnd w:id="56"/>
      <w:bookmarkEnd w:id="57"/>
      <w:bookmarkEnd w:id="58"/>
    </w:p>
    <w:p w14:paraId="5267CF3B" w14:textId="77777777" w:rsidR="0031045C" w:rsidRDefault="0031045C" w:rsidP="0031045C">
      <w:pPr>
        <w:pStyle w:val="BodyContent"/>
        <w:ind w:right="657"/>
        <w:rPr>
          <w:rFonts w:asciiTheme="minorHAnsi" w:hAnsiTheme="minorHAnsi" w:cstheme="minorHAnsi"/>
          <w:sz w:val="20"/>
          <w:szCs w:val="20"/>
        </w:rPr>
      </w:pPr>
    </w:p>
    <w:p w14:paraId="7385FA86" w14:textId="77777777" w:rsidR="0031045C" w:rsidRDefault="0031045C" w:rsidP="0031045C">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75E8DCB0"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API3:2019 Excessive Data Exposure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31045C" w:rsidRPr="00AC5F7C" w14:paraId="7477F49C"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1674F71"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35F4D22"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A1EFC3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01BE16A9"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873B301"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8EFECC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75A57B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FE3084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3C06F1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618E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716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4A220C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4CA1F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EE29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466B35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B62CC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1DFFC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FBA9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A0532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ECE36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FA2F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62F74C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2BF1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D8958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5570F6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DC1F2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44A44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F8E9C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2CF8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F64100" w14:textId="77777777" w:rsidR="0031045C" w:rsidRDefault="0031045C" w:rsidP="0031045C">
      <w:pPr>
        <w:pStyle w:val="BodyContent"/>
        <w:ind w:right="657"/>
        <w:rPr>
          <w:rFonts w:ascii="Verdana" w:hAnsi="Verdana"/>
          <w:i/>
          <w:sz w:val="14"/>
        </w:rPr>
      </w:pPr>
    </w:p>
    <w:p w14:paraId="6D2881E3"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2466DF">
        <w:rPr>
          <w:rFonts w:ascii="Verdana" w:hAnsi="Verdana"/>
          <w:i/>
          <w:sz w:val="14"/>
        </w:rPr>
        <w:t xml:space="preserve">API3:2019 Excessive Data Exposure </w:t>
      </w:r>
      <w:r>
        <w:rPr>
          <w:rFonts w:ascii="Verdana" w:hAnsi="Verdana"/>
          <w:i/>
          <w:sz w:val="14"/>
        </w:rPr>
        <w:t>rules</w:t>
      </w:r>
    </w:p>
    <w:p w14:paraId="460BE4BD" w14:textId="77777777" w:rsidR="0031045C" w:rsidRDefault="0031045C" w:rsidP="0031045C">
      <w:pPr>
        <w:pStyle w:val="BodyContent"/>
        <w:ind w:right="657"/>
        <w:rPr>
          <w:rFonts w:ascii="Verdana" w:hAnsi="Verdana"/>
          <w:i/>
          <w:sz w:val="14"/>
        </w:rPr>
      </w:pPr>
    </w:p>
    <w:p w14:paraId="5153097D" w14:textId="77777777" w:rsidR="0031045C" w:rsidRPr="00212651" w:rsidRDefault="0031045C" w:rsidP="0031045C">
      <w:pPr>
        <w:pStyle w:val="Heading2"/>
        <w:spacing w:after="0"/>
        <w:ind w:left="540" w:right="657" w:hanging="540"/>
        <w:rPr>
          <w:rFonts w:eastAsia="Calibri"/>
        </w:rPr>
      </w:pPr>
      <w:bookmarkStart w:id="59" w:name="_Toc531865303"/>
      <w:bookmarkStart w:id="60" w:name="_Toc531949432"/>
      <w:bookmarkStart w:id="61" w:name="_Toc531949642"/>
      <w:bookmarkStart w:id="62" w:name="_Toc31959165"/>
      <w:bookmarkStart w:id="63" w:name="_Toc32503201"/>
      <w:bookmarkStart w:id="64" w:name="_Toc32503317"/>
      <w:bookmarkStart w:id="65" w:name="_Hlk531860421"/>
      <w:r>
        <w:rPr>
          <w:rFonts w:eastAsia="Calibri"/>
          <w:lang w:val="en-US"/>
        </w:rPr>
        <w:t xml:space="preserve">OWASP - </w:t>
      </w:r>
      <w:bookmarkEnd w:id="59"/>
      <w:bookmarkEnd w:id="60"/>
      <w:bookmarkEnd w:id="61"/>
      <w:r w:rsidRPr="002466DF">
        <w:rPr>
          <w:rFonts w:eastAsia="Calibri"/>
          <w:lang w:val="en-US"/>
        </w:rPr>
        <w:t>API4:2019 Lack of Resources &amp; Rate Limiting</w:t>
      </w:r>
      <w:bookmarkEnd w:id="62"/>
      <w:bookmarkEnd w:id="63"/>
      <w:bookmarkEnd w:id="64"/>
    </w:p>
    <w:p w14:paraId="799FF0A6" w14:textId="77777777" w:rsidR="0031045C" w:rsidRDefault="0031045C" w:rsidP="0031045C">
      <w:pPr>
        <w:pStyle w:val="BodyContent"/>
        <w:ind w:right="657"/>
        <w:rPr>
          <w:rFonts w:asciiTheme="minorHAnsi" w:hAnsiTheme="minorHAnsi" w:cstheme="minorHAnsi"/>
          <w:sz w:val="20"/>
          <w:szCs w:val="20"/>
        </w:rPr>
      </w:pPr>
    </w:p>
    <w:p w14:paraId="07E01442" w14:textId="77777777" w:rsidR="0031045C" w:rsidRDefault="0031045C" w:rsidP="0031045C">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w:t>
      </w:r>
      <w:proofErr w:type="gramStart"/>
      <w:r w:rsidRPr="002466DF">
        <w:rPr>
          <w:rFonts w:asciiTheme="minorHAnsi" w:hAnsiTheme="minorHAnsi" w:cstheme="minorHAnsi"/>
          <w:sz w:val="20"/>
          <w:szCs w:val="20"/>
        </w:rPr>
        <w:t>impact</w:t>
      </w:r>
      <w:proofErr w:type="gramEnd"/>
      <w:r w:rsidRPr="002466DF">
        <w:rPr>
          <w:rFonts w:asciiTheme="minorHAnsi" w:hAnsiTheme="minorHAnsi" w:cstheme="minorHAnsi"/>
          <w:sz w:val="20"/>
          <w:szCs w:val="20"/>
        </w:rPr>
        <w:t xml:space="preserve"> the API server performance, leading to Denial of Service (DoS), but also leaves the door open to authentication flaws such as brute force. </w:t>
      </w:r>
    </w:p>
    <w:p w14:paraId="3A75D68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API4:2019 Lack of Resources &amp; Rate Limiting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31045C" w:rsidRPr="00AC5F7C" w14:paraId="7C1C0F91"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5B30B59"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50C7322B"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4DC777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8E09E0D"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73E86F4"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B8E2C6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49651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2B749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C8F0E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990A00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CC1B5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541337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5F4C4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FFEB5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8D6AF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574B37"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ED32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B0A6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50151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D867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4CF97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4E0A45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2B97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6125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68F45E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4D8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0AD54D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DB4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11E682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78F081" w14:textId="77777777" w:rsidR="0031045C" w:rsidRDefault="0031045C" w:rsidP="0031045C">
      <w:pPr>
        <w:pStyle w:val="BodyContent"/>
        <w:ind w:right="657"/>
        <w:rPr>
          <w:rFonts w:ascii="Verdana" w:hAnsi="Verdana"/>
          <w:i/>
          <w:sz w:val="14"/>
        </w:rPr>
      </w:pPr>
    </w:p>
    <w:p w14:paraId="27AF52F1"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2466DF">
        <w:rPr>
          <w:rFonts w:ascii="Verdana" w:hAnsi="Verdana"/>
          <w:i/>
          <w:sz w:val="14"/>
        </w:rPr>
        <w:t xml:space="preserve">API4:2019 Lack of Resources &amp; Rate Limiting </w:t>
      </w:r>
      <w:r>
        <w:rPr>
          <w:rFonts w:ascii="Verdana" w:hAnsi="Verdana"/>
          <w:i/>
          <w:sz w:val="14"/>
        </w:rPr>
        <w:t>rules</w:t>
      </w:r>
    </w:p>
    <w:bookmarkEnd w:id="65"/>
    <w:p w14:paraId="0C0DA55F"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028DDB5F" w14:textId="77777777" w:rsidR="0031045C" w:rsidRPr="00212651" w:rsidRDefault="0031045C" w:rsidP="0031045C">
      <w:pPr>
        <w:pStyle w:val="Heading2"/>
        <w:spacing w:after="0"/>
        <w:ind w:left="540" w:right="657" w:hanging="540"/>
        <w:rPr>
          <w:rFonts w:eastAsia="Calibri"/>
        </w:rPr>
      </w:pPr>
      <w:bookmarkStart w:id="66" w:name="_Toc531865304"/>
      <w:bookmarkStart w:id="67" w:name="_Toc531949433"/>
      <w:bookmarkStart w:id="68" w:name="_Toc531949643"/>
      <w:bookmarkStart w:id="69" w:name="_Toc31959166"/>
      <w:bookmarkStart w:id="70" w:name="_Toc32503202"/>
      <w:bookmarkStart w:id="71" w:name="_Toc32503318"/>
      <w:r>
        <w:rPr>
          <w:rFonts w:eastAsia="Calibri"/>
          <w:lang w:val="en-US"/>
        </w:rPr>
        <w:lastRenderedPageBreak/>
        <w:t>OWASP -</w:t>
      </w:r>
      <w:bookmarkEnd w:id="66"/>
      <w:bookmarkEnd w:id="67"/>
      <w:bookmarkEnd w:id="68"/>
      <w:r w:rsidRPr="002466DF">
        <w:t xml:space="preserve"> </w:t>
      </w:r>
      <w:r w:rsidRPr="002466DF">
        <w:rPr>
          <w:rFonts w:eastAsia="Calibri"/>
          <w:lang w:val="en-US"/>
        </w:rPr>
        <w:t>API5:2019 Broken Function Level Authorization</w:t>
      </w:r>
      <w:bookmarkEnd w:id="69"/>
      <w:bookmarkEnd w:id="70"/>
      <w:bookmarkEnd w:id="71"/>
    </w:p>
    <w:p w14:paraId="17258549" w14:textId="77777777" w:rsidR="0031045C" w:rsidRDefault="0031045C" w:rsidP="0031045C">
      <w:pPr>
        <w:pStyle w:val="BodyContent"/>
        <w:ind w:right="657"/>
        <w:rPr>
          <w:rFonts w:asciiTheme="minorHAnsi" w:hAnsiTheme="minorHAnsi" w:cstheme="minorHAnsi"/>
          <w:sz w:val="20"/>
          <w:szCs w:val="20"/>
        </w:rPr>
      </w:pPr>
    </w:p>
    <w:p w14:paraId="1576F6B9" w14:textId="77777777" w:rsidR="0031045C" w:rsidRDefault="0031045C" w:rsidP="0031045C">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0FE3E057"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API5:2019 Broken Function Level Authorization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31045C" w:rsidRPr="00AC5F7C" w14:paraId="497AA4FA"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42227DF"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1D606DAE"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5C739F"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50CC5235"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4E0E4093"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117EFF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E5E058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807500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9715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15A482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D0267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3361502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4C60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2E40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6BF493A"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8E8ED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0B321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E521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F0D24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BBBEDD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691DB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2A5178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842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38D387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E7F53E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9F5AF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370BE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4CAE6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3CB6F7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3EAC4" w14:textId="77777777" w:rsidR="0031045C" w:rsidRDefault="0031045C" w:rsidP="0031045C">
      <w:pPr>
        <w:pStyle w:val="BodyContent"/>
        <w:ind w:right="657"/>
        <w:rPr>
          <w:rFonts w:ascii="Verdana" w:hAnsi="Verdana"/>
          <w:i/>
          <w:sz w:val="14"/>
        </w:rPr>
      </w:pPr>
    </w:p>
    <w:p w14:paraId="68122D41" w14:textId="77777777" w:rsidR="0031045C" w:rsidRDefault="0031045C" w:rsidP="0031045C">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2466DF">
        <w:rPr>
          <w:rFonts w:ascii="Verdana" w:hAnsi="Verdana"/>
          <w:i/>
          <w:sz w:val="14"/>
        </w:rPr>
        <w:t xml:space="preserve">API5:2019 Broken Function Level Authorization </w:t>
      </w:r>
      <w:r>
        <w:rPr>
          <w:rFonts w:ascii="Verdana" w:hAnsi="Verdana"/>
          <w:i/>
          <w:sz w:val="14"/>
        </w:rPr>
        <w:t>rules</w:t>
      </w:r>
    </w:p>
    <w:p w14:paraId="1C5EFE77" w14:textId="77777777" w:rsidR="0031045C" w:rsidRPr="00212651" w:rsidRDefault="0031045C" w:rsidP="0031045C">
      <w:pPr>
        <w:pStyle w:val="Heading2"/>
        <w:spacing w:after="0"/>
        <w:ind w:left="540" w:right="657" w:hanging="540"/>
        <w:rPr>
          <w:rFonts w:eastAsia="Calibri"/>
        </w:rPr>
      </w:pPr>
      <w:bookmarkStart w:id="72" w:name="_Toc531865305"/>
      <w:bookmarkStart w:id="73" w:name="_Toc531949434"/>
      <w:bookmarkStart w:id="74" w:name="_Toc531949644"/>
      <w:bookmarkStart w:id="75" w:name="_Toc31959167"/>
      <w:bookmarkStart w:id="76" w:name="_Toc32503203"/>
      <w:bookmarkStart w:id="77" w:name="_Toc32503319"/>
      <w:r>
        <w:rPr>
          <w:rFonts w:eastAsia="Calibri"/>
          <w:lang w:val="en-US"/>
        </w:rPr>
        <w:t>OWASP -</w:t>
      </w:r>
      <w:bookmarkEnd w:id="72"/>
      <w:bookmarkEnd w:id="73"/>
      <w:bookmarkEnd w:id="74"/>
      <w:r w:rsidRPr="00F30104">
        <w:t xml:space="preserve"> </w:t>
      </w:r>
      <w:r w:rsidRPr="00F30104">
        <w:rPr>
          <w:rFonts w:eastAsia="Calibri"/>
          <w:lang w:val="en-US"/>
        </w:rPr>
        <w:t>API6:2019 Mass Assignment</w:t>
      </w:r>
      <w:bookmarkEnd w:id="75"/>
      <w:bookmarkEnd w:id="76"/>
      <w:bookmarkEnd w:id="77"/>
    </w:p>
    <w:p w14:paraId="0354EBA2" w14:textId="77777777" w:rsidR="0031045C" w:rsidRDefault="0031045C" w:rsidP="0031045C">
      <w:pPr>
        <w:tabs>
          <w:tab w:val="left" w:pos="2847"/>
        </w:tabs>
        <w:ind w:left="0" w:right="657"/>
        <w:rPr>
          <w:rFonts w:asciiTheme="minorHAnsi" w:hAnsiTheme="minorHAnsi" w:cstheme="minorHAnsi"/>
          <w:sz w:val="20"/>
        </w:rPr>
      </w:pPr>
    </w:p>
    <w:p w14:paraId="6BE05581" w14:textId="77777777" w:rsidR="0031045C" w:rsidRDefault="0031045C" w:rsidP="0031045C">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w:t>
      </w:r>
      <w:proofErr w:type="gramStart"/>
      <w:r w:rsidRPr="00F30104">
        <w:rPr>
          <w:rFonts w:asciiTheme="minorHAnsi" w:eastAsia="Times New Roman" w:hAnsiTheme="minorHAnsi" w:cstheme="minorHAnsi"/>
          <w:color w:val="auto"/>
          <w:sz w:val="20"/>
          <w:szCs w:val="20"/>
          <w:lang w:eastAsia="fr-FR"/>
        </w:rPr>
        <w:t>client</w:t>
      </w:r>
      <w:proofErr w:type="gramEnd"/>
      <w:r w:rsidRPr="00F30104">
        <w:rPr>
          <w:rFonts w:asciiTheme="minorHAnsi" w:eastAsia="Times New Roman" w:hAnsiTheme="minorHAnsi" w:cstheme="minorHAnsi"/>
          <w:color w:val="auto"/>
          <w:sz w:val="20"/>
          <w:szCs w:val="20"/>
          <w:lang w:eastAsia="fr-FR"/>
        </w:rPr>
        <w:t xml:space="preserve">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183D23CA" w14:textId="77777777" w:rsidR="0031045C" w:rsidRPr="000D38D5" w:rsidRDefault="0031045C" w:rsidP="0031045C">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F30104">
        <w:rPr>
          <w:rFonts w:asciiTheme="minorHAnsi" w:hAnsiTheme="minorHAnsi" w:cstheme="minorHAnsi"/>
          <w:sz w:val="20"/>
          <w:szCs w:val="20"/>
        </w:rPr>
        <w:t xml:space="preserve">API6:2019 Mass Assignment </w:t>
      </w:r>
      <w:r>
        <w:rPr>
          <w:rFonts w:asciiTheme="minorHAnsi" w:hAnsiTheme="minorHAnsi" w:cstheme="minorHAnsi"/>
          <w:sz w:val="20"/>
          <w:szCs w:val="20"/>
        </w:rPr>
        <w:t>rules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31045C" w:rsidRPr="00AC5F7C" w14:paraId="43B3FFDA"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C92B26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2D3183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541CE5"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0E531CB"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3B14654E"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6B6B367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0B1679F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785275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E8262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EA938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7F223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6050CA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657E9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737F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C29D73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BC1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0B76C3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BEFB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CB092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F24F84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31EA2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1F0317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723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13AEC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AAD1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6DD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785A35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D8B2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3553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25EEA39" w14:textId="77777777" w:rsidR="0031045C" w:rsidRDefault="0031045C" w:rsidP="0031045C">
      <w:pPr>
        <w:pStyle w:val="BodyContent"/>
        <w:ind w:right="657"/>
        <w:rPr>
          <w:rFonts w:asciiTheme="minorHAnsi" w:hAnsiTheme="minorHAnsi" w:cstheme="minorHAnsi"/>
          <w:sz w:val="20"/>
          <w:szCs w:val="20"/>
        </w:rPr>
      </w:pPr>
    </w:p>
    <w:p w14:paraId="3E4C869E" w14:textId="77777777" w:rsidR="0031045C" w:rsidRDefault="0031045C" w:rsidP="0031045C">
      <w:pPr>
        <w:spacing w:after="0" w:line="240" w:lineRule="auto"/>
        <w:ind w:left="0"/>
        <w:jc w:val="left"/>
        <w:rPr>
          <w:i/>
          <w:sz w:val="14"/>
        </w:rPr>
      </w:pPr>
      <w:r>
        <w:rPr>
          <w:i/>
          <w:sz w:val="14"/>
        </w:rPr>
        <w:t xml:space="preserve">Table 8: </w:t>
      </w:r>
      <w:r w:rsidRPr="00F30104">
        <w:rPr>
          <w:i/>
          <w:sz w:val="14"/>
        </w:rPr>
        <w:t xml:space="preserve">API6:2019 Mass Assignment </w:t>
      </w:r>
      <w:r>
        <w:rPr>
          <w:i/>
          <w:sz w:val="14"/>
        </w:rPr>
        <w:t>rules</w:t>
      </w:r>
    </w:p>
    <w:p w14:paraId="18D52342" w14:textId="77777777" w:rsidR="0031045C" w:rsidRDefault="0031045C" w:rsidP="0031045C">
      <w:pPr>
        <w:spacing w:after="0" w:line="240" w:lineRule="auto"/>
        <w:ind w:left="0"/>
        <w:jc w:val="left"/>
        <w:rPr>
          <w:i/>
          <w:sz w:val="14"/>
        </w:rPr>
      </w:pPr>
      <w:r>
        <w:rPr>
          <w:i/>
          <w:sz w:val="14"/>
        </w:rPr>
        <w:br w:type="page"/>
      </w:r>
    </w:p>
    <w:p w14:paraId="43B655DF" w14:textId="77777777" w:rsidR="0031045C" w:rsidRPr="00212651" w:rsidRDefault="0031045C" w:rsidP="0031045C">
      <w:pPr>
        <w:pStyle w:val="Heading2"/>
        <w:spacing w:after="0"/>
        <w:ind w:left="540" w:right="657" w:hanging="540"/>
        <w:rPr>
          <w:rFonts w:eastAsia="Calibri"/>
        </w:rPr>
      </w:pPr>
      <w:bookmarkStart w:id="78" w:name="_Toc531865306"/>
      <w:bookmarkStart w:id="79" w:name="_Toc531949435"/>
      <w:bookmarkStart w:id="80" w:name="_Toc531949645"/>
      <w:bookmarkStart w:id="81" w:name="_Toc31959168"/>
      <w:bookmarkStart w:id="82" w:name="_Toc32503204"/>
      <w:bookmarkStart w:id="83" w:name="_Toc32503320"/>
      <w:r>
        <w:rPr>
          <w:rFonts w:eastAsia="Calibri"/>
          <w:lang w:val="en-US"/>
        </w:rPr>
        <w:lastRenderedPageBreak/>
        <w:t>OWASP -</w:t>
      </w:r>
      <w:bookmarkEnd w:id="78"/>
      <w:bookmarkEnd w:id="79"/>
      <w:bookmarkEnd w:id="80"/>
      <w:r w:rsidRPr="00514F83">
        <w:t xml:space="preserve"> </w:t>
      </w:r>
      <w:r w:rsidRPr="00514F83">
        <w:rPr>
          <w:rFonts w:eastAsia="Calibri"/>
          <w:lang w:val="en-US"/>
        </w:rPr>
        <w:t>API7:2019 Security Misconfiguration</w:t>
      </w:r>
      <w:bookmarkEnd w:id="81"/>
      <w:bookmarkEnd w:id="82"/>
      <w:bookmarkEnd w:id="83"/>
    </w:p>
    <w:p w14:paraId="45091D02" w14:textId="77777777" w:rsidR="0031045C" w:rsidRDefault="0031045C" w:rsidP="0031045C">
      <w:pPr>
        <w:pStyle w:val="BodyContent"/>
        <w:ind w:right="657"/>
        <w:rPr>
          <w:rFonts w:asciiTheme="minorHAnsi" w:hAnsiTheme="minorHAnsi" w:cstheme="minorHAnsi"/>
          <w:sz w:val="20"/>
          <w:szCs w:val="20"/>
        </w:rPr>
      </w:pPr>
    </w:p>
    <w:p w14:paraId="09AABD22" w14:textId="77777777" w:rsidR="0031045C" w:rsidRDefault="0031045C" w:rsidP="0031045C">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762667F0"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API7:2019 Security Misconfiguration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31045C" w:rsidRPr="00AC5F7C" w14:paraId="1ABD79C5"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6E50EF"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523A649"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3AF009B"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5BB71C17"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F5441C"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1F5451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96985D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4038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AD6F8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676B4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42C8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41D55A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6AEB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4D6FB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8D51C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F07FD5"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3F650A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54E2A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D8814A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27814D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692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5BA06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A7BC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9FB8D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4084A9DE"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C4963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7C447A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FC98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62C7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757BC5" w14:textId="77777777" w:rsidR="0031045C" w:rsidRDefault="0031045C" w:rsidP="0031045C">
      <w:pPr>
        <w:pStyle w:val="BodyContent"/>
        <w:ind w:right="657"/>
        <w:rPr>
          <w:rFonts w:asciiTheme="minorHAnsi" w:hAnsiTheme="minorHAnsi" w:cstheme="minorHAnsi"/>
          <w:sz w:val="20"/>
          <w:szCs w:val="20"/>
        </w:rPr>
      </w:pPr>
    </w:p>
    <w:p w14:paraId="021A1168" w14:textId="77777777" w:rsidR="0031045C" w:rsidRDefault="0031045C" w:rsidP="0031045C">
      <w:pPr>
        <w:spacing w:after="0" w:line="240" w:lineRule="auto"/>
        <w:ind w:left="0"/>
        <w:jc w:val="left"/>
        <w:rPr>
          <w:rFonts w:eastAsia="Calibri"/>
          <w:b/>
          <w:color w:val="336699"/>
          <w:sz w:val="20"/>
          <w:szCs w:val="16"/>
          <w:lang w:eastAsia="x-none"/>
        </w:rPr>
      </w:pPr>
      <w:r>
        <w:rPr>
          <w:i/>
          <w:sz w:val="14"/>
        </w:rPr>
        <w:t xml:space="preserve">Table 9: </w:t>
      </w:r>
      <w:r w:rsidRPr="00514F83">
        <w:rPr>
          <w:i/>
          <w:sz w:val="14"/>
        </w:rPr>
        <w:t xml:space="preserve">API7:2019 Security Misconfiguration </w:t>
      </w:r>
      <w:r>
        <w:rPr>
          <w:i/>
          <w:sz w:val="14"/>
        </w:rPr>
        <w:t xml:space="preserve">rules </w:t>
      </w:r>
    </w:p>
    <w:p w14:paraId="3D1A7848" w14:textId="77777777" w:rsidR="0031045C" w:rsidRDefault="0031045C" w:rsidP="0031045C">
      <w:pPr>
        <w:spacing w:after="0" w:line="240" w:lineRule="auto"/>
        <w:ind w:left="0"/>
        <w:jc w:val="left"/>
        <w:rPr>
          <w:rFonts w:eastAsia="Calibri"/>
          <w:b/>
          <w:color w:val="336699"/>
          <w:sz w:val="20"/>
          <w:szCs w:val="16"/>
          <w:lang w:eastAsia="x-none"/>
        </w:rPr>
      </w:pPr>
    </w:p>
    <w:p w14:paraId="3B853029" w14:textId="77777777" w:rsidR="0031045C" w:rsidRPr="00212651" w:rsidRDefault="0031045C" w:rsidP="0031045C">
      <w:pPr>
        <w:pStyle w:val="Heading2"/>
        <w:spacing w:after="0"/>
        <w:ind w:left="540" w:right="657" w:hanging="540"/>
        <w:rPr>
          <w:rFonts w:eastAsia="Calibri"/>
        </w:rPr>
      </w:pPr>
      <w:bookmarkStart w:id="84" w:name="_Toc531948219"/>
      <w:bookmarkStart w:id="85" w:name="_Toc531949646"/>
      <w:bookmarkStart w:id="86" w:name="_Toc31959169"/>
      <w:bookmarkStart w:id="87" w:name="_Toc32503205"/>
      <w:bookmarkStart w:id="88" w:name="_Toc32503321"/>
      <w:r>
        <w:rPr>
          <w:rFonts w:eastAsia="Calibri"/>
          <w:lang w:val="en-US"/>
        </w:rPr>
        <w:t>OWASP -</w:t>
      </w:r>
      <w:bookmarkEnd w:id="84"/>
      <w:bookmarkEnd w:id="85"/>
      <w:r w:rsidRPr="00514F83">
        <w:t xml:space="preserve"> </w:t>
      </w:r>
      <w:r w:rsidRPr="00514F83">
        <w:rPr>
          <w:rFonts w:eastAsia="Calibri"/>
          <w:lang w:val="en-US"/>
        </w:rPr>
        <w:t>API8:2019 Injection</w:t>
      </w:r>
      <w:bookmarkEnd w:id="86"/>
      <w:bookmarkEnd w:id="87"/>
      <w:bookmarkEnd w:id="88"/>
    </w:p>
    <w:p w14:paraId="7F9562BE" w14:textId="77777777" w:rsidR="0031045C" w:rsidRDefault="0031045C" w:rsidP="0031045C">
      <w:pPr>
        <w:pStyle w:val="BodyContent"/>
        <w:ind w:right="657"/>
        <w:rPr>
          <w:rFonts w:asciiTheme="minorHAnsi" w:hAnsiTheme="minorHAnsi" w:cstheme="minorHAnsi"/>
          <w:sz w:val="20"/>
          <w:szCs w:val="20"/>
        </w:rPr>
      </w:pPr>
    </w:p>
    <w:p w14:paraId="20FA08AA" w14:textId="77777777" w:rsidR="0031045C" w:rsidRDefault="0031045C" w:rsidP="0031045C">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t xml:space="preserve"> </w:t>
      </w:r>
    </w:p>
    <w:p w14:paraId="332B1C21"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31045C" w:rsidRPr="00AC5F7C" w14:paraId="0F5EB906"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7E2E493"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66792EC"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E7C586C"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03592EA2"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1CF133EB"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FECC93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9EEFE2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098A4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5AF5A61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D008DE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C61925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638EB6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A9C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E40F4E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562185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99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2DC7C5D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FCF96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F7F4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0441ECB"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B7F9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E6B9FF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4E9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E6547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829939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5E345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90B3C0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0AE8D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93FBA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0F55CD" w14:textId="77777777" w:rsidR="0031045C" w:rsidRDefault="0031045C" w:rsidP="0031045C">
      <w:pPr>
        <w:pStyle w:val="BodyContent"/>
        <w:ind w:right="657"/>
        <w:rPr>
          <w:rFonts w:asciiTheme="minorHAnsi" w:hAnsiTheme="minorHAnsi" w:cstheme="minorHAnsi"/>
          <w:sz w:val="20"/>
          <w:szCs w:val="20"/>
        </w:rPr>
      </w:pPr>
    </w:p>
    <w:p w14:paraId="0D5B8CCA" w14:textId="77777777" w:rsidR="0031045C" w:rsidRDefault="0031045C" w:rsidP="0031045C">
      <w:pPr>
        <w:spacing w:after="0" w:line="240" w:lineRule="auto"/>
        <w:ind w:left="0"/>
        <w:jc w:val="left"/>
        <w:rPr>
          <w:i/>
          <w:sz w:val="14"/>
        </w:rPr>
      </w:pPr>
      <w:r>
        <w:rPr>
          <w:i/>
          <w:sz w:val="14"/>
        </w:rPr>
        <w:t xml:space="preserve">Table 10: </w:t>
      </w:r>
      <w:r w:rsidRPr="00514F83">
        <w:rPr>
          <w:i/>
          <w:sz w:val="14"/>
        </w:rPr>
        <w:t xml:space="preserve">API8:2019 Injection </w:t>
      </w:r>
      <w:r>
        <w:rPr>
          <w:i/>
          <w:sz w:val="14"/>
        </w:rPr>
        <w:t>rules</w:t>
      </w:r>
    </w:p>
    <w:p w14:paraId="0C34E9C4" w14:textId="77777777" w:rsidR="0031045C" w:rsidRDefault="0031045C" w:rsidP="0031045C">
      <w:pPr>
        <w:spacing w:after="0" w:line="240" w:lineRule="auto"/>
        <w:ind w:left="0"/>
        <w:jc w:val="left"/>
        <w:rPr>
          <w:i/>
          <w:sz w:val="14"/>
        </w:rPr>
      </w:pPr>
      <w:r>
        <w:rPr>
          <w:i/>
          <w:sz w:val="14"/>
        </w:rPr>
        <w:br w:type="page"/>
      </w:r>
    </w:p>
    <w:p w14:paraId="64F8C983" w14:textId="77777777" w:rsidR="0031045C" w:rsidRPr="00212651" w:rsidRDefault="0031045C" w:rsidP="0031045C">
      <w:pPr>
        <w:pStyle w:val="Heading2"/>
        <w:spacing w:after="0"/>
        <w:ind w:left="540" w:right="657" w:hanging="540"/>
        <w:rPr>
          <w:rFonts w:eastAsia="Calibri"/>
        </w:rPr>
      </w:pPr>
      <w:bookmarkStart w:id="89" w:name="_Toc531865307"/>
      <w:bookmarkStart w:id="90" w:name="_Toc531949436"/>
      <w:bookmarkStart w:id="91" w:name="_Toc531949647"/>
      <w:bookmarkStart w:id="92" w:name="_Toc31959170"/>
      <w:bookmarkStart w:id="93" w:name="_Toc32503206"/>
      <w:bookmarkStart w:id="94" w:name="_Toc32503322"/>
      <w:r>
        <w:rPr>
          <w:rFonts w:eastAsia="Calibri"/>
          <w:lang w:val="en-US"/>
        </w:rPr>
        <w:lastRenderedPageBreak/>
        <w:t>OWASP -</w:t>
      </w:r>
      <w:bookmarkEnd w:id="89"/>
      <w:bookmarkEnd w:id="90"/>
      <w:bookmarkEnd w:id="91"/>
      <w:r w:rsidRPr="002F1FC0">
        <w:t xml:space="preserve"> </w:t>
      </w:r>
      <w:r w:rsidRPr="002F1FC0">
        <w:rPr>
          <w:rFonts w:eastAsia="Calibri"/>
          <w:lang w:val="en-US"/>
        </w:rPr>
        <w:t>API9:2019 Improper Assets Management</w:t>
      </w:r>
      <w:bookmarkEnd w:id="92"/>
      <w:bookmarkEnd w:id="93"/>
      <w:bookmarkEnd w:id="94"/>
    </w:p>
    <w:p w14:paraId="3757811B" w14:textId="77777777" w:rsidR="0031045C" w:rsidRDefault="0031045C" w:rsidP="0031045C">
      <w:pPr>
        <w:pStyle w:val="BodyContent"/>
        <w:ind w:right="657"/>
        <w:rPr>
          <w:rFonts w:asciiTheme="minorHAnsi" w:hAnsiTheme="minorHAnsi" w:cstheme="minorHAnsi"/>
          <w:sz w:val="20"/>
          <w:szCs w:val="20"/>
        </w:rPr>
      </w:pPr>
    </w:p>
    <w:p w14:paraId="3300AC78" w14:textId="77777777" w:rsidR="0031045C" w:rsidRDefault="0031045C" w:rsidP="0031045C">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APIs tend to expose more endpoints than traditional web applications, making proper and updated documentation highly important. Proper hosts and deployed API versions inventory also play an important role </w:t>
      </w:r>
      <w:proofErr w:type="gramStart"/>
      <w:r w:rsidRPr="002F1FC0">
        <w:rPr>
          <w:rFonts w:asciiTheme="minorHAnsi" w:hAnsiTheme="minorHAnsi" w:cstheme="minorHAnsi"/>
          <w:sz w:val="20"/>
          <w:szCs w:val="20"/>
        </w:rPr>
        <w:t>to mitigate</w:t>
      </w:r>
      <w:proofErr w:type="gramEnd"/>
      <w:r w:rsidRPr="002F1FC0">
        <w:rPr>
          <w:rFonts w:asciiTheme="minorHAnsi" w:hAnsiTheme="minorHAnsi" w:cstheme="minorHAnsi"/>
          <w:sz w:val="20"/>
          <w:szCs w:val="20"/>
        </w:rPr>
        <w:t xml:space="preserve"> issues such as deprecated API versions and exposed debug endpoints.</w:t>
      </w:r>
    </w:p>
    <w:p w14:paraId="3BE5524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31045C" w:rsidRPr="00AC5F7C" w14:paraId="5D4CBCBC"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7917F92"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3D7FCD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00AFD00"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098B460"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C1AE16E"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3F16D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00D8A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28D83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9E7C9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9D032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723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A3876B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FD7C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7599E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5D69D2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8E2A9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E0574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5E6C9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786C1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20D948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76D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61792D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69FC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A0021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F838A0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07D66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DB94C0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709E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34B1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531678" w14:textId="77777777" w:rsidR="0031045C" w:rsidRDefault="0031045C" w:rsidP="0031045C">
      <w:pPr>
        <w:pStyle w:val="BodyContent"/>
        <w:ind w:right="657"/>
        <w:rPr>
          <w:rFonts w:asciiTheme="minorHAnsi" w:hAnsiTheme="minorHAnsi" w:cstheme="minorHAnsi"/>
          <w:sz w:val="20"/>
          <w:szCs w:val="20"/>
        </w:rPr>
      </w:pPr>
    </w:p>
    <w:p w14:paraId="1291D0F7" w14:textId="77777777" w:rsidR="0031045C" w:rsidRDefault="0031045C" w:rsidP="0031045C">
      <w:pPr>
        <w:spacing w:after="0" w:line="240" w:lineRule="auto"/>
        <w:ind w:left="0"/>
        <w:jc w:val="left"/>
        <w:rPr>
          <w:i/>
          <w:sz w:val="14"/>
        </w:rPr>
      </w:pPr>
      <w:r>
        <w:rPr>
          <w:i/>
          <w:sz w:val="14"/>
        </w:rPr>
        <w:t xml:space="preserve">Table 10: </w:t>
      </w:r>
      <w:r w:rsidRPr="002F1FC0">
        <w:rPr>
          <w:i/>
          <w:sz w:val="14"/>
        </w:rPr>
        <w:t>API9:2019 Improper Assets Management</w:t>
      </w:r>
      <w:r>
        <w:rPr>
          <w:i/>
          <w:sz w:val="14"/>
        </w:rPr>
        <w:t xml:space="preserve"> rules</w:t>
      </w:r>
    </w:p>
    <w:p w14:paraId="7F0A3F4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4729DBA2"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BDBBE14"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817D225" w14:textId="77777777" w:rsidR="0031045C" w:rsidRPr="00212651" w:rsidRDefault="0031045C" w:rsidP="0031045C">
      <w:pPr>
        <w:pStyle w:val="Heading2"/>
        <w:spacing w:after="0"/>
        <w:ind w:left="540" w:right="657" w:hanging="540"/>
        <w:rPr>
          <w:rFonts w:eastAsia="Calibri"/>
        </w:rPr>
      </w:pPr>
      <w:bookmarkStart w:id="95" w:name="_Toc531948221"/>
      <w:bookmarkStart w:id="96" w:name="_Toc531949648"/>
      <w:bookmarkStart w:id="97" w:name="_Toc31959171"/>
      <w:bookmarkStart w:id="98" w:name="_Toc32503207"/>
      <w:bookmarkStart w:id="99" w:name="_Toc32503323"/>
      <w:r>
        <w:rPr>
          <w:rFonts w:eastAsia="Calibri"/>
          <w:lang w:val="en-US"/>
        </w:rPr>
        <w:t>OWASP -</w:t>
      </w:r>
      <w:bookmarkEnd w:id="95"/>
      <w:bookmarkEnd w:id="96"/>
      <w:r w:rsidRPr="002F1FC0">
        <w:t xml:space="preserve"> </w:t>
      </w:r>
      <w:r w:rsidRPr="002F1FC0">
        <w:rPr>
          <w:rFonts w:eastAsia="Calibri"/>
          <w:lang w:val="en-US"/>
        </w:rPr>
        <w:t>API10:2019 Insufficient Logging &amp; Monitoring</w:t>
      </w:r>
      <w:bookmarkEnd w:id="97"/>
      <w:bookmarkEnd w:id="98"/>
      <w:bookmarkEnd w:id="99"/>
    </w:p>
    <w:p w14:paraId="34E596DB" w14:textId="77777777" w:rsidR="0031045C" w:rsidRDefault="0031045C" w:rsidP="0031045C">
      <w:pPr>
        <w:pStyle w:val="BodyContent"/>
        <w:ind w:right="657"/>
        <w:rPr>
          <w:rFonts w:asciiTheme="minorHAnsi" w:hAnsiTheme="minorHAnsi" w:cstheme="minorHAnsi"/>
          <w:sz w:val="20"/>
          <w:szCs w:val="20"/>
        </w:rPr>
      </w:pPr>
    </w:p>
    <w:p w14:paraId="66D918FC" w14:textId="77777777" w:rsidR="0031045C" w:rsidRDefault="0031045C" w:rsidP="0031045C">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31A07C0D"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31045C" w:rsidRPr="00AC5F7C" w14:paraId="162EFB46"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4C3C5E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158C1E30"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B6EE73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8A9D3C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2ECA5D9C"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236A6E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52A1F3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BFC72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1EB8B37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F3B1E7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76010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E12AE8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BE5F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5C4E7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ABC82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0CC95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7960B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1798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114C5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B4383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2A72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198065B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CB325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57F08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C93F27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DEBFB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36DF9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0376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DFCBA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CADA84" w14:textId="77777777" w:rsidR="0031045C" w:rsidRDefault="0031045C" w:rsidP="0031045C">
      <w:pPr>
        <w:pStyle w:val="BodyContent"/>
        <w:ind w:right="657"/>
        <w:rPr>
          <w:rFonts w:asciiTheme="minorHAnsi" w:hAnsiTheme="minorHAnsi" w:cstheme="minorHAnsi"/>
          <w:sz w:val="20"/>
          <w:szCs w:val="20"/>
        </w:rPr>
      </w:pPr>
    </w:p>
    <w:p w14:paraId="3B2DAE7A"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F1FC0">
        <w:rPr>
          <w:i/>
          <w:sz w:val="14"/>
        </w:rPr>
        <w:t>API10:2019 Insufficient Logging &amp; Monitoring</w:t>
      </w:r>
      <w:r>
        <w:rPr>
          <w:i/>
          <w:sz w:val="14"/>
        </w:rPr>
        <w:t xml:space="preserve"> rules</w:t>
      </w:r>
    </w:p>
    <w:p w14:paraId="628B64D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18A7CFB7" w14:textId="77777777" w:rsidR="0031045C" w:rsidRPr="00F772DA" w:rsidRDefault="0031045C" w:rsidP="0031045C">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00" w:name="_Toc32503208"/>
      <w:bookmarkStart w:id="101" w:name="_Toc32503324"/>
      <w:r>
        <w:lastRenderedPageBreak/>
        <w:t>Security Violation Details</w:t>
      </w:r>
      <w:bookmarkEnd w:id="16"/>
      <w:bookmarkEnd w:id="17"/>
      <w:bookmarkEnd w:id="18"/>
      <w:bookmarkEnd w:id="19"/>
      <w:bookmarkEnd w:id="20"/>
      <w:bookmarkEnd w:id="21"/>
      <w:bookmarkEnd w:id="100"/>
      <w:bookmarkEnd w:id="101"/>
    </w:p>
    <w:p w14:paraId="46CCF756" w14:textId="1005CE4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2" w:name="_Toc531865339"/>
      <w:bookmarkStart w:id="103" w:name="_Toc531953767"/>
      <w:bookmarkStart w:id="104" w:name="_Toc25309958"/>
      <w:bookmarkStart w:id="105" w:name="_Toc31962074"/>
      <w:bookmarkStart w:id="106" w:name="_Toc31962124"/>
      <w:bookmarkStart w:id="107" w:name="_Toc32503209"/>
      <w:bookmarkStart w:id="108" w:name="_Toc32503325"/>
      <w:r w:rsidRPr="00442DF6">
        <w:rPr>
          <w:b w:val="0"/>
          <w:lang w:val="en-US"/>
        </w:rPr>
        <w:t xml:space="preserve">OWASP </w:t>
      </w:r>
      <w:bookmarkEnd w:id="102"/>
      <w:bookmarkEnd w:id="103"/>
      <w:bookmarkEnd w:id="104"/>
      <w:r w:rsidR="0048080E" w:rsidRPr="0048080E">
        <w:rPr>
          <w:b w:val="0"/>
          <w:lang w:val="en-US"/>
        </w:rPr>
        <w:t>API1:2019 Broken Object Level Authorization</w:t>
      </w:r>
      <w:bookmarkEnd w:id="105"/>
      <w:bookmarkEnd w:id="106"/>
      <w:bookmarkEnd w:id="107"/>
      <w:bookmarkEnd w:id="10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2019,COUNT=50"/>
      </w:tblPr>
      <w:tblGrid>
        <w:gridCol w:w="9917"/>
      </w:tblGrid>
      <w:tr w:rsidR="00442DF6" w:rsidRPr="00640A15" w14:paraId="27C3E862"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B4ACBD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109" w:name="_Toc531865340"/>
      <w:bookmarkStart w:id="110" w:name="_Toc531953768"/>
      <w:bookmarkStart w:id="111" w:name="_Toc25309959"/>
      <w:bookmarkStart w:id="112" w:name="_Toc31962075"/>
      <w:bookmarkStart w:id="113" w:name="_Toc31962125"/>
      <w:bookmarkStart w:id="114" w:name="_Toc32503210"/>
      <w:bookmarkStart w:id="115" w:name="_Toc32503326"/>
      <w:r w:rsidRPr="00442DF6">
        <w:rPr>
          <w:b w:val="0"/>
          <w:lang w:val="en-US"/>
        </w:rPr>
        <w:t xml:space="preserve">OWASP </w:t>
      </w:r>
      <w:bookmarkEnd w:id="109"/>
      <w:bookmarkEnd w:id="110"/>
      <w:bookmarkEnd w:id="111"/>
      <w:r w:rsidR="0048080E" w:rsidRPr="0048080E">
        <w:rPr>
          <w:b w:val="0"/>
          <w:lang w:val="en-US"/>
        </w:rPr>
        <w:t>API2:2019 Broken User Authentication</w:t>
      </w:r>
      <w:bookmarkEnd w:id="112"/>
      <w:bookmarkEnd w:id="113"/>
      <w:bookmarkEnd w:id="114"/>
      <w:bookmarkEnd w:id="1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2-2019,COUNT=50"/>
      </w:tblPr>
      <w:tblGrid>
        <w:gridCol w:w="9917"/>
      </w:tblGrid>
      <w:tr w:rsidR="003C20DB" w:rsidRPr="00640A15" w14:paraId="3C43A1B7"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4F3A417B"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16" w:name="_Toc531865341"/>
      <w:bookmarkStart w:id="117" w:name="_Toc531953769"/>
      <w:bookmarkStart w:id="118" w:name="_Toc25309960"/>
      <w:bookmarkStart w:id="119" w:name="_Toc31962076"/>
      <w:bookmarkStart w:id="120" w:name="_Toc31962126"/>
      <w:bookmarkStart w:id="121" w:name="_Toc32503211"/>
      <w:bookmarkStart w:id="122" w:name="_Toc32503327"/>
      <w:r w:rsidRPr="00442DF6">
        <w:rPr>
          <w:b w:val="0"/>
          <w:lang w:val="en-US"/>
        </w:rPr>
        <w:t xml:space="preserve">OWASP </w:t>
      </w:r>
      <w:bookmarkEnd w:id="116"/>
      <w:bookmarkEnd w:id="117"/>
      <w:bookmarkEnd w:id="118"/>
      <w:r w:rsidR="002633A8" w:rsidRPr="002633A8">
        <w:rPr>
          <w:b w:val="0"/>
          <w:lang w:val="en-US"/>
        </w:rPr>
        <w:t>API3:2019 Excessive Data Exposure</w:t>
      </w:r>
      <w:bookmarkEnd w:id="119"/>
      <w:bookmarkEnd w:id="120"/>
      <w:bookmarkEnd w:id="121"/>
      <w:bookmarkEnd w:id="122"/>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3-2019,COUNT=50"/>
      </w:tblPr>
      <w:tblGrid>
        <w:gridCol w:w="9784"/>
      </w:tblGrid>
      <w:tr w:rsidR="00442DF6" w:rsidRPr="00640A15" w14:paraId="54EACD1C" w14:textId="77777777" w:rsidTr="00E02C29">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2741C6D5"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123" w:name="_Toc531865342"/>
      <w:bookmarkStart w:id="124" w:name="_Toc531953770"/>
      <w:bookmarkStart w:id="125" w:name="_Toc25309961"/>
      <w:bookmarkStart w:id="126" w:name="_Toc31962077"/>
      <w:bookmarkStart w:id="127" w:name="_Toc31962127"/>
      <w:bookmarkStart w:id="128" w:name="_Toc32503212"/>
      <w:bookmarkStart w:id="129" w:name="_Toc32503328"/>
      <w:r w:rsidRPr="00442DF6">
        <w:rPr>
          <w:b w:val="0"/>
          <w:lang w:val="en-US"/>
        </w:rPr>
        <w:t xml:space="preserve">OWASP </w:t>
      </w:r>
      <w:bookmarkEnd w:id="123"/>
      <w:bookmarkEnd w:id="124"/>
      <w:bookmarkEnd w:id="125"/>
      <w:r w:rsidR="002633A8" w:rsidRPr="002633A8">
        <w:rPr>
          <w:b w:val="0"/>
          <w:lang w:val="en-US"/>
        </w:rPr>
        <w:t>API4:2019 Lack of Resources &amp; Rate Limiting</w:t>
      </w:r>
      <w:bookmarkEnd w:id="126"/>
      <w:bookmarkEnd w:id="127"/>
      <w:bookmarkEnd w:id="128"/>
      <w:bookmarkEnd w:id="129"/>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4-2019,COUNT=50"/>
      </w:tblPr>
      <w:tblGrid>
        <w:gridCol w:w="9784"/>
      </w:tblGrid>
      <w:tr w:rsidR="00A3431E" w:rsidRPr="00640A15" w14:paraId="61678C6C" w14:textId="77777777" w:rsidTr="00E02C29">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696FF283"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130" w:name="_Toc531865343"/>
      <w:bookmarkStart w:id="131" w:name="_Toc531953771"/>
      <w:bookmarkStart w:id="132" w:name="_Toc25309962"/>
      <w:bookmarkStart w:id="133" w:name="_Toc31962078"/>
      <w:bookmarkStart w:id="134" w:name="_Toc31962128"/>
      <w:bookmarkStart w:id="135" w:name="_Toc32503213"/>
      <w:bookmarkStart w:id="136" w:name="_Toc32503329"/>
      <w:r>
        <w:rPr>
          <w:b w:val="0"/>
          <w:lang w:val="en-US"/>
        </w:rPr>
        <w:t>O</w:t>
      </w:r>
      <w:r w:rsidRPr="00442DF6">
        <w:rPr>
          <w:b w:val="0"/>
          <w:lang w:val="en-US"/>
        </w:rPr>
        <w:t xml:space="preserve">WASP </w:t>
      </w:r>
      <w:bookmarkEnd w:id="130"/>
      <w:bookmarkEnd w:id="131"/>
      <w:bookmarkEnd w:id="132"/>
      <w:r w:rsidR="008A3868" w:rsidRPr="008A3868">
        <w:rPr>
          <w:b w:val="0"/>
          <w:lang w:val="en-US"/>
        </w:rPr>
        <w:t>API5:2019 Broken Function Level Authorization</w:t>
      </w:r>
      <w:bookmarkEnd w:id="133"/>
      <w:bookmarkEnd w:id="134"/>
      <w:bookmarkEnd w:id="135"/>
      <w:bookmarkEnd w:id="13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5-2019,COUNT=50"/>
      </w:tblPr>
      <w:tblGrid>
        <w:gridCol w:w="9917"/>
      </w:tblGrid>
      <w:tr w:rsidR="00A50114" w:rsidRPr="00640A15" w14:paraId="4D8D3084"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6DB1F584"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37" w:name="_Toc531865344"/>
      <w:bookmarkStart w:id="138" w:name="_Toc531953772"/>
      <w:bookmarkStart w:id="139" w:name="_Toc25309963"/>
      <w:bookmarkStart w:id="140" w:name="_Toc31962079"/>
      <w:bookmarkStart w:id="141" w:name="_Toc31962129"/>
      <w:bookmarkStart w:id="142" w:name="_Toc32503214"/>
      <w:bookmarkStart w:id="143" w:name="_Toc32503330"/>
      <w:r w:rsidRPr="00442DF6">
        <w:rPr>
          <w:b w:val="0"/>
          <w:lang w:val="en-US"/>
        </w:rPr>
        <w:t xml:space="preserve">OWASP </w:t>
      </w:r>
      <w:bookmarkEnd w:id="137"/>
      <w:bookmarkEnd w:id="138"/>
      <w:bookmarkEnd w:id="139"/>
      <w:r w:rsidR="00EC4528" w:rsidRPr="00EC4528">
        <w:rPr>
          <w:b w:val="0"/>
          <w:lang w:val="en-US"/>
        </w:rPr>
        <w:t>API6:2019 Mass Assignment</w:t>
      </w:r>
      <w:bookmarkEnd w:id="140"/>
      <w:bookmarkEnd w:id="141"/>
      <w:bookmarkEnd w:id="142"/>
      <w:bookmarkEnd w:id="14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6-2019,COUNT=50"/>
      </w:tblPr>
      <w:tblGrid>
        <w:gridCol w:w="9917"/>
      </w:tblGrid>
      <w:tr w:rsidR="00442DF6" w:rsidRPr="00640A15" w14:paraId="43082B05"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164DFDB3"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144" w:name="_Toc531953773"/>
      <w:bookmarkStart w:id="145" w:name="_Toc25309964"/>
      <w:bookmarkStart w:id="146" w:name="_Toc31962080"/>
      <w:bookmarkStart w:id="147" w:name="_Toc31962130"/>
      <w:bookmarkStart w:id="148" w:name="_Toc32503215"/>
      <w:bookmarkStart w:id="149" w:name="_Toc32503331"/>
      <w:r w:rsidRPr="00442DF6">
        <w:rPr>
          <w:b w:val="0"/>
          <w:lang w:val="en-US"/>
        </w:rPr>
        <w:lastRenderedPageBreak/>
        <w:t xml:space="preserve">OWASP </w:t>
      </w:r>
      <w:bookmarkEnd w:id="144"/>
      <w:bookmarkEnd w:id="145"/>
      <w:r w:rsidR="00EC4528" w:rsidRPr="00EC4528">
        <w:rPr>
          <w:b w:val="0"/>
          <w:lang w:val="en-US"/>
        </w:rPr>
        <w:t>API7:2019 Security Misconfiguration</w:t>
      </w:r>
      <w:bookmarkEnd w:id="146"/>
      <w:bookmarkEnd w:id="147"/>
      <w:bookmarkEnd w:id="148"/>
      <w:bookmarkEnd w:id="1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7-2019,COUNT=50"/>
      </w:tblPr>
      <w:tblGrid>
        <w:gridCol w:w="9917"/>
      </w:tblGrid>
      <w:tr w:rsidR="00F65BAF" w:rsidRPr="00640A15" w14:paraId="1119AD2E"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632D1FB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0" w:name="_Toc531865345"/>
      <w:bookmarkStart w:id="151" w:name="_Toc531953774"/>
      <w:bookmarkStart w:id="152" w:name="_Toc25309965"/>
      <w:bookmarkStart w:id="153" w:name="_Toc31962081"/>
      <w:bookmarkStart w:id="154" w:name="_Toc31962131"/>
      <w:bookmarkStart w:id="155" w:name="_Toc32503216"/>
      <w:bookmarkStart w:id="156" w:name="_Toc32503332"/>
      <w:r w:rsidRPr="00442DF6">
        <w:rPr>
          <w:b w:val="0"/>
          <w:lang w:val="en-US"/>
        </w:rPr>
        <w:t xml:space="preserve">OWASP </w:t>
      </w:r>
      <w:bookmarkEnd w:id="150"/>
      <w:bookmarkEnd w:id="151"/>
      <w:bookmarkEnd w:id="152"/>
      <w:r w:rsidR="00945754" w:rsidRPr="00945754">
        <w:rPr>
          <w:b w:val="0"/>
          <w:lang w:val="en-US"/>
        </w:rPr>
        <w:t>API8:2019 Injection</w:t>
      </w:r>
      <w:bookmarkEnd w:id="153"/>
      <w:bookmarkEnd w:id="154"/>
      <w:bookmarkEnd w:id="155"/>
      <w:bookmarkEnd w:id="1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8-2019,COUNT=50"/>
      </w:tblPr>
      <w:tblGrid>
        <w:gridCol w:w="9917"/>
      </w:tblGrid>
      <w:tr w:rsidR="00442DF6" w:rsidRPr="00640A15" w14:paraId="5225ABF7"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C748387"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57" w:name="_Toc531865346"/>
      <w:bookmarkStart w:id="158" w:name="_Toc531953775"/>
      <w:bookmarkStart w:id="159" w:name="_Toc25309966"/>
      <w:bookmarkStart w:id="160" w:name="_Toc31962082"/>
      <w:bookmarkStart w:id="161" w:name="_Toc31962132"/>
      <w:bookmarkStart w:id="162" w:name="_Toc32503217"/>
      <w:bookmarkStart w:id="163" w:name="_Toc32503333"/>
      <w:r w:rsidRPr="00442DF6">
        <w:rPr>
          <w:b w:val="0"/>
          <w:lang w:val="en-US"/>
        </w:rPr>
        <w:t xml:space="preserve">OWASP </w:t>
      </w:r>
      <w:bookmarkEnd w:id="157"/>
      <w:bookmarkEnd w:id="158"/>
      <w:bookmarkEnd w:id="159"/>
      <w:r w:rsidR="00225686" w:rsidRPr="00225686">
        <w:rPr>
          <w:b w:val="0"/>
          <w:lang w:val="en-US"/>
        </w:rPr>
        <w:t>API9:2019 Improper Assets Management</w:t>
      </w:r>
      <w:bookmarkEnd w:id="160"/>
      <w:bookmarkEnd w:id="161"/>
      <w:bookmarkEnd w:id="162"/>
      <w:bookmarkEnd w:id="163"/>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9-2019,COUNT=50"/>
      </w:tblPr>
      <w:tblGrid>
        <w:gridCol w:w="9917"/>
      </w:tblGrid>
      <w:tr w:rsidR="00442DF6" w:rsidRPr="00640A15" w14:paraId="09D41375"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58802B7"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64" w:name="_Toc531953776"/>
      <w:bookmarkStart w:id="165" w:name="_Toc25309967"/>
      <w:bookmarkStart w:id="166" w:name="_Toc31962083"/>
      <w:bookmarkStart w:id="167" w:name="_Toc31962133"/>
      <w:bookmarkStart w:id="168" w:name="_Toc32503218"/>
      <w:bookmarkStart w:id="169" w:name="_Toc32503334"/>
      <w:r w:rsidRPr="00442DF6">
        <w:rPr>
          <w:b w:val="0"/>
          <w:lang w:val="en-US"/>
        </w:rPr>
        <w:t xml:space="preserve">OWASP </w:t>
      </w:r>
      <w:bookmarkEnd w:id="164"/>
      <w:bookmarkEnd w:id="165"/>
      <w:r w:rsidR="002C1AA5" w:rsidRPr="002C1AA5">
        <w:rPr>
          <w:b w:val="0"/>
          <w:lang w:val="en-US"/>
        </w:rPr>
        <w:t>API10:2019 Insufficient Logging &amp; Monitoring</w:t>
      </w:r>
      <w:bookmarkEnd w:id="166"/>
      <w:bookmarkEnd w:id="167"/>
      <w:bookmarkEnd w:id="168"/>
      <w:bookmarkEnd w:id="16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0-2019,COUNT=50"/>
      </w:tblPr>
      <w:tblGrid>
        <w:gridCol w:w="9917"/>
      </w:tblGrid>
      <w:tr w:rsidR="00F65BAF" w:rsidRPr="00640A15" w14:paraId="79887C8B"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0" w:name="_Toc531865347"/>
      <w:bookmarkStart w:id="171" w:name="_Toc531953777"/>
      <w:bookmarkStart w:id="172" w:name="_Toc25309968"/>
      <w:bookmarkStart w:id="173" w:name="_Toc31962084"/>
      <w:bookmarkStart w:id="174" w:name="_Toc31962134"/>
      <w:bookmarkStart w:id="175" w:name="_Toc32503219"/>
      <w:bookmarkStart w:id="176" w:name="_Toc32503335"/>
      <w:r>
        <w:lastRenderedPageBreak/>
        <w:t>A</w:t>
      </w:r>
      <w:r w:rsidR="00CA74F4">
        <w:t>ppendix</w:t>
      </w:r>
      <w:bookmarkEnd w:id="170"/>
      <w:bookmarkEnd w:id="171"/>
      <w:bookmarkEnd w:id="172"/>
      <w:bookmarkEnd w:id="173"/>
      <w:bookmarkEnd w:id="174"/>
      <w:bookmarkEnd w:id="175"/>
      <w:bookmarkEnd w:id="176"/>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77" w:name="_Toc529893221"/>
      <w:bookmarkStart w:id="178" w:name="_Toc531865348"/>
      <w:bookmarkStart w:id="179" w:name="_Toc531953778"/>
      <w:bookmarkStart w:id="180" w:name="_Toc25309969"/>
      <w:bookmarkStart w:id="181" w:name="_Toc31962085"/>
      <w:bookmarkStart w:id="182" w:name="_Toc31962135"/>
      <w:bookmarkStart w:id="183" w:name="_Toc32503220"/>
      <w:bookmarkStart w:id="184" w:name="_Toc32503336"/>
      <w:r>
        <w:rPr>
          <w:lang w:val="en-US"/>
        </w:rPr>
        <w:t>About CAST Software Intelligence</w:t>
      </w:r>
      <w:bookmarkEnd w:id="177"/>
      <w:bookmarkEnd w:id="178"/>
      <w:bookmarkEnd w:id="179"/>
      <w:bookmarkEnd w:id="180"/>
      <w:bookmarkEnd w:id="181"/>
      <w:bookmarkEnd w:id="182"/>
      <w:bookmarkEnd w:id="183"/>
      <w:bookmarkEnd w:id="184"/>
    </w:p>
    <w:p w14:paraId="57EFA4D3" w14:textId="77777777" w:rsidR="00590C86" w:rsidRDefault="00590C86" w:rsidP="00590C86">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1F9317F5" w14:textId="77777777" w:rsidR="00590C86" w:rsidRDefault="00590C86" w:rsidP="00590C86">
      <w:pPr>
        <w:ind w:right="657"/>
      </w:pPr>
    </w:p>
    <w:p w14:paraId="690ADBA8" w14:textId="77777777" w:rsidR="00590C86" w:rsidRPr="004A59A5" w:rsidRDefault="00590C86" w:rsidP="00590C86">
      <w:pPr>
        <w:ind w:right="657"/>
      </w:pPr>
      <w:hyperlink r:id="rId13" w:history="1">
        <w:r w:rsidRPr="00036206">
          <w:rPr>
            <w:rStyle w:val="Hyperlink"/>
          </w:rPr>
          <w:t>Click here</w:t>
        </w:r>
      </w:hyperlink>
      <w:r>
        <w:t xml:space="preserve"> for more information about CAST Software Intelligence. </w:t>
      </w:r>
    </w:p>
    <w:p w14:paraId="6099AB13" w14:textId="77777777" w:rsidR="00590C86" w:rsidRDefault="00590C86" w:rsidP="00590C86">
      <w:pPr>
        <w:pStyle w:val="Heading2"/>
        <w:spacing w:after="0"/>
        <w:ind w:left="540" w:right="657" w:hanging="540"/>
      </w:pPr>
      <w:bookmarkStart w:id="185" w:name="_Toc531865310"/>
      <w:bookmarkStart w:id="186" w:name="_Toc531949439"/>
      <w:bookmarkStart w:id="187" w:name="_Toc531949651"/>
      <w:bookmarkStart w:id="188" w:name="_Toc31959174"/>
      <w:bookmarkStart w:id="189" w:name="_Toc32503221"/>
      <w:bookmarkStart w:id="190" w:name="_Toc32503337"/>
      <w:r>
        <w:rPr>
          <w:lang w:val="en-US"/>
        </w:rPr>
        <w:t>About CAST Security</w:t>
      </w:r>
      <w:bookmarkEnd w:id="185"/>
      <w:bookmarkEnd w:id="186"/>
      <w:bookmarkEnd w:id="187"/>
      <w:bookmarkEnd w:id="188"/>
      <w:bookmarkEnd w:id="189"/>
      <w:bookmarkEnd w:id="190"/>
    </w:p>
    <w:p w14:paraId="0244D917" w14:textId="77777777" w:rsidR="00590C86" w:rsidRDefault="00590C86" w:rsidP="00590C86">
      <w:pPr>
        <w:ind w:right="657"/>
      </w:pPr>
    </w:p>
    <w:p w14:paraId="2648EB06" w14:textId="77777777" w:rsidR="00590C86" w:rsidRDefault="00590C86" w:rsidP="00590C86">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66D0A57" w14:textId="77777777" w:rsidR="00590C86" w:rsidRDefault="00590C86" w:rsidP="00590C86">
      <w:pPr>
        <w:ind w:right="657"/>
      </w:pPr>
      <w:r>
        <w:t xml:space="preserve">To find out more about CAST Security, </w:t>
      </w:r>
      <w:hyperlink r:id="rId14" w:history="1">
        <w:r w:rsidRPr="00DE3825">
          <w:rPr>
            <w:rStyle w:val="Hyperlink"/>
          </w:rPr>
          <w:t>click here</w:t>
        </w:r>
      </w:hyperlink>
      <w:r>
        <w:t>.</w:t>
      </w:r>
    </w:p>
    <w:p w14:paraId="30328F30" w14:textId="77777777" w:rsidR="00590C86" w:rsidRPr="00BB40D4" w:rsidRDefault="00590C86" w:rsidP="00590C86">
      <w:pPr>
        <w:ind w:right="657"/>
      </w:pPr>
      <w:r>
        <w:t xml:space="preserve">  </w:t>
      </w:r>
    </w:p>
    <w:p w14:paraId="1EABE747" w14:textId="77777777" w:rsidR="00590C86" w:rsidRPr="000F3EB1" w:rsidRDefault="00590C86" w:rsidP="00590C86">
      <w:pPr>
        <w:pStyle w:val="Heading2"/>
        <w:tabs>
          <w:tab w:val="clear" w:pos="432"/>
          <w:tab w:val="num" w:pos="-1605"/>
        </w:tabs>
        <w:spacing w:after="0"/>
        <w:ind w:left="540" w:right="657" w:hanging="540"/>
        <w:rPr>
          <w:lang w:val="en-US"/>
        </w:rPr>
      </w:pPr>
      <w:bookmarkStart w:id="191" w:name="_Toc31959175"/>
      <w:bookmarkStart w:id="192" w:name="_Toc32503222"/>
      <w:bookmarkStart w:id="193" w:name="_Toc32503338"/>
      <w:r w:rsidRPr="000F3EB1">
        <w:rPr>
          <w:lang w:val="en-US"/>
        </w:rPr>
        <w:t xml:space="preserve">Applicability of </w:t>
      </w:r>
      <w:r>
        <w:rPr>
          <w:lang w:val="en-US"/>
        </w:rPr>
        <w:t>OWASP API 2019</w:t>
      </w:r>
      <w:r w:rsidRPr="000F3EB1">
        <w:rPr>
          <w:lang w:val="en-US"/>
        </w:rPr>
        <w:t xml:space="preserve"> in CAST Solution</w:t>
      </w:r>
      <w:bookmarkEnd w:id="191"/>
      <w:bookmarkEnd w:id="192"/>
      <w:bookmarkEnd w:id="193"/>
    </w:p>
    <w:p w14:paraId="43D4432B" w14:textId="77777777" w:rsidR="00590C86" w:rsidRDefault="00590C86" w:rsidP="00590C86">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590C86" w:rsidRPr="00CF7844" w14:paraId="19F24476" w14:textId="77777777" w:rsidTr="00347F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4121A130" w14:textId="77777777" w:rsidR="00590C86" w:rsidRPr="00CF7844" w:rsidRDefault="00590C86" w:rsidP="00CB2001">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42317CBD" w14:textId="77777777" w:rsidR="00590C86" w:rsidRPr="00CF7844" w:rsidRDefault="00590C86" w:rsidP="00CB200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7F8B3161" w14:textId="77777777" w:rsidR="00590C86" w:rsidRPr="00CF7844" w:rsidRDefault="00590C86" w:rsidP="00CB200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590C86" w:rsidRPr="00042BFE" w14:paraId="3B1C7F6A" w14:textId="77777777" w:rsidTr="00347F4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7E391DD5" w14:textId="77777777" w:rsidR="00590C86" w:rsidRPr="00042BFE" w:rsidRDefault="00590C86" w:rsidP="00CB2001">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Borders>
              <w:top w:val="single" w:sz="12" w:space="0" w:color="B2B9FF"/>
            </w:tcBorders>
          </w:tcPr>
          <w:p w14:paraId="703A72B5"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Borders>
              <w:top w:val="single" w:sz="12" w:space="0" w:color="B2B9FF"/>
            </w:tcBorders>
          </w:tcPr>
          <w:p w14:paraId="0D4F6D30"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0011141F"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4F50C918" w14:textId="77777777" w:rsidR="00590C86" w:rsidRPr="00042BFE" w:rsidRDefault="00590C86" w:rsidP="00CB2001">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693F7169"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41EEC53A"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2ADA8102"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A3D98C5" w14:textId="77777777" w:rsidR="00590C86" w:rsidRPr="00042BFE" w:rsidRDefault="00590C86" w:rsidP="00CB2001">
            <w:pPr>
              <w:ind w:left="163" w:right="144"/>
              <w:jc w:val="left"/>
              <w:rPr>
                <w:rFonts w:cstheme="minorHAnsi"/>
                <w:b w:val="0"/>
                <w:sz w:val="16"/>
                <w:szCs w:val="18"/>
              </w:rPr>
            </w:pPr>
            <w:r>
              <w:rPr>
                <w:rFonts w:cstheme="minorHAnsi"/>
                <w:b w:val="0"/>
                <w:sz w:val="16"/>
                <w:szCs w:val="18"/>
              </w:rPr>
              <w:t>…</w:t>
            </w:r>
          </w:p>
        </w:tc>
        <w:tc>
          <w:tcPr>
            <w:tcW w:w="2657" w:type="pct"/>
          </w:tcPr>
          <w:p w14:paraId="181A7731"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4A5B47B3"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1B94018C" w14:textId="77777777" w:rsidR="00590C86" w:rsidRPr="00690F72" w:rsidRDefault="00590C86" w:rsidP="00590C86">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B8C7B" w14:textId="77777777" w:rsidR="0034067A" w:rsidRDefault="0034067A">
      <w:r>
        <w:separator/>
      </w:r>
    </w:p>
  </w:endnote>
  <w:endnote w:type="continuationSeparator" w:id="0">
    <w:p w14:paraId="5CDA41E8" w14:textId="77777777" w:rsidR="0034067A" w:rsidRDefault="0034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AADE76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C9321E7" w:rsidR="00EB32CE" w:rsidRDefault="00D971D9">
    <w:pPr>
      <w:pStyle w:val="Footer"/>
    </w:pPr>
    <w:r>
      <w:rPr>
        <w:noProof/>
      </w:rPr>
      <w:drawing>
        <wp:anchor distT="0" distB="0" distL="114300" distR="114300" simplePos="0" relativeHeight="251658240" behindDoc="0" locked="0" layoutInCell="1" allowOverlap="1" wp14:anchorId="713D3AD4" wp14:editId="53885955">
          <wp:simplePos x="0" y="0"/>
          <wp:positionH relativeFrom="margin">
            <wp:align>left</wp:align>
          </wp:positionH>
          <wp:positionV relativeFrom="paragraph">
            <wp:posOffset>120650</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EB32CE">
      <w:tab/>
    </w:r>
    <w:r w:rsidR="00EB32CE">
      <w:tab/>
    </w:r>
    <w:r w:rsidR="00EB32CE">
      <w:tab/>
    </w:r>
    <w:r w:rsidR="00EB32CE">
      <w:tab/>
    </w:r>
    <w:r w:rsidR="00EB32CE">
      <w:tab/>
    </w:r>
    <w:r w:rsidR="00EB32CE">
      <w:tab/>
    </w:r>
    <w:r w:rsidR="00EB32CE">
      <w:tab/>
    </w:r>
    <w:r w:rsidR="00EB32CE">
      <w:tab/>
    </w:r>
    <w:r>
      <w:ptab w:relativeTo="margin" w:alignment="right" w:leader="none"/>
    </w:r>
    <w:r w:rsidR="00EB32CE" w:rsidRPr="00A925F2">
      <w:rPr>
        <w:rFonts w:asciiTheme="majorHAnsi" w:hAnsiTheme="majorHAnsi" w:cs="Times-Bold"/>
        <w:b/>
        <w:bCs/>
        <w:i w:val="0"/>
        <w:color w:val="404040" w:themeColor="text1" w:themeTint="BF"/>
        <w:sz w:val="16"/>
        <w:szCs w:val="24"/>
        <w:lang w:eastAsia="en-GB"/>
      </w:rPr>
      <w:t xml:space="preserve">Page Number - </w:t>
    </w:r>
    <w:r w:rsidR="00EB32CE" w:rsidRPr="00A925F2">
      <w:rPr>
        <w:rFonts w:asciiTheme="majorHAnsi" w:hAnsiTheme="majorHAnsi"/>
        <w:b/>
        <w:i w:val="0"/>
        <w:color w:val="404040" w:themeColor="text1" w:themeTint="BF"/>
        <w:sz w:val="16"/>
        <w:szCs w:val="24"/>
      </w:rPr>
      <w:fldChar w:fldCharType="begin"/>
    </w:r>
    <w:r w:rsidR="00EB32CE" w:rsidRPr="00A925F2">
      <w:rPr>
        <w:rFonts w:asciiTheme="majorHAnsi" w:hAnsiTheme="majorHAnsi"/>
        <w:b/>
        <w:i w:val="0"/>
        <w:color w:val="404040" w:themeColor="text1" w:themeTint="BF"/>
        <w:sz w:val="16"/>
        <w:szCs w:val="24"/>
      </w:rPr>
      <w:instrText xml:space="preserve"> PAGE   \* MERGEFORMAT </w:instrText>
    </w:r>
    <w:r w:rsidR="00EB32CE" w:rsidRPr="00A925F2">
      <w:rPr>
        <w:rFonts w:asciiTheme="majorHAnsi" w:hAnsiTheme="majorHAnsi"/>
        <w:b/>
        <w:i w:val="0"/>
        <w:color w:val="404040" w:themeColor="text1" w:themeTint="BF"/>
        <w:sz w:val="16"/>
        <w:szCs w:val="24"/>
      </w:rPr>
      <w:fldChar w:fldCharType="separate"/>
    </w:r>
    <w:r w:rsidR="00EB32CE" w:rsidRPr="00A925F2">
      <w:rPr>
        <w:rFonts w:asciiTheme="majorHAnsi" w:hAnsiTheme="majorHAnsi"/>
        <w:b/>
        <w:i w:val="0"/>
        <w:color w:val="404040" w:themeColor="text1" w:themeTint="BF"/>
        <w:sz w:val="16"/>
        <w:szCs w:val="24"/>
      </w:rPr>
      <w:t>2</w:t>
    </w:r>
    <w:r w:rsidR="00EB32CE" w:rsidRPr="00A925F2">
      <w:rPr>
        <w:rFonts w:asciiTheme="majorHAnsi" w:hAnsiTheme="majorHAnsi"/>
        <w:b/>
        <w:i w:val="0"/>
        <w:noProof/>
        <w:color w:val="404040" w:themeColor="text1" w:themeTint="BF"/>
        <w:sz w:val="16"/>
        <w:szCs w:val="24"/>
      </w:rPr>
      <w:fldChar w:fldCharType="end"/>
    </w:r>
    <w:r w:rsidR="00EB32CE"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48797" w14:textId="77777777" w:rsidR="0034067A" w:rsidRDefault="0034067A">
      <w:r>
        <w:separator/>
      </w:r>
    </w:p>
  </w:footnote>
  <w:footnote w:type="continuationSeparator" w:id="0">
    <w:p w14:paraId="3345CB24" w14:textId="77777777" w:rsidR="0034067A" w:rsidRDefault="00340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F9238FB"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CD4E3F">
      <w:rPr>
        <w:rFonts w:asciiTheme="majorHAnsi" w:hAnsiTheme="majorHAnsi"/>
        <w:noProof/>
        <w:sz w:val="20"/>
        <w:szCs w:val="24"/>
      </w:rPr>
      <w:t xml:space="preserve">API 2019 </w:t>
    </w:r>
    <w:r>
      <w:rPr>
        <w:rFonts w:asciiTheme="majorHAnsi" w:hAnsiTheme="majorHAnsi"/>
        <w:noProof/>
        <w:sz w:val="20"/>
        <w:szCs w:val="24"/>
      </w:rPr>
      <w:t>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DDF487E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838394">
    <w:abstractNumId w:val="2"/>
  </w:num>
  <w:num w:numId="2" w16cid:durableId="730881474">
    <w:abstractNumId w:val="11"/>
  </w:num>
  <w:num w:numId="3" w16cid:durableId="1878543177">
    <w:abstractNumId w:val="13"/>
  </w:num>
  <w:num w:numId="4" w16cid:durableId="618878990">
    <w:abstractNumId w:val="8"/>
  </w:num>
  <w:num w:numId="5" w16cid:durableId="1712607513">
    <w:abstractNumId w:val="1"/>
  </w:num>
  <w:num w:numId="6" w16cid:durableId="118233259">
    <w:abstractNumId w:val="0"/>
  </w:num>
  <w:num w:numId="7" w16cid:durableId="1256136409">
    <w:abstractNumId w:val="16"/>
  </w:num>
  <w:num w:numId="8" w16cid:durableId="1694503066">
    <w:abstractNumId w:val="18"/>
  </w:num>
  <w:num w:numId="9" w16cid:durableId="1384713726">
    <w:abstractNumId w:val="12"/>
  </w:num>
  <w:num w:numId="10" w16cid:durableId="478693408">
    <w:abstractNumId w:val="5"/>
  </w:num>
  <w:num w:numId="11" w16cid:durableId="1369068628">
    <w:abstractNumId w:val="20"/>
  </w:num>
  <w:num w:numId="12" w16cid:durableId="99489906">
    <w:abstractNumId w:val="17"/>
  </w:num>
  <w:num w:numId="13" w16cid:durableId="1592816988">
    <w:abstractNumId w:val="21"/>
  </w:num>
  <w:num w:numId="14" w16cid:durableId="309218453">
    <w:abstractNumId w:val="14"/>
  </w:num>
  <w:num w:numId="15" w16cid:durableId="933973732">
    <w:abstractNumId w:val="4"/>
  </w:num>
  <w:num w:numId="16" w16cid:durableId="1406609897">
    <w:abstractNumId w:val="6"/>
  </w:num>
  <w:num w:numId="17" w16cid:durableId="2037924293">
    <w:abstractNumId w:val="15"/>
  </w:num>
  <w:num w:numId="18" w16cid:durableId="1983458034">
    <w:abstractNumId w:val="7"/>
  </w:num>
  <w:num w:numId="19" w16cid:durableId="1214653559">
    <w:abstractNumId w:val="3"/>
  </w:num>
  <w:num w:numId="20" w16cid:durableId="286161090">
    <w:abstractNumId w:val="10"/>
  </w:num>
  <w:num w:numId="21" w16cid:durableId="257564223">
    <w:abstractNumId w:val="2"/>
  </w:num>
  <w:num w:numId="22" w16cid:durableId="1571187685">
    <w:abstractNumId w:val="19"/>
  </w:num>
  <w:num w:numId="23" w16cid:durableId="695155059">
    <w:abstractNumId w:val="2"/>
  </w:num>
  <w:num w:numId="24" w16cid:durableId="2057001694">
    <w:abstractNumId w:val="2"/>
  </w:num>
  <w:num w:numId="25" w16cid:durableId="1372069162">
    <w:abstractNumId w:val="2"/>
  </w:num>
  <w:num w:numId="26" w16cid:durableId="243493818">
    <w:abstractNumId w:val="2"/>
  </w:num>
  <w:num w:numId="27" w16cid:durableId="1872264290">
    <w:abstractNumId w:val="2"/>
  </w:num>
  <w:num w:numId="28" w16cid:durableId="1732654162">
    <w:abstractNumId w:val="2"/>
  </w:num>
  <w:num w:numId="29" w16cid:durableId="929116576">
    <w:abstractNumId w:val="2"/>
  </w:num>
  <w:num w:numId="30" w16cid:durableId="333185745">
    <w:abstractNumId w:val="2"/>
  </w:num>
  <w:num w:numId="31" w16cid:durableId="995036372">
    <w:abstractNumId w:val="2"/>
  </w:num>
  <w:num w:numId="32" w16cid:durableId="1360357801">
    <w:abstractNumId w:val="2"/>
  </w:num>
  <w:num w:numId="33" w16cid:durableId="186720192">
    <w:abstractNumId w:val="2"/>
  </w:num>
  <w:num w:numId="34" w16cid:durableId="498887372">
    <w:abstractNumId w:val="2"/>
  </w:num>
  <w:num w:numId="35" w16cid:durableId="151680630">
    <w:abstractNumId w:val="2"/>
  </w:num>
  <w:num w:numId="36" w16cid:durableId="1628974245">
    <w:abstractNumId w:val="2"/>
  </w:num>
  <w:num w:numId="37" w16cid:durableId="1443376742">
    <w:abstractNumId w:val="2"/>
  </w:num>
  <w:num w:numId="38" w16cid:durableId="2077312085">
    <w:abstractNumId w:val="2"/>
  </w:num>
  <w:num w:numId="39" w16cid:durableId="944268566">
    <w:abstractNumId w:val="2"/>
  </w:num>
  <w:num w:numId="40" w16cid:durableId="553473319">
    <w:abstractNumId w:val="2"/>
  </w:num>
  <w:num w:numId="41" w16cid:durableId="486941675">
    <w:abstractNumId w:val="2"/>
  </w:num>
  <w:num w:numId="42" w16cid:durableId="781190623">
    <w:abstractNumId w:val="2"/>
  </w:num>
  <w:num w:numId="43" w16cid:durableId="925457552">
    <w:abstractNumId w:val="9"/>
  </w:num>
  <w:num w:numId="44" w16cid:durableId="2120877521">
    <w:abstractNumId w:val="2"/>
  </w:num>
  <w:num w:numId="45" w16cid:durableId="1406951208">
    <w:abstractNumId w:val="2"/>
  </w:num>
  <w:num w:numId="46" w16cid:durableId="916793757">
    <w:abstractNumId w:val="2"/>
  </w:num>
  <w:num w:numId="47" w16cid:durableId="602111983">
    <w:abstractNumId w:val="2"/>
  </w:num>
  <w:num w:numId="48" w16cid:durableId="915671218">
    <w:abstractNumId w:val="2"/>
  </w:num>
  <w:num w:numId="49" w16cid:durableId="310599721">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1F0"/>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686"/>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5F5"/>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3A8"/>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1AA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045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67A"/>
    <w:rsid w:val="00340EF4"/>
    <w:rsid w:val="003410DE"/>
    <w:rsid w:val="00341C15"/>
    <w:rsid w:val="003422CF"/>
    <w:rsid w:val="003427ED"/>
    <w:rsid w:val="00345E79"/>
    <w:rsid w:val="0034695D"/>
    <w:rsid w:val="00347585"/>
    <w:rsid w:val="00347F4D"/>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080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0C86"/>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030"/>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8E6"/>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868"/>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5754"/>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5E6C"/>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C68D3"/>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176B5"/>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0511"/>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4E3F"/>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748"/>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BDF"/>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0D2F"/>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971D9"/>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2C29"/>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0B"/>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528"/>
    <w:rsid w:val="00EC4884"/>
    <w:rsid w:val="00EC5B4E"/>
    <w:rsid w:val="00EC6A50"/>
    <w:rsid w:val="00EC71E5"/>
    <w:rsid w:val="00EC71FF"/>
    <w:rsid w:val="00EC7261"/>
    <w:rsid w:val="00EC7271"/>
    <w:rsid w:val="00EC7BB0"/>
    <w:rsid w:val="00ED0930"/>
    <w:rsid w:val="00ED0D19"/>
    <w:rsid w:val="00ED128D"/>
    <w:rsid w:val="00ED133A"/>
    <w:rsid w:val="00ED139E"/>
    <w:rsid w:val="00ED229E"/>
    <w:rsid w:val="00ED2F74"/>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B176B5"/>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B176B5"/>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B176B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B176B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47F4D"/>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3104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wasp.org/www-project-api-securit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809-4F0A-89D6-DD26F65215F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809-4F0A-89D6-DD26F65215F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809-4F0A-89D6-DD26F65215F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809-4F0A-89D6-DD26F65215F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809-4F0A-89D6-DD26F65215F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809-4F0A-89D6-DD26F65215F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809-4F0A-89D6-DD26F65215F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809-4F0A-89D6-DD26F65215F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083E6-0878-423D-A097-F9EDC56A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1827</TotalTime>
  <Pages>12</Pages>
  <Words>1746</Words>
  <Characters>9955</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75</cp:revision>
  <cp:lastPrinted>2014-04-04T13:22:00Z</cp:lastPrinted>
  <dcterms:created xsi:type="dcterms:W3CDTF">2018-09-23T06:26:00Z</dcterms:created>
  <dcterms:modified xsi:type="dcterms:W3CDTF">2025-03-04T11:08:00Z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