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545179"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545179"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545179"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rsidR="006116B1" w:rsidRDefault="00545179">
          <w:pPr>
            <w:pStyle w:val="TOC2"/>
            <w:rPr>
              <w:rFonts w:asciiTheme="minorHAnsi" w:eastAsiaTheme="minorEastAsia" w:hAnsiTheme="minorHAnsi" w:cstheme="minorBidi"/>
              <w:sz w:val="22"/>
              <w:szCs w:val="22"/>
              <w:lang w:eastAsia="en-GB"/>
            </w:rPr>
          </w:pPr>
          <w:hyperlink w:anchor="_Toc345608360" w:history="1">
            <w:r w:rsidR="006116B1" w:rsidRPr="00B00372">
              <w:rPr>
                <w:rStyle w:val="Hyperlink"/>
                <w:rFonts w:eastAsia="Perpetua"/>
              </w:rPr>
              <w:t>1.1.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Application Characteristics</w:t>
            </w:r>
            <w:r w:rsidR="006116B1">
              <w:rPr>
                <w:webHidden/>
              </w:rPr>
              <w:tab/>
            </w:r>
            <w:r w:rsidR="00104A7B">
              <w:rPr>
                <w:webHidden/>
              </w:rPr>
              <w:fldChar w:fldCharType="begin"/>
            </w:r>
            <w:r w:rsidR="006116B1">
              <w:rPr>
                <w:webHidden/>
              </w:rPr>
              <w:instrText xml:space="preserve"> PAGEREF _Toc345608360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545179">
          <w:pPr>
            <w:pStyle w:val="TOC2"/>
            <w:rPr>
              <w:rFonts w:asciiTheme="minorHAnsi" w:eastAsiaTheme="minorEastAsia" w:hAnsiTheme="minorHAnsi" w:cstheme="minorBidi"/>
              <w:sz w:val="22"/>
              <w:szCs w:val="22"/>
              <w:lang w:eastAsia="en-GB"/>
            </w:rPr>
          </w:pPr>
          <w:hyperlink w:anchor="_Toc345608361" w:history="1">
            <w:r w:rsidR="006116B1" w:rsidRPr="00B00372">
              <w:rPr>
                <w:rStyle w:val="Hyperlink"/>
                <w:rFonts w:eastAsia="Perpetua"/>
              </w:rPr>
              <w:t>1.2.</w:t>
            </w:r>
            <w:r w:rsidR="006116B1">
              <w:rPr>
                <w:rFonts w:asciiTheme="minorHAnsi" w:eastAsiaTheme="minorEastAsia" w:hAnsiTheme="minorHAnsi" w:cstheme="minorBidi"/>
                <w:sz w:val="22"/>
                <w:szCs w:val="22"/>
                <w:lang w:eastAsia="en-GB"/>
              </w:rPr>
              <w:tab/>
            </w:r>
            <w:r w:rsidR="006116B1" w:rsidRPr="00B00372">
              <w:rPr>
                <w:rStyle w:val="Hyperlink"/>
                <w:rFonts w:eastAsia="Perpetua"/>
              </w:rPr>
              <w:t>Summary of Quality Indicators</w:t>
            </w:r>
            <w:r w:rsidR="006116B1">
              <w:rPr>
                <w:webHidden/>
              </w:rPr>
              <w:tab/>
            </w:r>
            <w:r w:rsidR="00104A7B">
              <w:rPr>
                <w:webHidden/>
              </w:rPr>
              <w:fldChar w:fldCharType="begin"/>
            </w:r>
            <w:r w:rsidR="006116B1">
              <w:rPr>
                <w:webHidden/>
              </w:rPr>
              <w:instrText xml:space="preserve"> PAGEREF _Toc345608361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545179">
          <w:pPr>
            <w:pStyle w:val="TOC2"/>
            <w:rPr>
              <w:rFonts w:asciiTheme="minorHAnsi" w:eastAsiaTheme="minorEastAsia" w:hAnsiTheme="minorHAnsi" w:cstheme="minorBidi"/>
              <w:sz w:val="22"/>
              <w:szCs w:val="22"/>
              <w:lang w:eastAsia="en-GB"/>
            </w:rPr>
          </w:pPr>
          <w:hyperlink w:anchor="_Toc345608362" w:history="1">
            <w:r w:rsidR="006116B1" w:rsidRPr="00B00372">
              <w:rPr>
                <w:rStyle w:val="Hyperlink"/>
                <w:rFonts w:eastAsia="Perpetua"/>
              </w:rPr>
              <w:t>1.3.</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Assessment Highlights</w:t>
            </w:r>
            <w:r w:rsidR="006116B1">
              <w:rPr>
                <w:webHidden/>
              </w:rPr>
              <w:tab/>
            </w:r>
            <w:r w:rsidR="00104A7B">
              <w:rPr>
                <w:webHidden/>
              </w:rPr>
              <w:fldChar w:fldCharType="begin"/>
            </w:r>
            <w:r w:rsidR="006116B1">
              <w:rPr>
                <w:webHidden/>
              </w:rPr>
              <w:instrText xml:space="preserve"> PAGEREF _Toc345608362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545179">
          <w:pPr>
            <w:pStyle w:val="TOC1"/>
            <w:rPr>
              <w:rFonts w:asciiTheme="minorHAnsi" w:eastAsiaTheme="minorEastAsia" w:hAnsiTheme="minorHAnsi" w:cstheme="minorBidi"/>
              <w:szCs w:val="22"/>
              <w:lang w:val="en-GB" w:eastAsia="en-GB"/>
            </w:rPr>
          </w:pPr>
          <w:hyperlink w:anchor="_Toc345608363" w:history="1">
            <w:r w:rsidR="006116B1" w:rsidRPr="00B00372">
              <w:rPr>
                <w:rStyle w:val="Hyperlink"/>
              </w:rPr>
              <w:t>2.</w:t>
            </w:r>
            <w:r w:rsidR="006116B1">
              <w:rPr>
                <w:rFonts w:asciiTheme="minorHAnsi" w:eastAsiaTheme="minorEastAsia" w:hAnsiTheme="minorHAnsi" w:cstheme="minorBidi"/>
                <w:szCs w:val="22"/>
                <w:lang w:val="en-GB" w:eastAsia="en-GB"/>
              </w:rPr>
              <w:tab/>
            </w:r>
            <w:r w:rsidR="006116B1" w:rsidRPr="00B00372">
              <w:rPr>
                <w:rStyle w:val="Hyperlink"/>
              </w:rPr>
              <w:t>Measures of Security</w:t>
            </w:r>
            <w:r w:rsidR="006116B1">
              <w:rPr>
                <w:webHidden/>
              </w:rPr>
              <w:tab/>
            </w:r>
            <w:r w:rsidR="00104A7B">
              <w:rPr>
                <w:webHidden/>
              </w:rPr>
              <w:fldChar w:fldCharType="begin"/>
            </w:r>
            <w:r w:rsidR="006116B1">
              <w:rPr>
                <w:webHidden/>
              </w:rPr>
              <w:instrText xml:space="preserve"> PAGEREF _Toc345608363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545179">
          <w:pPr>
            <w:pStyle w:val="TOC2"/>
            <w:rPr>
              <w:rFonts w:asciiTheme="minorHAnsi" w:eastAsiaTheme="minorEastAsia" w:hAnsiTheme="minorHAnsi" w:cstheme="minorBidi"/>
              <w:sz w:val="22"/>
              <w:szCs w:val="22"/>
              <w:lang w:eastAsia="en-GB"/>
            </w:rPr>
          </w:pPr>
          <w:hyperlink w:anchor="_Toc345608364" w:history="1">
            <w:r w:rsidR="006116B1" w:rsidRPr="00B00372">
              <w:rPr>
                <w:rStyle w:val="Hyperlink"/>
                <w:rFonts w:eastAsia="Perpetua"/>
              </w:rPr>
              <w:t>2.1.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Importance of measuring all layers of an application</w:t>
            </w:r>
            <w:r w:rsidR="006116B1">
              <w:rPr>
                <w:webHidden/>
              </w:rPr>
              <w:tab/>
            </w:r>
            <w:r w:rsidR="00104A7B">
              <w:rPr>
                <w:webHidden/>
              </w:rPr>
              <w:fldChar w:fldCharType="begin"/>
            </w:r>
            <w:r w:rsidR="006116B1">
              <w:rPr>
                <w:webHidden/>
              </w:rPr>
              <w:instrText xml:space="preserve"> PAGEREF _Toc345608364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545179">
          <w:pPr>
            <w:pStyle w:val="TOC3"/>
            <w:rPr>
              <w:rFonts w:asciiTheme="minorHAnsi" w:eastAsiaTheme="minorEastAsia" w:hAnsiTheme="minorHAnsi" w:cstheme="minorBidi"/>
              <w:sz w:val="22"/>
              <w:szCs w:val="22"/>
              <w:lang w:val="en-GB" w:eastAsia="en-GB"/>
            </w:rPr>
          </w:pPr>
          <w:hyperlink w:anchor="_Toc345608365" w:history="1">
            <w:r w:rsidR="006116B1" w:rsidRPr="00B00372">
              <w:rPr>
                <w:rStyle w:val="Hyperlink"/>
                <w:rFonts w:eastAsia="Perpetua"/>
              </w:rPr>
              <w:t>2.1.1.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Security Weaknesses.</w:t>
            </w:r>
            <w:r w:rsidR="006116B1">
              <w:rPr>
                <w:webHidden/>
              </w:rPr>
              <w:tab/>
            </w:r>
            <w:r w:rsidR="00104A7B">
              <w:rPr>
                <w:webHidden/>
              </w:rPr>
              <w:fldChar w:fldCharType="begin"/>
            </w:r>
            <w:r w:rsidR="006116B1">
              <w:rPr>
                <w:webHidden/>
              </w:rPr>
              <w:instrText xml:space="preserve"> PAGEREF _Toc345608365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545179">
          <w:pPr>
            <w:pStyle w:val="TOC3"/>
            <w:tabs>
              <w:tab w:val="left" w:pos="2147"/>
            </w:tabs>
            <w:rPr>
              <w:rFonts w:asciiTheme="minorHAnsi" w:eastAsiaTheme="minorEastAsia" w:hAnsiTheme="minorHAnsi" w:cstheme="minorBidi"/>
              <w:sz w:val="22"/>
              <w:szCs w:val="22"/>
              <w:lang w:val="en-GB" w:eastAsia="en-GB"/>
            </w:rPr>
          </w:pPr>
          <w:hyperlink w:anchor="_Toc345608366" w:history="1">
            <w:r w:rsidR="006116B1" w:rsidRPr="00B00372">
              <w:rPr>
                <w:rStyle w:val="Hyperlink"/>
                <w:rFonts w:eastAsia="Perpetua"/>
              </w:rPr>
              <w:t>2.1.1.1.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A1 – Injection Flaws</w:t>
            </w:r>
            <w:r w:rsidR="006116B1">
              <w:rPr>
                <w:webHidden/>
              </w:rPr>
              <w:tab/>
            </w:r>
            <w:r w:rsidR="00104A7B">
              <w:rPr>
                <w:webHidden/>
              </w:rPr>
              <w:fldChar w:fldCharType="begin"/>
            </w:r>
            <w:r w:rsidR="006116B1">
              <w:rPr>
                <w:webHidden/>
              </w:rPr>
              <w:instrText xml:space="preserve"> PAGEREF _Toc345608366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545179">
          <w:pPr>
            <w:pStyle w:val="TOC3"/>
            <w:tabs>
              <w:tab w:val="left" w:pos="2147"/>
            </w:tabs>
            <w:rPr>
              <w:rFonts w:asciiTheme="minorHAnsi" w:eastAsiaTheme="minorEastAsia" w:hAnsiTheme="minorHAnsi" w:cstheme="minorBidi"/>
              <w:sz w:val="22"/>
              <w:szCs w:val="22"/>
              <w:lang w:val="en-GB" w:eastAsia="en-GB"/>
            </w:rPr>
          </w:pPr>
          <w:hyperlink w:anchor="_Toc345608367" w:history="1">
            <w:r w:rsidR="006116B1" w:rsidRPr="00B00372">
              <w:rPr>
                <w:rStyle w:val="Hyperlink"/>
                <w:rFonts w:eastAsia="Perpetua"/>
              </w:rPr>
              <w:t>2.1.1.2.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A2 – Cross Site Scripting (XSS)</w:t>
            </w:r>
            <w:r w:rsidR="006116B1">
              <w:rPr>
                <w:webHidden/>
              </w:rPr>
              <w:tab/>
            </w:r>
            <w:r w:rsidR="00104A7B">
              <w:rPr>
                <w:webHidden/>
              </w:rPr>
              <w:fldChar w:fldCharType="begin"/>
            </w:r>
            <w:r w:rsidR="006116B1">
              <w:rPr>
                <w:webHidden/>
              </w:rPr>
              <w:instrText xml:space="preserve"> PAGEREF _Toc345608367 \h </w:instrText>
            </w:r>
            <w:r w:rsidR="00104A7B">
              <w:rPr>
                <w:webHidden/>
              </w:rPr>
            </w:r>
            <w:r w:rsidR="00104A7B">
              <w:rPr>
                <w:webHidden/>
              </w:rPr>
              <w:fldChar w:fldCharType="separate"/>
            </w:r>
            <w:r w:rsidR="006116B1">
              <w:rPr>
                <w:webHidden/>
              </w:rPr>
              <w:t>8</w:t>
            </w:r>
            <w:r w:rsidR="00104A7B">
              <w:rPr>
                <w:webHidden/>
              </w:rPr>
              <w:fldChar w:fldCharType="end"/>
            </w:r>
          </w:hyperlink>
        </w:p>
        <w:p w:rsidR="006116B1" w:rsidRDefault="00545179">
          <w:pPr>
            <w:pStyle w:val="TOC3"/>
            <w:rPr>
              <w:rFonts w:asciiTheme="minorHAnsi" w:eastAsiaTheme="minorEastAsia" w:hAnsiTheme="minorHAnsi" w:cstheme="minorBidi"/>
              <w:sz w:val="22"/>
              <w:szCs w:val="22"/>
              <w:lang w:val="en-GB" w:eastAsia="en-GB"/>
            </w:rPr>
          </w:pPr>
          <w:hyperlink w:anchor="_Toc345608368" w:history="1">
            <w:r w:rsidR="006116B1" w:rsidRPr="00B00372">
              <w:rPr>
                <w:rStyle w:val="Hyperlink"/>
                <w:rFonts w:eastAsia="Perpetua"/>
              </w:rPr>
              <w:t>2.1.2.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Lack of Defensive Mechanisms.</w:t>
            </w:r>
            <w:r w:rsidR="006116B1">
              <w:rPr>
                <w:webHidden/>
              </w:rPr>
              <w:tab/>
            </w:r>
            <w:r w:rsidR="00104A7B">
              <w:rPr>
                <w:webHidden/>
              </w:rPr>
              <w:fldChar w:fldCharType="begin"/>
            </w:r>
            <w:r w:rsidR="006116B1">
              <w:rPr>
                <w:webHidden/>
              </w:rPr>
              <w:instrText xml:space="preserve"> PAGEREF _Toc345608368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545179">
          <w:pPr>
            <w:pStyle w:val="TOC3"/>
            <w:tabs>
              <w:tab w:val="left" w:pos="2147"/>
            </w:tabs>
            <w:rPr>
              <w:rFonts w:asciiTheme="minorHAnsi" w:eastAsiaTheme="minorEastAsia" w:hAnsiTheme="minorHAnsi" w:cstheme="minorBidi"/>
              <w:sz w:val="22"/>
              <w:szCs w:val="22"/>
              <w:lang w:val="en-GB" w:eastAsia="en-GB"/>
            </w:rPr>
          </w:pPr>
          <w:hyperlink w:anchor="_Toc345608369" w:history="1">
            <w:r w:rsidR="006116B1" w:rsidRPr="00B00372">
              <w:rPr>
                <w:rStyle w:val="Hyperlink"/>
                <w:rFonts w:eastAsia="Perpetua"/>
              </w:rPr>
              <w:t>2.1.2.1.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A8 – Insecure Cryptographic Storage</w:t>
            </w:r>
            <w:r w:rsidR="006116B1">
              <w:rPr>
                <w:webHidden/>
              </w:rPr>
              <w:tab/>
            </w:r>
            <w:r w:rsidR="00104A7B">
              <w:rPr>
                <w:webHidden/>
              </w:rPr>
              <w:fldChar w:fldCharType="begin"/>
            </w:r>
            <w:r w:rsidR="006116B1">
              <w:rPr>
                <w:webHidden/>
              </w:rPr>
              <w:instrText xml:space="preserve"> PAGEREF _Toc345608369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545179">
          <w:pPr>
            <w:pStyle w:val="TOC3"/>
            <w:tabs>
              <w:tab w:val="left" w:pos="2147"/>
            </w:tabs>
            <w:rPr>
              <w:rFonts w:asciiTheme="minorHAnsi" w:eastAsiaTheme="minorEastAsia" w:hAnsiTheme="minorHAnsi" w:cstheme="minorBidi"/>
              <w:sz w:val="22"/>
              <w:szCs w:val="22"/>
              <w:lang w:val="en-GB" w:eastAsia="en-GB"/>
            </w:rPr>
          </w:pPr>
          <w:hyperlink w:anchor="_Toc345608370" w:history="1">
            <w:r w:rsidR="006116B1" w:rsidRPr="00B00372">
              <w:rPr>
                <w:rStyle w:val="Hyperlink"/>
                <w:rFonts w:eastAsia="Perpetua"/>
              </w:rPr>
              <w:t>2.1.2.2.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2007 - A6 – Information Leakage and Improper Error Handling</w:t>
            </w:r>
            <w:r w:rsidR="006116B1">
              <w:rPr>
                <w:webHidden/>
              </w:rPr>
              <w:tab/>
            </w:r>
            <w:r w:rsidR="00104A7B">
              <w:rPr>
                <w:webHidden/>
              </w:rPr>
              <w:fldChar w:fldCharType="begin"/>
            </w:r>
            <w:r w:rsidR="006116B1">
              <w:rPr>
                <w:webHidden/>
              </w:rPr>
              <w:instrText xml:space="preserve"> PAGEREF _Toc345608370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545179">
          <w:pPr>
            <w:pStyle w:val="TOC3"/>
            <w:tabs>
              <w:tab w:val="left" w:pos="2147"/>
            </w:tabs>
            <w:rPr>
              <w:rFonts w:asciiTheme="minorHAnsi" w:eastAsiaTheme="minorEastAsia" w:hAnsiTheme="minorHAnsi" w:cstheme="minorBidi"/>
              <w:sz w:val="22"/>
              <w:szCs w:val="22"/>
              <w:lang w:val="en-GB" w:eastAsia="en-GB"/>
            </w:rPr>
          </w:pPr>
          <w:hyperlink w:anchor="_Toc345608371" w:history="1">
            <w:r w:rsidR="006116B1" w:rsidRPr="00B00372">
              <w:rPr>
                <w:rStyle w:val="Hyperlink"/>
                <w:rFonts w:eastAsia="Perpetua"/>
              </w:rPr>
              <w:t>2.1.2.3.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Other OWASP vulnerabilities:</w:t>
            </w:r>
            <w:r w:rsidR="006116B1">
              <w:rPr>
                <w:webHidden/>
              </w:rPr>
              <w:tab/>
            </w:r>
            <w:r w:rsidR="00104A7B">
              <w:rPr>
                <w:webHidden/>
              </w:rPr>
              <w:fldChar w:fldCharType="begin"/>
            </w:r>
            <w:r w:rsidR="006116B1">
              <w:rPr>
                <w:webHidden/>
              </w:rPr>
              <w:instrText xml:space="preserve"> PAGEREF _Toc345608371 \h </w:instrText>
            </w:r>
            <w:r w:rsidR="00104A7B">
              <w:rPr>
                <w:webHidden/>
              </w:rPr>
            </w:r>
            <w:r w:rsidR="00104A7B">
              <w:rPr>
                <w:webHidden/>
              </w:rPr>
              <w:fldChar w:fldCharType="separate"/>
            </w:r>
            <w:r w:rsidR="006116B1">
              <w:rPr>
                <w:webHidden/>
              </w:rPr>
              <w:t>11</w:t>
            </w:r>
            <w:r w:rsidR="00104A7B">
              <w:rPr>
                <w:webHidden/>
              </w:rPr>
              <w:fldChar w:fldCharType="end"/>
            </w:r>
          </w:hyperlink>
        </w:p>
        <w:p w:rsidR="006116B1" w:rsidRDefault="00545179">
          <w:pPr>
            <w:pStyle w:val="TOC3"/>
            <w:rPr>
              <w:rFonts w:asciiTheme="minorHAnsi" w:eastAsiaTheme="minorEastAsia" w:hAnsiTheme="minorHAnsi" w:cstheme="minorBidi"/>
              <w:sz w:val="22"/>
              <w:szCs w:val="22"/>
              <w:lang w:val="en-GB" w:eastAsia="en-GB"/>
            </w:rPr>
          </w:pPr>
          <w:hyperlink w:anchor="_Toc345608372" w:history="1">
            <w:r w:rsidR="006116B1" w:rsidRPr="00B00372">
              <w:rPr>
                <w:rStyle w:val="Hyperlink"/>
                <w:rFonts w:eastAsia="Perpetua"/>
              </w:rPr>
              <w:t>2.1.3.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Bypassing the Architecture.</w:t>
            </w:r>
            <w:r w:rsidR="006116B1">
              <w:rPr>
                <w:webHidden/>
              </w:rPr>
              <w:tab/>
            </w:r>
            <w:r w:rsidR="00104A7B">
              <w:rPr>
                <w:webHidden/>
              </w:rPr>
              <w:fldChar w:fldCharType="begin"/>
            </w:r>
            <w:r w:rsidR="006116B1">
              <w:rPr>
                <w:webHidden/>
              </w:rPr>
              <w:instrText xml:space="preserve"> PAGEREF _Toc345608372 \h </w:instrText>
            </w:r>
            <w:r w:rsidR="00104A7B">
              <w:rPr>
                <w:webHidden/>
              </w:rPr>
            </w:r>
            <w:r w:rsidR="00104A7B">
              <w:rPr>
                <w:webHidden/>
              </w:rPr>
              <w:fldChar w:fldCharType="separate"/>
            </w:r>
            <w:r w:rsidR="006116B1">
              <w:rPr>
                <w:webHidden/>
              </w:rPr>
              <w:t>12</w:t>
            </w:r>
            <w:r w:rsidR="00104A7B">
              <w:rPr>
                <w:webHidden/>
              </w:rPr>
              <w:fldChar w:fldCharType="end"/>
            </w:r>
          </w:hyperlink>
        </w:p>
        <w:p w:rsidR="006116B1" w:rsidRDefault="00545179">
          <w:pPr>
            <w:pStyle w:val="TOC3"/>
            <w:rPr>
              <w:rFonts w:asciiTheme="minorHAnsi" w:eastAsiaTheme="minorEastAsia" w:hAnsiTheme="minorHAnsi" w:cstheme="minorBidi"/>
              <w:sz w:val="22"/>
              <w:szCs w:val="22"/>
              <w:lang w:val="en-GB" w:eastAsia="en-GB"/>
            </w:rPr>
          </w:pPr>
          <w:hyperlink w:anchor="_Toc345608373" w:history="1">
            <w:r w:rsidR="006116B1" w:rsidRPr="00B00372">
              <w:rPr>
                <w:rStyle w:val="Hyperlink"/>
                <w:rFonts w:eastAsia="Perpetua"/>
              </w:rPr>
              <w:t>2.1.4.</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Failure to Control Processing Volumes.</w:t>
            </w:r>
            <w:r w:rsidR="006116B1">
              <w:rPr>
                <w:webHidden/>
              </w:rPr>
              <w:tab/>
            </w:r>
            <w:r w:rsidR="00104A7B">
              <w:rPr>
                <w:webHidden/>
              </w:rPr>
              <w:fldChar w:fldCharType="begin"/>
            </w:r>
            <w:r w:rsidR="006116B1">
              <w:rPr>
                <w:webHidden/>
              </w:rPr>
              <w:instrText xml:space="preserve"> PAGEREF _Toc345608373 \h </w:instrText>
            </w:r>
            <w:r w:rsidR="00104A7B">
              <w:rPr>
                <w:webHidden/>
              </w:rPr>
            </w:r>
            <w:r w:rsidR="00104A7B">
              <w:rPr>
                <w:webHidden/>
              </w:rPr>
              <w:fldChar w:fldCharType="separate"/>
            </w:r>
            <w:r w:rsidR="006116B1">
              <w:rPr>
                <w:webHidden/>
              </w:rPr>
              <w:t>13</w:t>
            </w:r>
            <w:r w:rsidR="00104A7B">
              <w:rPr>
                <w:webHidden/>
              </w:rPr>
              <w:fldChar w:fldCharType="end"/>
            </w:r>
          </w:hyperlink>
        </w:p>
        <w:p w:rsidR="006116B1" w:rsidRDefault="00545179">
          <w:pPr>
            <w:pStyle w:val="TOC3"/>
            <w:rPr>
              <w:rFonts w:asciiTheme="minorHAnsi" w:eastAsiaTheme="minorEastAsia" w:hAnsiTheme="minorHAnsi" w:cstheme="minorBidi"/>
              <w:sz w:val="22"/>
              <w:szCs w:val="22"/>
              <w:lang w:val="en-GB" w:eastAsia="en-GB"/>
            </w:rPr>
          </w:pPr>
          <w:hyperlink w:anchor="_Toc345608374" w:history="1">
            <w:r w:rsidR="006116B1" w:rsidRPr="00B00372">
              <w:rPr>
                <w:rStyle w:val="Hyperlink"/>
                <w:rFonts w:eastAsia="Perpetua"/>
              </w:rPr>
              <w:t>2.1.5.</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Application Resource Imbalances.</w:t>
            </w:r>
            <w:r w:rsidR="006116B1">
              <w:rPr>
                <w:webHidden/>
              </w:rPr>
              <w:tab/>
            </w:r>
            <w:r w:rsidR="00104A7B">
              <w:rPr>
                <w:webHidden/>
              </w:rPr>
              <w:fldChar w:fldCharType="begin"/>
            </w:r>
            <w:r w:rsidR="006116B1">
              <w:rPr>
                <w:webHidden/>
              </w:rPr>
              <w:instrText xml:space="preserve"> PAGEREF _Toc345608374 \h </w:instrText>
            </w:r>
            <w:r w:rsidR="00104A7B">
              <w:rPr>
                <w:webHidden/>
              </w:rPr>
            </w:r>
            <w:r w:rsidR="00104A7B">
              <w:rPr>
                <w:webHidden/>
              </w:rPr>
              <w:fldChar w:fldCharType="separate"/>
            </w:r>
            <w:r w:rsidR="006116B1">
              <w:rPr>
                <w:webHidden/>
              </w:rPr>
              <w:t>14</w:t>
            </w:r>
            <w:r w:rsidR="00104A7B">
              <w:rPr>
                <w:webHidden/>
              </w:rPr>
              <w:fldChar w:fldCharType="end"/>
            </w:r>
          </w:hyperlink>
        </w:p>
        <w:p w:rsidR="006116B1" w:rsidRDefault="00545179">
          <w:pPr>
            <w:pStyle w:val="TOC1"/>
            <w:rPr>
              <w:rFonts w:asciiTheme="minorHAnsi" w:eastAsiaTheme="minorEastAsia" w:hAnsiTheme="minorHAnsi" w:cstheme="minorBidi"/>
              <w:szCs w:val="22"/>
              <w:lang w:val="en-GB" w:eastAsia="en-GB"/>
            </w:rPr>
          </w:pPr>
          <w:hyperlink w:anchor="_Toc345608375" w:history="1">
            <w:r w:rsidR="006116B1" w:rsidRPr="00B00372">
              <w:rPr>
                <w:rStyle w:val="Hyperlink"/>
              </w:rPr>
              <w:t>3.</w:t>
            </w:r>
            <w:r w:rsidR="006116B1">
              <w:rPr>
                <w:rFonts w:asciiTheme="minorHAnsi" w:eastAsiaTheme="minorEastAsia" w:hAnsiTheme="minorHAnsi" w:cstheme="minorBidi"/>
                <w:szCs w:val="22"/>
                <w:lang w:val="en-GB" w:eastAsia="en-GB"/>
              </w:rPr>
              <w:tab/>
            </w:r>
            <w:r w:rsidR="006116B1" w:rsidRPr="00B00372">
              <w:rPr>
                <w:rStyle w:val="Hyperlink"/>
              </w:rPr>
              <w:t>Appendix - Assessment Approach Overview</w:t>
            </w:r>
            <w:r w:rsidR="006116B1">
              <w:rPr>
                <w:webHidden/>
              </w:rPr>
              <w:tab/>
            </w:r>
            <w:r w:rsidR="00104A7B">
              <w:rPr>
                <w:webHidden/>
              </w:rPr>
              <w:fldChar w:fldCharType="begin"/>
            </w:r>
            <w:r w:rsidR="006116B1">
              <w:rPr>
                <w:webHidden/>
              </w:rPr>
              <w:instrText xml:space="preserve"> PAGEREF _Toc345608375 \h </w:instrText>
            </w:r>
            <w:r w:rsidR="00104A7B">
              <w:rPr>
                <w:webHidden/>
              </w:rPr>
            </w:r>
            <w:r w:rsidR="00104A7B">
              <w:rPr>
                <w:webHidden/>
              </w:rPr>
              <w:fldChar w:fldCharType="separate"/>
            </w:r>
            <w:r w:rsidR="006116B1">
              <w:rPr>
                <w:webHidden/>
              </w:rPr>
              <w:t>15</w:t>
            </w:r>
            <w:r w:rsidR="00104A7B">
              <w:rPr>
                <w:webHidden/>
              </w:rPr>
              <w:fldChar w:fldCharType="end"/>
            </w:r>
          </w:hyperlink>
        </w:p>
        <w:p w:rsidR="006116B1" w:rsidRDefault="00545179">
          <w:pPr>
            <w:pStyle w:val="TOC1"/>
            <w:rPr>
              <w:rFonts w:asciiTheme="minorHAnsi" w:eastAsiaTheme="minorEastAsia" w:hAnsiTheme="minorHAnsi" w:cstheme="minorBidi"/>
              <w:szCs w:val="22"/>
              <w:lang w:val="en-GB" w:eastAsia="en-GB"/>
            </w:rPr>
          </w:pPr>
          <w:hyperlink w:anchor="_Toc345608376" w:history="1">
            <w:r w:rsidR="006116B1" w:rsidRPr="00B00372">
              <w:rPr>
                <w:rStyle w:val="Hyperlink"/>
              </w:rPr>
              <w:t>4.</w:t>
            </w:r>
            <w:r w:rsidR="006116B1">
              <w:rPr>
                <w:rFonts w:asciiTheme="minorHAnsi" w:eastAsiaTheme="minorEastAsia" w:hAnsiTheme="minorHAnsi" w:cstheme="minorBidi"/>
                <w:szCs w:val="22"/>
                <w:lang w:val="en-GB" w:eastAsia="en-GB"/>
              </w:rPr>
              <w:tab/>
            </w:r>
            <w:r w:rsidR="006116B1" w:rsidRPr="00B00372">
              <w:rPr>
                <w:rStyle w:val="Hyperlink"/>
              </w:rPr>
              <w:t>Appendix: Understanding Quality Indicators, Quality Rules</w:t>
            </w:r>
            <w:r w:rsidR="006116B1">
              <w:rPr>
                <w:webHidden/>
              </w:rPr>
              <w:tab/>
            </w:r>
            <w:r w:rsidR="00104A7B">
              <w:rPr>
                <w:webHidden/>
              </w:rPr>
              <w:fldChar w:fldCharType="begin"/>
            </w:r>
            <w:r w:rsidR="006116B1">
              <w:rPr>
                <w:webHidden/>
              </w:rPr>
              <w:instrText xml:space="preserve"> PAGEREF _Toc345608376 \h </w:instrText>
            </w:r>
            <w:r w:rsidR="00104A7B">
              <w:rPr>
                <w:webHidden/>
              </w:rPr>
            </w:r>
            <w:r w:rsidR="00104A7B">
              <w:rPr>
                <w:webHidden/>
              </w:rPr>
              <w:fldChar w:fldCharType="separate"/>
            </w:r>
            <w:r w:rsidR="006116B1">
              <w:rPr>
                <w:webHidden/>
              </w:rPr>
              <w:t>16</w:t>
            </w:r>
            <w:r w:rsidR="00104A7B">
              <w:rPr>
                <w:webHidden/>
              </w:rPr>
              <w:fldChar w:fldCharType="end"/>
            </w:r>
          </w:hyperlink>
        </w:p>
        <w:p w:rsidR="006116B1" w:rsidRDefault="00545179">
          <w:pPr>
            <w:pStyle w:val="TOC1"/>
            <w:rPr>
              <w:rFonts w:asciiTheme="minorHAnsi" w:eastAsiaTheme="minorEastAsia" w:hAnsiTheme="minorHAnsi" w:cstheme="minorBidi"/>
              <w:szCs w:val="22"/>
              <w:lang w:val="en-GB" w:eastAsia="en-GB"/>
            </w:rPr>
          </w:pPr>
          <w:hyperlink w:anchor="_Toc345608377" w:history="1">
            <w:r w:rsidR="006116B1" w:rsidRPr="00B00372">
              <w:rPr>
                <w:rStyle w:val="Hyperlink"/>
              </w:rPr>
              <w:t>5.</w:t>
            </w:r>
            <w:r w:rsidR="006116B1">
              <w:rPr>
                <w:rFonts w:asciiTheme="minorHAnsi" w:eastAsiaTheme="minorEastAsia" w:hAnsiTheme="minorHAnsi" w:cstheme="minorBidi"/>
                <w:szCs w:val="22"/>
                <w:lang w:val="en-GB" w:eastAsia="en-GB"/>
              </w:rPr>
              <w:tab/>
            </w:r>
            <w:r w:rsidR="006116B1" w:rsidRPr="00B00372">
              <w:rPr>
                <w:rStyle w:val="Hyperlink"/>
              </w:rPr>
              <w:t>Appendix: CWE/SANS Top 25</w:t>
            </w:r>
            <w:r w:rsidR="006116B1">
              <w:rPr>
                <w:webHidden/>
              </w:rPr>
              <w:tab/>
            </w:r>
            <w:r w:rsidR="00104A7B">
              <w:rPr>
                <w:webHidden/>
              </w:rPr>
              <w:fldChar w:fldCharType="begin"/>
            </w:r>
            <w:r w:rsidR="006116B1">
              <w:rPr>
                <w:webHidden/>
              </w:rPr>
              <w:instrText xml:space="preserve"> PAGEREF _Toc345608377 \h </w:instrText>
            </w:r>
            <w:r w:rsidR="00104A7B">
              <w:rPr>
                <w:webHidden/>
              </w:rPr>
            </w:r>
            <w:r w:rsidR="00104A7B">
              <w:rPr>
                <w:webHidden/>
              </w:rPr>
              <w:fldChar w:fldCharType="separate"/>
            </w:r>
            <w:r w:rsidR="006116B1">
              <w:rPr>
                <w:webHidden/>
              </w:rPr>
              <w:t>18</w:t>
            </w:r>
            <w:r w:rsidR="00104A7B">
              <w:rPr>
                <w:webHidden/>
              </w:rPr>
              <w:fldChar w:fldCharType="end"/>
            </w:r>
          </w:hyperlink>
        </w:p>
        <w:p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bookmarkStart w:id="5"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545179"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608360"/>
          <w:r w:rsidRPr="0083566E">
            <w:rPr>
              <w:noProof/>
            </w:rPr>
            <w:t>Application Characteristics</w:t>
          </w:r>
          <w:bookmarkEnd w:id="6"/>
        </w:p>
        <w:p w:rsidR="00676FBE" w:rsidRPr="0083566E" w:rsidRDefault="00545179"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EndPr/>
                      <w:sdtContent>
                        <w:p w:rsidR="005F3783" w:rsidRDefault="005F3783" w:rsidP="00676FBE">
                          <w:r>
                            <w:rPr>
                              <w:noProof/>
                              <w:lang w:val="en-US"/>
                            </w:rPr>
                            <w:drawing>
                              <wp:inline distT="0" distB="0" distL="0" distR="0">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A12407">
                                <w:pPr>
                                  <w:spacing w:after="0"/>
                                  <w:rPr>
                                    <w:sz w:val="20"/>
                                  </w:rPr>
                                </w:pPr>
                                <w:r w:rsidRPr="00A12407">
                                  <w:rPr>
                                    <w:sz w:val="20"/>
                                  </w:rPr>
                                  <w:t>Name</w:t>
                                </w:r>
                              </w:p>
                            </w:tc>
                            <w:tc>
                              <w:tcPr>
                                <w:tcW w:w="1352" w:type="dxa"/>
                              </w:tcPr>
                              <w:p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C1439D">
                                <w:pPr>
                                  <w:spacing w:after="0"/>
                                  <w:rPr>
                                    <w:sz w:val="20"/>
                                  </w:rPr>
                                </w:pPr>
                                <w:r w:rsidRPr="00A12407">
                                  <w:rPr>
                                    <w:sz w:val="20"/>
                                  </w:rPr>
                                  <w:t>Techno 1</w:t>
                                </w:r>
                              </w:p>
                            </w:tc>
                            <w:tc>
                              <w:tcPr>
                                <w:tcW w:w="1352" w:type="dxa"/>
                              </w:tcPr>
                              <w:p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2</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3</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4</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5</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5F3783" w:rsidRDefault="00545179"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A12407">
                                <w:pPr>
                                  <w:spacing w:after="0"/>
                                  <w:rPr>
                                    <w:sz w:val="20"/>
                                  </w:rPr>
                                </w:pPr>
                                <w:r w:rsidRPr="00A12407">
                                  <w:rPr>
                                    <w:sz w:val="20"/>
                                  </w:rPr>
                                  <w:t>Name</w:t>
                                </w:r>
                              </w:p>
                            </w:tc>
                            <w:tc>
                              <w:tcPr>
                                <w:tcW w:w="1080" w:type="dxa"/>
                              </w:tcPr>
                              <w:p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3D2BAA">
                                <w:pPr>
                                  <w:spacing w:after="0"/>
                                  <w:rPr>
                                    <w:sz w:val="20"/>
                                  </w:rPr>
                                </w:pPr>
                                <w:r>
                                  <w:rPr>
                                    <w:sz w:val="20"/>
                                  </w:rPr>
                                  <w:t>kLOCs</w:t>
                                </w:r>
                                <w:r w:rsidRPr="003D2BAA">
                                  <w:rPr>
                                    <w:sz w:val="20"/>
                                  </w:rPr>
                                  <w:t xml:space="preserve"> </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Files</w:t>
                                </w:r>
                              </w:p>
                            </w:tc>
                            <w:tc>
                              <w:tcPr>
                                <w:tcW w:w="1080" w:type="dxa"/>
                              </w:tcPr>
                              <w:p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Classes</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FC2950">
                                <w:pPr>
                                  <w:spacing w:after="0"/>
                                  <w:rPr>
                                    <w:sz w:val="20"/>
                                  </w:rPr>
                                </w:pPr>
                                <w:r>
                                  <w:rPr>
                                    <w:sz w:val="20"/>
                                  </w:rPr>
                                  <w:t>SQL Art.</w:t>
                                </w:r>
                              </w:p>
                            </w:tc>
                            <w:tc>
                              <w:tcPr>
                                <w:tcW w:w="1080"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D4239F">
                                <w:pPr>
                                  <w:spacing w:after="0"/>
                                  <w:ind w:left="288"/>
                                  <w:rPr>
                                    <w:sz w:val="20"/>
                                  </w:rPr>
                                </w:pPr>
                                <w:r>
                                  <w:rPr>
                                    <w:sz w:val="20"/>
                                  </w:rPr>
                                  <w:t>Tables</w:t>
                                </w:r>
                              </w:p>
                            </w:tc>
                            <w:tc>
                              <w:tcPr>
                                <w:tcW w:w="1080"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5F3783" w:rsidRDefault="00545179" w:rsidP="00676FBE"/>
                      </w:sdtContent>
                    </w:sdt>
                  </w:txbxContent>
                </v:textbox>
              </v:shape>
            </w:pict>
          </w:r>
          <w:r>
            <w:rPr>
              <w:noProof/>
              <w:lang w:eastAsia="en-GB"/>
            </w:rPr>
            <w:pict>
              <v:roundrect id="AutoShape 29" o:spid="_x0000_s1037"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545179" w:rsidP="00947142">
          <w:pPr>
            <w:pStyle w:val="Heading2"/>
            <w:rPr>
              <w:noProof/>
            </w:rPr>
          </w:pPr>
          <w:bookmarkStart w:id="7" w:name="_Toc345608361"/>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EndPr/>
                      <w:sdtContent>
                        <w:p w:rsidR="005F3783" w:rsidRDefault="005F3783" w:rsidP="00BC443C">
                          <w:r w:rsidRPr="004B6A71">
                            <w:rPr>
                              <w:noProof/>
                              <w:lang w:val="en-US"/>
                            </w:rPr>
                            <w:drawing>
                              <wp:inline distT="0" distB="0" distL="0" distR="0">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rsidR="00BC443C" w:rsidRPr="0083566E" w:rsidRDefault="00545179"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910D84" w:rsidRDefault="005F3783" w:rsidP="002A7157">
                                <w:pPr>
                                  <w:spacing w:after="0"/>
                                  <w:rPr>
                                    <w:sz w:val="20"/>
                                    <w:lang w:val="en-US"/>
                                  </w:rPr>
                                </w:pP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Curr. Vers</w:t>
                                </w:r>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Prev. Vers</w:t>
                                </w:r>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rsidR="005F3783" w:rsidRPr="00910D84" w:rsidRDefault="005F3783" w:rsidP="00404EC9"/>
                  </w:txbxContent>
                </v:textbox>
              </v:shape>
            </w:pict>
          </w:r>
          <w:r>
            <w:rPr>
              <w:b/>
              <w:noProof/>
              <w:lang w:eastAsia="en-GB"/>
            </w:rPr>
            <w:pict>
              <v:roundrect id="AutoShape 4" o:spid="_x0000_s1036"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545179"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1C3CB0CD8565412DB42347D4F9A52272"/>
              </w:placeholder>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608362"/>
          <w:r w:rsidRPr="0083566E">
            <w:rPr>
              <w:noProof/>
            </w:rPr>
            <w:t>Assessment Highlights</w:t>
          </w:r>
          <w:bookmarkEnd w:id="9"/>
        </w:p>
        <w:p w:rsidR="00910D84" w:rsidRPr="0083566E" w:rsidRDefault="00545179" w:rsidP="00D8400E">
          <w:pPr>
            <w:spacing w:after="0" w:line="240" w:lineRule="auto"/>
            <w:ind w:left="-720"/>
            <w:rPr>
              <w:noProof/>
              <w:lang w:val="en-US"/>
            </w:rPr>
          </w:pPr>
          <w:r>
            <w:rPr>
              <w:noProof/>
              <w:lang w:eastAsia="en-GB"/>
            </w:rPr>
            <w:pict>
              <v:shape id="Text Box 18" o:spid="_x0000_s1032"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A12407">
                                <w:pPr>
                                  <w:spacing w:after="0"/>
                                  <w:rPr>
                                    <w:sz w:val="20"/>
                                  </w:rPr>
                                </w:pPr>
                                <w:r w:rsidRPr="00BD137E">
                                  <w:rPr>
                                    <w:sz w:val="20"/>
                                  </w:rPr>
                                  <w:t>Name</w:t>
                                </w:r>
                              </w:p>
                            </w:tc>
                            <w:tc>
                              <w:tcPr>
                                <w:tcW w:w="1440" w:type="dxa"/>
                              </w:tcPr>
                              <w:p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rPr>
                                    <w:sz w:val="20"/>
                                  </w:rPr>
                                </w:pPr>
                                <w:r w:rsidRPr="00BD137E">
                                  <w:rPr>
                                    <w:sz w:val="20"/>
                                  </w:rPr>
                                  <w:t xml:space="preserve">Critical Violations </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ind w:left="288"/>
                                  <w:rPr>
                                    <w:sz w:val="20"/>
                                  </w:rPr>
                                </w:pPr>
                                <w:r w:rsidRPr="00BD137E">
                                  <w:rPr>
                                    <w:sz w:val="20"/>
                                  </w:rPr>
                                  <w:t>per File</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FC2950">
                                <w:pPr>
                                  <w:spacing w:after="0"/>
                                  <w:rPr>
                                    <w:sz w:val="20"/>
                                  </w:rPr>
                                </w:pPr>
                                <w:r w:rsidRPr="00BD137E">
                                  <w:rPr>
                                    <w:sz w:val="20"/>
                                  </w:rPr>
                                  <w:t>Complex Objects</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2A7157">
                                <w:pPr>
                                  <w:spacing w:after="0"/>
                                  <w:ind w:left="288"/>
                                  <w:rPr>
                                    <w:sz w:val="20"/>
                                  </w:rPr>
                                </w:pPr>
                                <w:r w:rsidRPr="00BD137E">
                                  <w:rPr>
                                    <w:sz w:val="20"/>
                                  </w:rPr>
                                  <w:t>with violations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5F3783" w:rsidRDefault="00545179" w:rsidP="00DA5EF9"/>
                      </w:sdtContent>
                    </w:sdt>
                    <w:p w:rsidR="005F3783" w:rsidRDefault="005F3783" w:rsidP="00DA5EF9"/>
                  </w:txbxContent>
                </v:textbox>
              </v:shape>
            </w:pict>
          </w:r>
          <w:r>
            <w:rPr>
              <w:noProof/>
              <w:lang w:eastAsia="en-GB"/>
            </w:rPr>
            <w:pict>
              <v:shape id="Text Box 19" o:spid="_x0000_s1033"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528"/>
                            <w:gridCol w:w="180"/>
                            <w:gridCol w:w="990"/>
                          </w:tblGrid>
                          <w:tr w:rsidR="005F3783" w:rsidRPr="001F169D" w:rsidTr="00D4583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28" w:type="dxa"/>
                              </w:tcPr>
                              <w:p w:rsidR="005F3783" w:rsidRPr="001F169D" w:rsidRDefault="005F3783" w:rsidP="00BF5D1A">
                                <w:pPr>
                                  <w:spacing w:after="0"/>
                                  <w:rPr>
                                    <w:sz w:val="20"/>
                                    <w:szCs w:val="20"/>
                                  </w:rPr>
                                </w:pPr>
                                <w:r w:rsidRPr="001F169D">
                                  <w:rPr>
                                    <w:sz w:val="20"/>
                                    <w:szCs w:val="20"/>
                                  </w:rPr>
                                  <w:t>Rules</w:t>
                                </w:r>
                              </w:p>
                            </w:tc>
                            <w:tc>
                              <w:tcPr>
                                <w:tcW w:w="1170" w:type="dxa"/>
                                <w:gridSpan w:val="2"/>
                              </w:tcPr>
                              <w:p w:rsidR="005F3783" w:rsidRPr="001F169D" w:rsidRDefault="005F3783" w:rsidP="00D4583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2</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3</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4</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5</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6</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7</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8</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9</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10</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5F3783" w:rsidRPr="00FD4C4F" w:rsidRDefault="005F3783" w:rsidP="00BD137E">
                      <w:pPr>
                        <w:spacing w:after="60" w:line="240" w:lineRule="auto"/>
                        <w:ind w:left="-90"/>
                        <w:rPr>
                          <w:b/>
                          <w:smallCaps/>
                          <w:color w:val="17365D" w:themeColor="text2" w:themeShade="BF"/>
                          <w:sz w:val="14"/>
                        </w:rPr>
                      </w:pPr>
                    </w:p>
                    <w:p w:rsidR="005F3783" w:rsidRDefault="005F3783" w:rsidP="00BD137E"/>
                  </w:txbxContent>
                </v:textbox>
              </v:shape>
            </w:pict>
          </w:r>
          <w:r>
            <w:rPr>
              <w:noProof/>
              <w:lang w:eastAsia="en-GB"/>
            </w:rPr>
            <w:pict>
              <v:roundrect id="AutoShape 2" o:spid="_x0000_s1035"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545179"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10" w:name="_Toc306010820"/>
      <w:bookmarkStart w:id="11" w:name="_Toc345608363"/>
      <w:r w:rsidRPr="0083566E">
        <w:rPr>
          <w:noProof/>
        </w:rPr>
        <w:lastRenderedPageBreak/>
        <w:t>Measures of Security</w:t>
      </w:r>
      <w:bookmarkEnd w:id="10"/>
      <w:bookmarkEnd w:id="11"/>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8330" w:type="dxa"/>
            <w:tblLook w:val="04A0" w:firstRow="1" w:lastRow="0" w:firstColumn="1" w:lastColumn="0" w:noHBand="0" w:noVBand="1"/>
          </w:tblPr>
          <w:tblGrid>
            <w:gridCol w:w="5920"/>
            <w:gridCol w:w="992"/>
            <w:gridCol w:w="1418"/>
          </w:tblGrid>
          <w:tr w:rsidR="00955454" w:rsidRPr="00955454" w:rsidTr="009554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tcPr>
              <w:p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992"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1418"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rsidR="00C62098" w:rsidRDefault="00C62098" w:rsidP="00C62098">
      <w:pPr>
        <w:jc w:val="both"/>
        <w:rPr>
          <w:noProof/>
          <w:sz w:val="20"/>
          <w:lang w:val="en-US"/>
        </w:rPr>
      </w:pPr>
      <w:bookmarkStart w:id="12" w:name="_Toc306010826"/>
    </w:p>
    <w:p w:rsidR="009E6B53" w:rsidRPr="0083566E" w:rsidRDefault="009E6B53" w:rsidP="009E6B53">
      <w:pPr>
        <w:pStyle w:val="Heading2"/>
        <w:rPr>
          <w:noProof/>
        </w:rPr>
      </w:pPr>
      <w:bookmarkStart w:id="13" w:name="_Toc306010802"/>
      <w:bookmarkStart w:id="14" w:name="_Toc345608364"/>
      <w:r w:rsidRPr="0083566E">
        <w:rPr>
          <w:noProof/>
        </w:rPr>
        <w:t>Importance of measuring all layers of an application</w:t>
      </w:r>
      <w:bookmarkEnd w:id="13"/>
      <w:bookmarkEnd w:id="14"/>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5F3783">
      <w:pPr>
        <w:pStyle w:val="Heading3"/>
        <w:ind w:hanging="52"/>
        <w:rPr>
          <w:noProof/>
        </w:rPr>
      </w:pPr>
      <w:bookmarkStart w:id="15" w:name="_Toc306010806"/>
      <w:bookmarkStart w:id="16" w:name="_Toc345608365"/>
      <w:r w:rsidRPr="0083566E">
        <w:rPr>
          <w:noProof/>
        </w:rPr>
        <w:lastRenderedPageBreak/>
        <w:t>Security Weaknesses.</w:t>
      </w:r>
      <w:bookmarkEnd w:id="15"/>
      <w:bookmarkEnd w:id="16"/>
      <w:r w:rsidRPr="0083566E">
        <w:rPr>
          <w:noProof/>
        </w:rPr>
        <w:t xml:space="preserve"> </w:t>
      </w:r>
    </w:p>
    <w:p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rsidR="005F3783" w:rsidRPr="00EE2FE0" w:rsidRDefault="005F3783" w:rsidP="005F3783">
      <w:pPr>
        <w:autoSpaceDE w:val="0"/>
        <w:autoSpaceDN w:val="0"/>
        <w:adjustRightInd w:val="0"/>
        <w:spacing w:after="0"/>
        <w:jc w:val="both"/>
        <w:rPr>
          <w:rFonts w:cs="Calibri"/>
          <w:bCs/>
          <w:noProof/>
          <w:sz w:val="20"/>
          <w:szCs w:val="20"/>
        </w:rPr>
      </w:pPr>
    </w:p>
    <w:p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648A054B" wp14:editId="1DFA00AA">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rsidR="005F3783" w:rsidRDefault="005F3783"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5. Security Weaknesses</w:t>
      </w:r>
    </w:p>
    <w:p w:rsidR="005F3783" w:rsidRPr="00737B2F" w:rsidRDefault="005F3783" w:rsidP="005F3783">
      <w:pPr>
        <w:pStyle w:val="Heading3"/>
        <w:numPr>
          <w:ilvl w:val="3"/>
          <w:numId w:val="1"/>
        </w:numPr>
        <w:rPr>
          <w:noProof/>
        </w:rPr>
      </w:pPr>
      <w:bookmarkStart w:id="17" w:name="_Toc341191944"/>
      <w:bookmarkStart w:id="18" w:name="_Toc345608366"/>
      <w:r w:rsidRPr="00737B2F">
        <w:rPr>
          <w:noProof/>
        </w:rPr>
        <w:t>OWASP 2010 - A1 – Injection Flaws</w:t>
      </w:r>
      <w:bookmarkEnd w:id="17"/>
      <w:bookmarkEnd w:id="18"/>
      <w:r w:rsidRPr="00737B2F">
        <w:rPr>
          <w:noProof/>
        </w:rPr>
        <w:t xml:space="preserve"> </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5000" w:type="pct"/>
        <w:tblLook w:val="04A0" w:firstRow="1" w:lastRow="0" w:firstColumn="1" w:lastColumn="0" w:noHBand="0" w:noVBand="1"/>
      </w:tblPr>
      <w:tblGrid>
        <w:gridCol w:w="9242"/>
      </w:tblGrid>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E66E1C"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E66E1C"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SQL injection vulnerabilities</w:t>
                </w:r>
              </w:p>
            </w:tc>
          </w:tr>
          <w:tr w:rsidR="00B56CBF" w:rsidRPr="00E66E1C"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LDAP injection vulnerabilities</w:t>
                </w:r>
              </w:p>
            </w:tc>
          </w:tr>
          <w:tr w:rsidR="00B56CBF" w:rsidRPr="00E66E1C"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5F3783">
      <w:pPr>
        <w:rPr>
          <w:rFonts w:cs="Calibri"/>
          <w:bCs/>
          <w:noProof/>
          <w:sz w:val="20"/>
          <w:szCs w:val="20"/>
          <w:lang w:val="en-US"/>
        </w:rPr>
      </w:pPr>
    </w:p>
    <w:p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E66E1C"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rPr>
          <w:rFonts w:cs="Calibri"/>
          <w:bCs/>
          <w:noProof/>
          <w:sz w:val="20"/>
          <w:szCs w:val="20"/>
          <w:lang w:val="en-US"/>
        </w:rPr>
      </w:pPr>
    </w:p>
    <w:p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rsidR="005F3783" w:rsidRPr="00737B2F" w:rsidRDefault="005F3783" w:rsidP="005F3783">
      <w:pPr>
        <w:pStyle w:val="Heading3"/>
        <w:numPr>
          <w:ilvl w:val="3"/>
          <w:numId w:val="1"/>
        </w:numPr>
        <w:rPr>
          <w:noProof/>
        </w:rPr>
      </w:pPr>
      <w:bookmarkStart w:id="19" w:name="_Toc341191945"/>
      <w:bookmarkStart w:id="20" w:name="_Toc345608367"/>
      <w:r w:rsidRPr="00737B2F">
        <w:rPr>
          <w:noProof/>
        </w:rPr>
        <w:lastRenderedPageBreak/>
        <w:t>OWASP 2010 - A2 – Cross Site Scripting (XSS)</w:t>
      </w:r>
      <w:bookmarkEnd w:id="19"/>
      <w:bookmarkEnd w:id="20"/>
      <w:r w:rsidRPr="00737B2F">
        <w:rPr>
          <w:noProof/>
        </w:rPr>
        <w:t xml:space="preserve"> </w:t>
      </w:r>
    </w:p>
    <w:p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E66E1C"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jc w:val="both"/>
        <w:rPr>
          <w:sz w:val="20"/>
        </w:rPr>
      </w:pPr>
    </w:p>
    <w:p w:rsidR="005F3783" w:rsidRDefault="005F3783" w:rsidP="005F3783">
      <w:pPr>
        <w:spacing w:after="0" w:line="240" w:lineRule="auto"/>
        <w:rPr>
          <w:noProof/>
          <w:sz w:val="20"/>
          <w:lang w:val="en-US"/>
        </w:rPr>
      </w:pPr>
      <w:r>
        <w:rPr>
          <w:noProof/>
          <w:sz w:val="20"/>
          <w:lang w:val="en-US"/>
        </w:rPr>
        <w:br w:type="page"/>
      </w:r>
    </w:p>
    <w:p w:rsidR="005F3783" w:rsidRPr="0083566E" w:rsidRDefault="005F3783" w:rsidP="005F3783">
      <w:pPr>
        <w:pStyle w:val="Heading3"/>
        <w:ind w:hanging="52"/>
        <w:rPr>
          <w:noProof/>
        </w:rPr>
      </w:pPr>
      <w:bookmarkStart w:id="21" w:name="_Toc306010807"/>
      <w:bookmarkStart w:id="22" w:name="_Toc345608368"/>
      <w:r w:rsidRPr="0083566E">
        <w:rPr>
          <w:noProof/>
        </w:rPr>
        <w:lastRenderedPageBreak/>
        <w:t>Lack of Defensive Mechanisms.</w:t>
      </w:r>
      <w:bookmarkEnd w:id="21"/>
      <w:bookmarkEnd w:id="22"/>
      <w:r w:rsidRPr="0083566E">
        <w:rPr>
          <w:noProof/>
        </w:rPr>
        <w:t xml:space="preserve"> </w:t>
      </w:r>
    </w:p>
    <w:p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1" w:history="1">
        <w:r w:rsidRPr="00B77E0E">
          <w:rPr>
            <w:sz w:val="20"/>
          </w:rPr>
          <w:t>http://www.sans.org/top25-programming-errors/</w:t>
        </w:r>
      </w:hyperlink>
      <w:r w:rsidRPr="00B77E0E">
        <w:rPr>
          <w:sz w:val="20"/>
        </w:rPr>
        <w:t xml:space="preserve"> ) </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rsidR="005F3783" w:rsidRPr="00737B2F" w:rsidRDefault="005F3783" w:rsidP="005F3783">
      <w:pPr>
        <w:pStyle w:val="Heading3"/>
        <w:numPr>
          <w:ilvl w:val="3"/>
          <w:numId w:val="1"/>
        </w:numPr>
        <w:rPr>
          <w:noProof/>
        </w:rPr>
      </w:pPr>
      <w:bookmarkStart w:id="23" w:name="_Toc341191946"/>
      <w:bookmarkStart w:id="24" w:name="_Toc345608369"/>
      <w:r w:rsidRPr="00737B2F">
        <w:rPr>
          <w:noProof/>
        </w:rPr>
        <w:t>OWASP 2010 - A8 – Insecure Cryptographic Storage</w:t>
      </w:r>
      <w:bookmarkEnd w:id="23"/>
      <w:bookmarkEnd w:id="24"/>
    </w:p>
    <w:p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rsidR="005F3783" w:rsidRPr="00737B2F" w:rsidRDefault="005F3783" w:rsidP="005F3783">
      <w:pPr>
        <w:jc w:val="both"/>
        <w:rPr>
          <w:sz w:val="20"/>
        </w:rPr>
      </w:pPr>
      <w:proofErr w:type="gramStart"/>
      <w:r w:rsidRPr="00737B2F">
        <w:rPr>
          <w:sz w:val="20"/>
        </w:rPr>
        <w:t>”Do</w:t>
      </w:r>
      <w:proofErr w:type="gramEnd"/>
      <w:r w:rsidRPr="00737B2F">
        <w:rPr>
          <w:sz w:val="20"/>
        </w:rPr>
        <w:t xml:space="preserve"> not use weak algorithms, such as MD5 / SHA1. Favour safer alternatives, such as SHA-256 or better”.</w:t>
      </w:r>
    </w:p>
    <w:p w:rsidR="005F3783" w:rsidRPr="00737B2F" w:rsidRDefault="005F3783" w:rsidP="005F3783">
      <w:pPr>
        <w:jc w:val="both"/>
        <w:rPr>
          <w:sz w:val="20"/>
        </w:rPr>
      </w:pPr>
      <w:r w:rsidRPr="00737B2F">
        <w:rPr>
          <w:sz w:val="20"/>
        </w:rPr>
        <w:t xml:space="preserve"> Custom quality rule checks for A8 will check that these wrong API are not used.</w:t>
      </w:r>
    </w:p>
    <w:p w:rsidR="005F3783" w:rsidRPr="00737B2F" w:rsidRDefault="005F3783" w:rsidP="005F3783">
      <w:pPr>
        <w:pStyle w:val="Heading3"/>
        <w:numPr>
          <w:ilvl w:val="3"/>
          <w:numId w:val="1"/>
        </w:numPr>
        <w:rPr>
          <w:noProof/>
        </w:rPr>
      </w:pPr>
      <w:bookmarkStart w:id="25" w:name="_Toc341191947"/>
      <w:bookmarkStart w:id="26" w:name="_Toc345608370"/>
      <w:r w:rsidRPr="00737B2F">
        <w:rPr>
          <w:noProof/>
        </w:rPr>
        <w:t>OWASP 2007 - A6 – Information Leakage and Improper Error Handling</w:t>
      </w:r>
      <w:bookmarkEnd w:id="25"/>
      <w:bookmarkEnd w:id="26"/>
    </w:p>
    <w:p w:rsidR="005F3783" w:rsidRDefault="005F3783" w:rsidP="005F3783">
      <w:pPr>
        <w:rPr>
          <w:szCs w:val="28"/>
        </w:rPr>
      </w:pPr>
    </w:p>
    <w:p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rsidR="005F3783" w:rsidRPr="00737B2F" w:rsidRDefault="005F3783" w:rsidP="005F3783">
      <w:pPr>
        <w:jc w:val="both"/>
        <w:rPr>
          <w:sz w:val="20"/>
        </w:rPr>
      </w:pPr>
      <w:r w:rsidRPr="00737B2F">
        <w:rPr>
          <w:sz w:val="20"/>
        </w:rPr>
        <w:t>CAST supports the protection against “A6 – Information Leakage and Improper Error Handling” thru the use of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5000" w:type="pct"/>
            <w:tblLook w:val="04A0" w:firstRow="1" w:lastRow="0" w:firstColumn="1" w:lastColumn="0" w:noHBand="0" w:noVBand="1"/>
          </w:tblPr>
          <w:tblGrid>
            <w:gridCol w:w="9242"/>
          </w:tblGrid>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catch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finally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throwing an exception of type Exception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lastRenderedPageBreak/>
                  <w:t xml:space="preserve">ABAP: Avoid missing WHEN OTHERS in CASE statements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ASP: Use of error handling page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DISPLAY ... UPON CONSOLE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ABEND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CONDITION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IGNORE CONDITION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 blocks with assertion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catching an exception of type Exception, </w:t>
                </w:r>
                <w:proofErr w:type="spellStart"/>
                <w:r w:rsidRPr="00D34337">
                  <w:rPr>
                    <w:sz w:val="20"/>
                  </w:rPr>
                  <w:t>RuntimeException</w:t>
                </w:r>
                <w:proofErr w:type="spellEnd"/>
                <w:r w:rsidRPr="00D34337">
                  <w:rPr>
                    <w:sz w:val="20"/>
                  </w:rPr>
                  <w:t xml:space="preserve">, or Throwable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direct Class inheritance from </w:t>
                </w:r>
                <w:proofErr w:type="spellStart"/>
                <w:proofErr w:type="gramStart"/>
                <w:r w:rsidRPr="00D34337">
                  <w:rPr>
                    <w:sz w:val="20"/>
                  </w:rPr>
                  <w:t>java.lang</w:t>
                </w:r>
                <w:proofErr w:type="gramEnd"/>
                <w:r w:rsidRPr="00D34337">
                  <w:rPr>
                    <w:sz w:val="20"/>
                  </w:rPr>
                  <w:t>.Throwable</w:t>
                </w:r>
                <w:proofErr w:type="spellEnd"/>
                <w:r w:rsidRPr="00D34337">
                  <w:rPr>
                    <w:sz w:val="20"/>
                  </w:rPr>
                  <w:t xml:space="preserv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catch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finally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return statements in finally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java.lang</w:t>
                </w:r>
                <w:proofErr w:type="gramEnd"/>
                <w:r w:rsidRPr="00D34337">
                  <w:rPr>
                    <w:sz w:val="20"/>
                  </w:rPr>
                  <w:t>.Error</w:t>
                </w:r>
                <w:proofErr w:type="spellEnd"/>
                <w:r w:rsidRPr="00D34337">
                  <w:rPr>
                    <w:sz w:val="20"/>
                  </w:rPr>
                  <w:t xml:space="preserv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java.System.exit</w:t>
                </w:r>
                <w:proofErr w:type="spellEnd"/>
                <w:proofErr w:type="gramEnd"/>
                <w:r w:rsidRPr="00D34337">
                  <w:rPr>
                    <w:sz w:val="20"/>
                  </w:rPr>
                  <w:t xml:space="preserv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outside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within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outside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within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JSP: Pages should use error handling page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PL-SQL: Use WHEN OTHERS in exception management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VB: Use a single Error Handling Method</w:t>
                </w:r>
              </w:p>
            </w:tc>
          </w:tr>
        </w:tbl>
      </w:sdtContent>
    </w:sdt>
    <w:p w:rsidR="005F3783" w:rsidRDefault="005F3783" w:rsidP="005F3783">
      <w:pPr>
        <w:rPr>
          <w:lang w:val="en-US"/>
        </w:rPr>
      </w:pPr>
      <w:bookmarkStart w:id="27" w:name="_Toc341191948"/>
    </w:p>
    <w:p w:rsidR="005F3783" w:rsidRDefault="005F3783">
      <w:pPr>
        <w:spacing w:after="0" w:line="240" w:lineRule="auto"/>
        <w:rPr>
          <w:lang w:val="en-US"/>
        </w:rPr>
      </w:pPr>
      <w:r>
        <w:rPr>
          <w:lang w:val="en-US"/>
        </w:rPr>
        <w:br w:type="page"/>
      </w:r>
    </w:p>
    <w:p w:rsidR="005F3783" w:rsidRPr="00737B2F" w:rsidRDefault="005F3783" w:rsidP="005F3783">
      <w:pPr>
        <w:pStyle w:val="Heading3"/>
        <w:numPr>
          <w:ilvl w:val="3"/>
          <w:numId w:val="1"/>
        </w:numPr>
        <w:rPr>
          <w:noProof/>
        </w:rPr>
      </w:pPr>
      <w:bookmarkStart w:id="28" w:name="_Toc345608371"/>
      <w:r w:rsidRPr="00737B2F">
        <w:rPr>
          <w:noProof/>
        </w:rPr>
        <w:lastRenderedPageBreak/>
        <w:t>Other OWASP vulnerabilities:</w:t>
      </w:r>
      <w:bookmarkEnd w:id="27"/>
      <w:bookmarkEnd w:id="28"/>
    </w:p>
    <w:p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Log forging vulnerabilities</w:t>
                </w:r>
              </w:p>
            </w:tc>
          </w:tr>
          <w:tr w:rsidR="005F3783" w:rsidRPr="00E66E1C"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Pr="0083566E" w:rsidRDefault="009E6B53" w:rsidP="00EE2FE0">
      <w:pPr>
        <w:pStyle w:val="Heading3"/>
        <w:ind w:hanging="52"/>
        <w:rPr>
          <w:noProof/>
        </w:rPr>
      </w:pPr>
      <w:bookmarkStart w:id="29" w:name="_Toc306010803"/>
      <w:bookmarkStart w:id="30" w:name="_Toc345608372"/>
      <w:r w:rsidRPr="0083566E">
        <w:rPr>
          <w:noProof/>
        </w:rPr>
        <w:t>Bypassing the Architecture.</w:t>
      </w:r>
      <w:bookmarkEnd w:id="29"/>
      <w:bookmarkEnd w:id="30"/>
      <w:r w:rsidRPr="0083566E">
        <w:rPr>
          <w:noProof/>
        </w:rPr>
        <w:t xml:space="preserve"> </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1AF83B3F" wp14:editId="4005B049">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61914"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61914" w:rsidRDefault="00561914"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1" w:name="_Toc306010804"/>
      <w:bookmarkStart w:id="32" w:name="_Toc345608373"/>
      <w:r w:rsidRPr="0083566E">
        <w:rPr>
          <w:noProof/>
        </w:rPr>
        <w:lastRenderedPageBreak/>
        <w:t>Failure to Control Processing Volumes.</w:t>
      </w:r>
      <w:bookmarkEnd w:id="31"/>
      <w:bookmarkEnd w:id="32"/>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3548B68A" wp14:editId="418F93B1">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rsidR="00EE2FE0" w:rsidRDefault="00EE2FE0" w:rsidP="00EE2FE0">
      <w:pPr>
        <w:autoSpaceDE w:val="0"/>
        <w:autoSpaceDN w:val="0"/>
        <w:adjustRightInd w:val="0"/>
        <w:spacing w:after="0"/>
        <w:jc w:val="center"/>
        <w:rPr>
          <w:rFonts w:cs="Calibri"/>
          <w:bCs/>
          <w:noProof/>
          <w:sz w:val="20"/>
          <w:szCs w:val="20"/>
          <w:lang w:val="en-US"/>
        </w:rPr>
      </w:pPr>
    </w:p>
    <w:p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F3783"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F3783" w:rsidRDefault="005F3783">
      <w:pPr>
        <w:spacing w:after="0" w:line="240" w:lineRule="auto"/>
        <w:rPr>
          <w:noProof/>
          <w:sz w:val="20"/>
          <w:lang w:val="en-US"/>
        </w:rPr>
      </w:pPr>
    </w:p>
    <w:p w:rsidR="005F3783" w:rsidRDefault="005F3783">
      <w:pPr>
        <w:spacing w:after="0" w:line="240" w:lineRule="auto"/>
        <w:rPr>
          <w:noProof/>
          <w:sz w:val="20"/>
          <w:lang w:val="en-US"/>
        </w:rPr>
      </w:pPr>
    </w:p>
    <w:p w:rsidR="005F3783" w:rsidRDefault="005F3783">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3" w:name="_Toc306010805"/>
      <w:bookmarkStart w:id="34" w:name="_Toc345608374"/>
      <w:r w:rsidRPr="0083566E">
        <w:rPr>
          <w:noProof/>
        </w:rPr>
        <w:lastRenderedPageBreak/>
        <w:t>Application Resource Imbalances.</w:t>
      </w:r>
      <w:bookmarkEnd w:id="33"/>
      <w:bookmarkEnd w:id="34"/>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3C21B2AF" wp14:editId="73D0C50E">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rsidR="00534612" w:rsidRDefault="00534612"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A45DD4" w:rsidRPr="0083566E" w:rsidRDefault="0037462F">
      <w:pPr>
        <w:pStyle w:val="Heading1"/>
        <w:rPr>
          <w:noProof/>
        </w:rPr>
      </w:pPr>
      <w:bookmarkStart w:id="35" w:name="_Toc345608375"/>
      <w:bookmarkEnd w:id="12"/>
      <w:r w:rsidRPr="0083566E">
        <w:rPr>
          <w:noProof/>
        </w:rPr>
        <w:lastRenderedPageBreak/>
        <w:t>Appendix - Assessment Approach Overview</w:t>
      </w:r>
      <w:bookmarkEnd w:id="35"/>
      <w:r w:rsidRPr="0083566E">
        <w:rPr>
          <w:noProof/>
        </w:rPr>
        <w:t xml:space="preserve"> </w:t>
      </w:r>
    </w:p>
    <w:p w:rsidR="0075006F" w:rsidRPr="0083566E" w:rsidRDefault="00545179"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4"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rsidR="005F3783" w:rsidRDefault="005F3783"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5F3783" w:rsidRDefault="005F3783" w:rsidP="0075006F"/>
                <w:p w:rsidR="005F3783" w:rsidRDefault="005F3783" w:rsidP="0075006F"/>
                <w:p w:rsidR="005F3783" w:rsidRDefault="005F3783" w:rsidP="0075006F">
                  <w:pPr>
                    <w:pStyle w:val="CSCaption"/>
                  </w:pPr>
                </w:p>
                <w:p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EB71E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36" w:name="_Toc345608376"/>
      <w:r w:rsidRPr="0083566E">
        <w:rPr>
          <w:noProof/>
        </w:rPr>
        <w:lastRenderedPageBreak/>
        <w:t>Appendix: Understanding Quality Indicators, Quality Rules</w:t>
      </w:r>
      <w:bookmarkEnd w:id="36"/>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534612" w:rsidRDefault="00534612" w:rsidP="00534612">
      <w:pPr>
        <w:pStyle w:val="Heading1"/>
        <w:rPr>
          <w:noProof/>
        </w:rPr>
      </w:pPr>
      <w:bookmarkStart w:id="37" w:name="_Toc345608377"/>
      <w:r w:rsidRPr="00534612">
        <w:rPr>
          <w:noProof/>
        </w:rPr>
        <w:lastRenderedPageBreak/>
        <w:t>Appendix: CWE/SANS Top 25</w:t>
      </w:r>
      <w:bookmarkEnd w:id="37"/>
    </w:p>
    <w:p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rsidTr="00522F9C">
        <w:trPr>
          <w:trHeight w:val="288"/>
        </w:trPr>
        <w:tc>
          <w:tcPr>
            <w:tcW w:w="5000" w:type="pct"/>
            <w:gridSpan w:val="15"/>
            <w:tcBorders>
              <w:top w:val="nil"/>
              <w:left w:val="nil"/>
              <w:bottom w:val="nil"/>
              <w:right w:val="nil"/>
            </w:tcBorders>
            <w:shd w:val="clear" w:color="000000" w:fill="FFFFFF"/>
            <w:noWrap/>
            <w:vAlign w:val="bottom"/>
            <w:hideMark/>
          </w:tcPr>
          <w:p w:rsidR="00522F9C" w:rsidRPr="00534612" w:rsidRDefault="00522F9C" w:rsidP="00522F9C">
            <w:pPr>
              <w:spacing w:after="0" w:line="240" w:lineRule="auto"/>
              <w:jc w:val="center"/>
              <w:rPr>
                <w:rFonts w:eastAsia="Times New Roman"/>
                <w:color w:val="000000"/>
                <w:sz w:val="18"/>
                <w:szCs w:val="18"/>
                <w:lang w:val="en-US"/>
              </w:rPr>
            </w:pPr>
            <w:bookmarkStart w:id="38" w:name="RANGE!B2:D45"/>
            <w:r w:rsidRPr="00534612">
              <w:rPr>
                <w:rFonts w:eastAsia="Times New Roman"/>
                <w:b/>
                <w:bCs/>
                <w:color w:val="000000"/>
                <w:sz w:val="36"/>
                <w:szCs w:val="36"/>
                <w:lang w:val="en-US"/>
              </w:rPr>
              <w:t>2011 CWE/SANS Top 25 Most Dangerous Software Errors</w:t>
            </w:r>
            <w:bookmarkEnd w:id="38"/>
          </w:p>
        </w:tc>
      </w:tr>
      <w:tr w:rsidR="00522F9C" w:rsidRPr="00534612" w:rsidTr="00522F9C">
        <w:trPr>
          <w:trHeight w:val="87"/>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rsidTr="00522F9C">
        <w:trPr>
          <w:trHeight w:val="240"/>
        </w:trPr>
        <w:tc>
          <w:tcPr>
            <w:tcW w:w="287" w:type="pct"/>
            <w:tcBorders>
              <w:top w:val="nil"/>
              <w:left w:val="single" w:sz="4" w:space="0" w:color="auto"/>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configuring file</w:t>
            </w:r>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rsidTr="00522F9C">
        <w:trPr>
          <w:trHeight w:val="525"/>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rsidTr="00522F9C">
        <w:trPr>
          <w:trHeight w:val="240"/>
        </w:trPr>
        <w:tc>
          <w:tcPr>
            <w:tcW w:w="5000" w:type="pct"/>
            <w:gridSpan w:val="15"/>
            <w:tcBorders>
              <w:top w:val="nil"/>
              <w:left w:val="nil"/>
              <w:bottom w:val="nil"/>
              <w:right w:val="nil"/>
            </w:tcBorders>
            <w:shd w:val="clear" w:color="000000" w:fill="FFFFFF"/>
            <w:vAlign w:val="bottom"/>
            <w:hideMark/>
          </w:tcPr>
          <w:p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avoid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Store passwords, keys, and other credentials outside of the code in a strongly-protected,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could be </w:t>
            </w:r>
            <w:proofErr w:type="gramStart"/>
            <w:r w:rsidRPr="00534612">
              <w:rPr>
                <w:rFonts w:eastAsia="Times New Roman"/>
                <w:color w:val="000000"/>
                <w:sz w:val="18"/>
                <w:szCs w:val="18"/>
                <w:lang w:val="en-US"/>
              </w:rPr>
              <w:t>develop</w:t>
            </w:r>
            <w:proofErr w:type="gramEnd"/>
            <w:r w:rsidRPr="00534612">
              <w:rPr>
                <w:rFonts w:eastAsia="Times New Roman"/>
                <w:color w:val="000000"/>
                <w:sz w:val="18"/>
                <w:szCs w:val="18"/>
                <w:lang w:val="en-US"/>
              </w:rPr>
              <w:t xml:space="preserve">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w:t>
            </w:r>
            <w:proofErr w:type="spellStart"/>
            <w:r w:rsidRPr="00534612">
              <w:rPr>
                <w:rFonts w:eastAsia="Times New Roman"/>
                <w:color w:val="000000"/>
                <w:sz w:val="18"/>
                <w:szCs w:val="18"/>
                <w:lang w:val="en-US"/>
              </w:rPr>
              <w:t>usecase</w:t>
            </w:r>
            <w:proofErr w:type="spellEnd"/>
            <w:r w:rsidRPr="00534612">
              <w:rPr>
                <w:rFonts w:eastAsia="Times New Roman"/>
                <w:color w:val="000000"/>
                <w:sz w:val="18"/>
                <w:szCs w:val="18"/>
                <w:lang w:val="en-US"/>
              </w:rPr>
              <w:t>.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mechanism identify the different permissions that the software and its users will need to perform their actions, such as file read and write permissions, network socket permissions, and so forth. Then raise </w:t>
            </w:r>
            <w:proofErr w:type="spellStart"/>
            <w:r w:rsidRPr="00534612">
              <w:rPr>
                <w:rFonts w:eastAsia="Times New Roman"/>
                <w:color w:val="000000"/>
                <w:sz w:val="18"/>
                <w:szCs w:val="18"/>
                <w:lang w:val="en-US"/>
              </w:rPr>
              <w:t>voilations</w:t>
            </w:r>
            <w:proofErr w:type="spellEnd"/>
            <w:r w:rsidRPr="00534612">
              <w:rPr>
                <w:rFonts w:eastAsia="Times New Roman"/>
                <w:color w:val="000000"/>
                <w:sz w:val="18"/>
                <w:szCs w:val="18"/>
                <w:lang w:val="en-US"/>
              </w:rPr>
              <w:t xml:space="preserve">,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by checking use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CAST detects following security vulnerabilities identified by OWASP &amp; CWE (not part of top-25):</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rsidR="00534612" w:rsidRPr="0083566E" w:rsidRDefault="00534612">
      <w:pPr>
        <w:spacing w:after="0" w:line="240" w:lineRule="auto"/>
        <w:rPr>
          <w:rFonts w:asciiTheme="minorHAnsi" w:eastAsia="Times New Roman" w:hAnsiTheme="minorHAnsi" w:cstheme="minorHAnsi"/>
          <w:noProof/>
          <w:sz w:val="20"/>
          <w:szCs w:val="20"/>
          <w:lang w:val="en-US"/>
        </w:rPr>
      </w:pPr>
      <w:bookmarkStart w:id="39" w:name="_GoBack"/>
      <w:bookmarkEnd w:id="39"/>
    </w:p>
    <w:sectPr w:rsidR="00534612" w:rsidRPr="0083566E" w:rsidSect="00CA368E">
      <w:headerReference w:type="default" r:id="rId18"/>
      <w:footerReference w:type="default" r:id="rId19"/>
      <w:footerReference w:type="first" r:id="rId20"/>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179" w:rsidRDefault="00545179" w:rsidP="0019160A">
      <w:pPr>
        <w:spacing w:after="0" w:line="240" w:lineRule="auto"/>
      </w:pPr>
      <w:r>
        <w:separator/>
      </w:r>
    </w:p>
  </w:endnote>
  <w:endnote w:type="continuationSeparator" w:id="0">
    <w:p w:rsidR="00545179" w:rsidRDefault="0054517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EB71E5">
      <w:rPr>
        <w:noProof/>
      </w:rPr>
      <w:t>20</w:t>
    </w:r>
    <w:r w:rsidR="00104A7B">
      <w:rPr>
        <w:noProof/>
      </w:rPr>
      <w:fldChar w:fldCharType="end"/>
    </w:r>
    <w:r>
      <w:t xml:space="preserve">    </w:t>
    </w:r>
    <w:r>
      <w:rPr>
        <w:noProof/>
        <w:lang w:val="en-US"/>
      </w:rPr>
      <w:drawing>
        <wp:inline distT="0" distB="0" distL="0" distR="0">
          <wp:extent cx="1791606" cy="35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Default="005F3783" w:rsidP="003D5875">
    <w:pPr>
      <w:pStyle w:val="Footer"/>
      <w:jc w:val="right"/>
    </w:pPr>
    <w:r>
      <w:rPr>
        <w:noProof/>
        <w:lang w:val="en-US"/>
      </w:rPr>
      <w:drawing>
        <wp:inline distT="0" distB="0" distL="0" distR="0">
          <wp:extent cx="1791606" cy="35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179" w:rsidRDefault="00545179" w:rsidP="0019160A">
      <w:pPr>
        <w:spacing w:after="0" w:line="240" w:lineRule="auto"/>
      </w:pPr>
      <w:r>
        <w:separator/>
      </w:r>
    </w:p>
  </w:footnote>
  <w:footnote w:type="continuationSeparator" w:id="0">
    <w:p w:rsidR="00545179" w:rsidRDefault="00545179"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5F3783" w:rsidRDefault="005F378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304D"/>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0DED"/>
    <w:rsid w:val="004F3442"/>
    <w:rsid w:val="004F54B8"/>
    <w:rsid w:val="005029A8"/>
    <w:rsid w:val="005105BC"/>
    <w:rsid w:val="00511A0D"/>
    <w:rsid w:val="00516C7E"/>
    <w:rsid w:val="0052035B"/>
    <w:rsid w:val="00522F9C"/>
    <w:rsid w:val="00532713"/>
    <w:rsid w:val="00534137"/>
    <w:rsid w:val="00534612"/>
    <w:rsid w:val="00535302"/>
    <w:rsid w:val="0054517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4B29"/>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174D"/>
    <w:rsid w:val="007C2F4D"/>
    <w:rsid w:val="007D3CEF"/>
    <w:rsid w:val="007E037D"/>
    <w:rsid w:val="007E4CB1"/>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3F6E"/>
    <w:rsid w:val="009B4E6A"/>
    <w:rsid w:val="009D5D9D"/>
    <w:rsid w:val="009E6B53"/>
    <w:rsid w:val="009F02F9"/>
    <w:rsid w:val="009F043A"/>
    <w:rsid w:val="009F684B"/>
    <w:rsid w:val="009F7BF3"/>
    <w:rsid w:val="00A03A0F"/>
    <w:rsid w:val="00A069A7"/>
    <w:rsid w:val="00A12407"/>
    <w:rsid w:val="00A15FFC"/>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4583B"/>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66E1C"/>
    <w:rsid w:val="00E76C16"/>
    <w:rsid w:val="00E76F7D"/>
    <w:rsid w:val="00E91A2C"/>
    <w:rsid w:val="00E95CA5"/>
    <w:rsid w:val="00E95D45"/>
    <w:rsid w:val="00EB05A1"/>
    <w:rsid w:val="00EB39E2"/>
    <w:rsid w:val="00EB71E5"/>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E2750"/>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s.org/top25-programming-error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E52-4152-B905-BA860E7DB31B}"/>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E52-4152-B905-BA860E7DB31B}"/>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1E52-4152-B905-BA860E7DB31B}"/>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F8ED-4D85-BDCD-BE0BCB05186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F8ED-4D85-BDCD-BE0BCB051863}"/>
            </c:ext>
          </c:extLst>
        </c:ser>
        <c:dLbls>
          <c:showLegendKey val="0"/>
          <c:showVal val="0"/>
          <c:showCatName val="0"/>
          <c:showSerName val="0"/>
          <c:showPercent val="0"/>
          <c:showBubbleSize val="0"/>
        </c:dLbls>
        <c:axId val="417170192"/>
        <c:axId val="417170584"/>
      </c:radarChart>
      <c:catAx>
        <c:axId val="41717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17170584"/>
        <c:crosses val="autoZero"/>
        <c:auto val="1"/>
        <c:lblAlgn val="ctr"/>
        <c:lblOffset val="100"/>
        <c:noMultiLvlLbl val="0"/>
      </c:catAx>
      <c:valAx>
        <c:axId val="41717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17170192"/>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3CB0CD8565412DB42347D4F9A52272"/>
        <w:category>
          <w:name w:val="General"/>
          <w:gallery w:val="placeholder"/>
        </w:category>
        <w:types>
          <w:type w:val="bbPlcHdr"/>
        </w:types>
        <w:behaviors>
          <w:behavior w:val="content"/>
        </w:behaviors>
        <w:guid w:val="{2D9C8257-DE21-4DAA-ACD6-BFFF7A1057FF}"/>
      </w:docPartPr>
      <w:docPartBody>
        <w:p w:rsidR="00F640C8" w:rsidRDefault="003F6706" w:rsidP="003F6706">
          <w:pPr>
            <w:pStyle w:val="1C3CB0CD8565412DB42347D4F9A52272"/>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3000509000000000000"/>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06"/>
    <w:rsid w:val="003F6706"/>
    <w:rsid w:val="00C5002C"/>
    <w:rsid w:val="00F640C8"/>
    <w:rsid w:val="00F8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CB0CD8565412DB42347D4F9A52272">
    <w:name w:val="1C3CB0CD8565412DB42347D4F9A52272"/>
    <w:rsid w:val="003F6706"/>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AEFD6-AA2F-4048-B6D0-18DA8BD7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2019-01-21T10:23:00Z</dcterms:modified>
  <cp:version/>
</cp:coreProperties>
</file>