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C64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0C64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11654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11654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C64B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25646061"/>
      <w:r w:rsidR="00D36C46">
        <w:t>Table of Content</w:t>
      </w:r>
      <w:bookmarkEnd w:id="1"/>
      <w:r w:rsidR="00020F50">
        <w:tab/>
      </w:r>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8422D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7113D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 Top 25 violations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DD1DE8B"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CWE-131– Incorrect Calculation of Buffer Size</w:t>
      </w:r>
      <w:r>
        <w:rPr>
          <w:noProof/>
        </w:rPr>
        <w:tab/>
      </w:r>
      <w:r>
        <w:rPr>
          <w:noProof/>
        </w:rPr>
        <w:fldChar w:fldCharType="begin"/>
      </w:r>
      <w:r>
        <w:rPr>
          <w:noProof/>
        </w:rPr>
        <w:instrText xml:space="preserve"> PAGEREF _Toc525646071 \h </w:instrText>
      </w:r>
      <w:r>
        <w:rPr>
          <w:noProof/>
        </w:rPr>
      </w:r>
      <w:r>
        <w:rPr>
          <w:noProof/>
        </w:rPr>
        <w:fldChar w:fldCharType="separate"/>
      </w:r>
      <w:r>
        <w:rPr>
          <w:noProof/>
        </w:rPr>
        <w:t>6</w:t>
      </w:r>
      <w:r>
        <w:rPr>
          <w:noProof/>
        </w:rPr>
        <w:fldChar w:fldCharType="end"/>
      </w:r>
    </w:p>
    <w:p w14:paraId="1EC98159" w14:textId="71688EE0"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CWE-134 – Use of Externally-Controlled Format String</w:t>
      </w:r>
      <w:r>
        <w:rPr>
          <w:noProof/>
        </w:rPr>
        <w:tab/>
      </w:r>
      <w:r>
        <w:rPr>
          <w:noProof/>
        </w:rPr>
        <w:fldChar w:fldCharType="begin"/>
      </w:r>
      <w:r>
        <w:rPr>
          <w:noProof/>
        </w:rPr>
        <w:instrText xml:space="preserve"> PAGEREF _Toc525646072 \h </w:instrText>
      </w:r>
      <w:r>
        <w:rPr>
          <w:noProof/>
        </w:rPr>
      </w:r>
      <w:r>
        <w:rPr>
          <w:noProof/>
        </w:rPr>
        <w:fldChar w:fldCharType="separate"/>
      </w:r>
      <w:r>
        <w:rPr>
          <w:noProof/>
        </w:rPr>
        <w:t>7</w:t>
      </w:r>
      <w:r>
        <w:rPr>
          <w:noProof/>
        </w:rPr>
        <w:fldChar w:fldCharType="end"/>
      </w:r>
    </w:p>
    <w:p w14:paraId="3373F951" w14:textId="6D21DE54"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CWE-190 – Integer Overflow or Wraparound</w:t>
      </w:r>
      <w:r>
        <w:rPr>
          <w:noProof/>
        </w:rPr>
        <w:tab/>
      </w:r>
      <w:r>
        <w:rPr>
          <w:noProof/>
        </w:rPr>
        <w:fldChar w:fldCharType="begin"/>
      </w:r>
      <w:r>
        <w:rPr>
          <w:noProof/>
        </w:rPr>
        <w:instrText xml:space="preserve"> PAGEREF _Toc525646073 \h </w:instrText>
      </w:r>
      <w:r>
        <w:rPr>
          <w:noProof/>
        </w:rPr>
      </w:r>
      <w:r>
        <w:rPr>
          <w:noProof/>
        </w:rPr>
        <w:fldChar w:fldCharType="separate"/>
      </w:r>
      <w:r>
        <w:rPr>
          <w:noProof/>
        </w:rPr>
        <w:t>7</w:t>
      </w:r>
      <w:r>
        <w:rPr>
          <w:noProof/>
        </w:rPr>
        <w:fldChar w:fldCharType="end"/>
      </w:r>
    </w:p>
    <w:p w14:paraId="033064EE" w14:textId="1FBB0F7E"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CWE-250 – Execution with Unnecessary Privileges</w:t>
      </w:r>
      <w:r>
        <w:rPr>
          <w:noProof/>
        </w:rPr>
        <w:tab/>
      </w:r>
      <w:r>
        <w:rPr>
          <w:noProof/>
        </w:rPr>
        <w:fldChar w:fldCharType="begin"/>
      </w:r>
      <w:r>
        <w:rPr>
          <w:noProof/>
        </w:rPr>
        <w:instrText xml:space="preserve"> PAGEREF _Toc525646074 \h </w:instrText>
      </w:r>
      <w:r>
        <w:rPr>
          <w:noProof/>
        </w:rPr>
      </w:r>
      <w:r>
        <w:rPr>
          <w:noProof/>
        </w:rPr>
        <w:fldChar w:fldCharType="separate"/>
      </w:r>
      <w:r>
        <w:rPr>
          <w:noProof/>
        </w:rPr>
        <w:t>7</w:t>
      </w:r>
      <w:r>
        <w:rPr>
          <w:noProof/>
        </w:rPr>
        <w:fldChar w:fldCharType="end"/>
      </w:r>
    </w:p>
    <w:p w14:paraId="729CC364" w14:textId="5B8E918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CWE-306 – Missing Authentication for Critical Function</w:t>
      </w:r>
      <w:r>
        <w:rPr>
          <w:noProof/>
        </w:rPr>
        <w:tab/>
      </w:r>
      <w:r>
        <w:rPr>
          <w:noProof/>
        </w:rPr>
        <w:fldChar w:fldCharType="begin"/>
      </w:r>
      <w:r>
        <w:rPr>
          <w:noProof/>
        </w:rPr>
        <w:instrText xml:space="preserve"> PAGEREF _Toc525646075 \h </w:instrText>
      </w:r>
      <w:r>
        <w:rPr>
          <w:noProof/>
        </w:rPr>
      </w:r>
      <w:r>
        <w:rPr>
          <w:noProof/>
        </w:rPr>
        <w:fldChar w:fldCharType="separate"/>
      </w:r>
      <w:r>
        <w:rPr>
          <w:noProof/>
        </w:rPr>
        <w:t>8</w:t>
      </w:r>
      <w:r>
        <w:rPr>
          <w:noProof/>
        </w:rPr>
        <w:fldChar w:fldCharType="end"/>
      </w:r>
    </w:p>
    <w:p w14:paraId="0300D7BC" w14:textId="0692801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CWE-307 – Improper Restriction of Excessive Authentication Attempts</w:t>
      </w:r>
      <w:r>
        <w:rPr>
          <w:noProof/>
        </w:rPr>
        <w:tab/>
      </w:r>
      <w:r>
        <w:rPr>
          <w:noProof/>
        </w:rPr>
        <w:fldChar w:fldCharType="begin"/>
      </w:r>
      <w:r>
        <w:rPr>
          <w:noProof/>
        </w:rPr>
        <w:instrText xml:space="preserve"> PAGEREF _Toc525646076 \h </w:instrText>
      </w:r>
      <w:r>
        <w:rPr>
          <w:noProof/>
        </w:rPr>
      </w:r>
      <w:r>
        <w:rPr>
          <w:noProof/>
        </w:rPr>
        <w:fldChar w:fldCharType="separate"/>
      </w:r>
      <w:r>
        <w:rPr>
          <w:noProof/>
        </w:rPr>
        <w:t>8</w:t>
      </w:r>
      <w:r>
        <w:rPr>
          <w:noProof/>
        </w:rPr>
        <w:fldChar w:fldCharType="end"/>
      </w:r>
    </w:p>
    <w:p w14:paraId="5260E9D7" w14:textId="7728BF2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CWE-311 – Missing Encryption of Sensitive Data</w:t>
      </w:r>
      <w:r>
        <w:rPr>
          <w:noProof/>
        </w:rPr>
        <w:tab/>
      </w:r>
      <w:r>
        <w:rPr>
          <w:noProof/>
        </w:rPr>
        <w:fldChar w:fldCharType="begin"/>
      </w:r>
      <w:r>
        <w:rPr>
          <w:noProof/>
        </w:rPr>
        <w:instrText xml:space="preserve"> PAGEREF _Toc525646077 \h </w:instrText>
      </w:r>
      <w:r>
        <w:rPr>
          <w:noProof/>
        </w:rPr>
      </w:r>
      <w:r>
        <w:rPr>
          <w:noProof/>
        </w:rPr>
        <w:fldChar w:fldCharType="separate"/>
      </w:r>
      <w:r>
        <w:rPr>
          <w:noProof/>
        </w:rPr>
        <w:t>8</w:t>
      </w:r>
      <w:r>
        <w:rPr>
          <w:noProof/>
        </w:rPr>
        <w:fldChar w:fldCharType="end"/>
      </w:r>
    </w:p>
    <w:p w14:paraId="6AF7ACD4" w14:textId="391BC98F"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CWE-327 – Use of a Broken or Risky Cryptographic Algorithm</w:t>
      </w:r>
      <w:r>
        <w:rPr>
          <w:noProof/>
        </w:rPr>
        <w:tab/>
      </w:r>
      <w:r>
        <w:rPr>
          <w:noProof/>
        </w:rPr>
        <w:fldChar w:fldCharType="begin"/>
      </w:r>
      <w:r>
        <w:rPr>
          <w:noProof/>
        </w:rPr>
        <w:instrText xml:space="preserve"> PAGEREF _Toc525646078 \h </w:instrText>
      </w:r>
      <w:r>
        <w:rPr>
          <w:noProof/>
        </w:rPr>
      </w:r>
      <w:r>
        <w:rPr>
          <w:noProof/>
        </w:rPr>
        <w:fldChar w:fldCharType="separate"/>
      </w:r>
      <w:r>
        <w:rPr>
          <w:noProof/>
        </w:rPr>
        <w:t>9</w:t>
      </w:r>
      <w:r>
        <w:rPr>
          <w:noProof/>
        </w:rPr>
        <w:fldChar w:fldCharType="end"/>
      </w:r>
    </w:p>
    <w:p w14:paraId="3AAE3C0C" w14:textId="6C726A77"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CWE-352 – Cross-Site Request Forgery (CSRF)</w:t>
      </w:r>
      <w:r>
        <w:rPr>
          <w:noProof/>
        </w:rPr>
        <w:tab/>
      </w:r>
      <w:r>
        <w:rPr>
          <w:noProof/>
        </w:rPr>
        <w:fldChar w:fldCharType="begin"/>
      </w:r>
      <w:r>
        <w:rPr>
          <w:noProof/>
        </w:rPr>
        <w:instrText xml:space="preserve"> PAGEREF _Toc525646079 \h </w:instrText>
      </w:r>
      <w:r>
        <w:rPr>
          <w:noProof/>
        </w:rPr>
      </w:r>
      <w:r>
        <w:rPr>
          <w:noProof/>
        </w:rPr>
        <w:fldChar w:fldCharType="separate"/>
      </w:r>
      <w:r>
        <w:rPr>
          <w:noProof/>
        </w:rPr>
        <w:t>9</w:t>
      </w:r>
      <w:r>
        <w:rPr>
          <w:noProof/>
        </w:rPr>
        <w:fldChar w:fldCharType="end"/>
      </w:r>
    </w:p>
    <w:p w14:paraId="49427C17" w14:textId="68547D79"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CWE-434 – Unrestricted Upload of File with Dangerous Type</w:t>
      </w:r>
      <w:r>
        <w:rPr>
          <w:noProof/>
        </w:rPr>
        <w:tab/>
      </w:r>
      <w:r>
        <w:rPr>
          <w:noProof/>
        </w:rPr>
        <w:fldChar w:fldCharType="begin"/>
      </w:r>
      <w:r>
        <w:rPr>
          <w:noProof/>
        </w:rPr>
        <w:instrText xml:space="preserve"> PAGEREF _Toc525646080 \h </w:instrText>
      </w:r>
      <w:r>
        <w:rPr>
          <w:noProof/>
        </w:rPr>
      </w:r>
      <w:r>
        <w:rPr>
          <w:noProof/>
        </w:rPr>
        <w:fldChar w:fldCharType="separate"/>
      </w:r>
      <w:r>
        <w:rPr>
          <w:noProof/>
        </w:rPr>
        <w:t>9</w:t>
      </w:r>
      <w:r>
        <w:rPr>
          <w:noProof/>
        </w:rPr>
        <w:fldChar w:fldCharType="end"/>
      </w:r>
    </w:p>
    <w:p w14:paraId="169F4F22" w14:textId="22E944C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CWE-494 – Download of Code Without Integrity Check</w:t>
      </w:r>
      <w:r>
        <w:rPr>
          <w:noProof/>
        </w:rPr>
        <w:tab/>
      </w:r>
      <w:r>
        <w:rPr>
          <w:noProof/>
        </w:rPr>
        <w:fldChar w:fldCharType="begin"/>
      </w:r>
      <w:r>
        <w:rPr>
          <w:noProof/>
        </w:rPr>
        <w:instrText xml:space="preserve"> PAGEREF _Toc525646081 \h </w:instrText>
      </w:r>
      <w:r>
        <w:rPr>
          <w:noProof/>
        </w:rPr>
      </w:r>
      <w:r>
        <w:rPr>
          <w:noProof/>
        </w:rPr>
        <w:fldChar w:fldCharType="separate"/>
      </w:r>
      <w:r>
        <w:rPr>
          <w:noProof/>
        </w:rPr>
        <w:t>10</w:t>
      </w:r>
      <w:r>
        <w:rPr>
          <w:noProof/>
        </w:rPr>
        <w:fldChar w:fldCharType="end"/>
      </w:r>
    </w:p>
    <w:p w14:paraId="78AB777B" w14:textId="1265A34B"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CWE-601 – URL Redirection to Untrusted Site ('Open Redirect')</w:t>
      </w:r>
      <w:r>
        <w:rPr>
          <w:noProof/>
        </w:rPr>
        <w:tab/>
      </w:r>
      <w:r>
        <w:rPr>
          <w:noProof/>
        </w:rPr>
        <w:fldChar w:fldCharType="begin"/>
      </w:r>
      <w:r>
        <w:rPr>
          <w:noProof/>
        </w:rPr>
        <w:instrText xml:space="preserve"> PAGEREF _Toc525646082 \h </w:instrText>
      </w:r>
      <w:r>
        <w:rPr>
          <w:noProof/>
        </w:rPr>
      </w:r>
      <w:r>
        <w:rPr>
          <w:noProof/>
        </w:rPr>
        <w:fldChar w:fldCharType="separate"/>
      </w:r>
      <w:r>
        <w:rPr>
          <w:noProof/>
        </w:rPr>
        <w:t>10</w:t>
      </w:r>
      <w:r>
        <w:rPr>
          <w:noProof/>
        </w:rPr>
        <w:fldChar w:fldCharType="end"/>
      </w:r>
    </w:p>
    <w:p w14:paraId="6513A95C" w14:textId="5ADFFD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CWE-676 – Use of Potentially Dangerous Function</w:t>
      </w:r>
      <w:r>
        <w:rPr>
          <w:noProof/>
        </w:rPr>
        <w:tab/>
      </w:r>
      <w:r>
        <w:rPr>
          <w:noProof/>
        </w:rPr>
        <w:fldChar w:fldCharType="begin"/>
      </w:r>
      <w:r>
        <w:rPr>
          <w:noProof/>
        </w:rPr>
        <w:instrText xml:space="preserve"> PAGEREF _Toc525646083 \h </w:instrText>
      </w:r>
      <w:r>
        <w:rPr>
          <w:noProof/>
        </w:rPr>
      </w:r>
      <w:r>
        <w:rPr>
          <w:noProof/>
        </w:rPr>
        <w:fldChar w:fldCharType="separate"/>
      </w:r>
      <w:r>
        <w:rPr>
          <w:noProof/>
        </w:rPr>
        <w:t>10</w:t>
      </w:r>
      <w:r>
        <w:rPr>
          <w:noProof/>
        </w:rPr>
        <w:fldChar w:fldCharType="end"/>
      </w:r>
    </w:p>
    <w:p w14:paraId="3E551C0B" w14:textId="3440E60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CWE-732– Incorrect Permission Assignment for Critical Resource</w:t>
      </w:r>
      <w:r>
        <w:rPr>
          <w:noProof/>
        </w:rPr>
        <w:tab/>
      </w:r>
      <w:r>
        <w:rPr>
          <w:noProof/>
        </w:rPr>
        <w:fldChar w:fldCharType="begin"/>
      </w:r>
      <w:r>
        <w:rPr>
          <w:noProof/>
        </w:rPr>
        <w:instrText xml:space="preserve"> PAGEREF _Toc525646084 \h </w:instrText>
      </w:r>
      <w:r>
        <w:rPr>
          <w:noProof/>
        </w:rPr>
      </w:r>
      <w:r>
        <w:rPr>
          <w:noProof/>
        </w:rPr>
        <w:fldChar w:fldCharType="separate"/>
      </w:r>
      <w:r>
        <w:rPr>
          <w:noProof/>
        </w:rPr>
        <w:t>11</w:t>
      </w:r>
      <w:r>
        <w:rPr>
          <w:noProof/>
        </w:rPr>
        <w:fldChar w:fldCharType="end"/>
      </w:r>
    </w:p>
    <w:p w14:paraId="6221A1DE" w14:textId="6016C07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CWE-759 – Use of a One-Way Hash without a Salt</w:t>
      </w:r>
      <w:r>
        <w:rPr>
          <w:noProof/>
        </w:rPr>
        <w:tab/>
      </w:r>
      <w:r>
        <w:rPr>
          <w:noProof/>
        </w:rPr>
        <w:fldChar w:fldCharType="begin"/>
      </w:r>
      <w:r>
        <w:rPr>
          <w:noProof/>
        </w:rPr>
        <w:instrText xml:space="preserve"> PAGEREF _Toc525646085 \h </w:instrText>
      </w:r>
      <w:r>
        <w:rPr>
          <w:noProof/>
        </w:rPr>
      </w:r>
      <w:r>
        <w:rPr>
          <w:noProof/>
        </w:rPr>
        <w:fldChar w:fldCharType="separate"/>
      </w:r>
      <w:r>
        <w:rPr>
          <w:noProof/>
        </w:rPr>
        <w:t>11</w:t>
      </w:r>
      <w:r>
        <w:rPr>
          <w:noProof/>
        </w:rPr>
        <w:fldChar w:fldCharType="end"/>
      </w:r>
    </w:p>
    <w:p w14:paraId="3F4BB39D" w14:textId="0AF7E1A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CWE-798 – Use of Hard-coded Credentials</w:t>
      </w:r>
      <w:r>
        <w:rPr>
          <w:noProof/>
        </w:rPr>
        <w:tab/>
      </w:r>
      <w:r>
        <w:rPr>
          <w:noProof/>
        </w:rPr>
        <w:fldChar w:fldCharType="begin"/>
      </w:r>
      <w:r>
        <w:rPr>
          <w:noProof/>
        </w:rPr>
        <w:instrText xml:space="preserve"> PAGEREF _Toc525646086 \h </w:instrText>
      </w:r>
      <w:r>
        <w:rPr>
          <w:noProof/>
        </w:rPr>
      </w:r>
      <w:r>
        <w:rPr>
          <w:noProof/>
        </w:rPr>
        <w:fldChar w:fldCharType="separate"/>
      </w:r>
      <w:r>
        <w:rPr>
          <w:noProof/>
        </w:rPr>
        <w:t>11</w:t>
      </w:r>
      <w:r>
        <w:rPr>
          <w:noProof/>
        </w:rPr>
        <w:fldChar w:fldCharType="end"/>
      </w:r>
    </w:p>
    <w:p w14:paraId="56367270" w14:textId="368D79C6"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CWE-807 – Reliance on Untrusted Inputs in a Security Decision</w:t>
      </w:r>
      <w:r>
        <w:rPr>
          <w:noProof/>
        </w:rPr>
        <w:tab/>
      </w:r>
      <w:r>
        <w:rPr>
          <w:noProof/>
        </w:rPr>
        <w:fldChar w:fldCharType="begin"/>
      </w:r>
      <w:r>
        <w:rPr>
          <w:noProof/>
        </w:rPr>
        <w:instrText xml:space="preserve"> PAGEREF _Toc525646087 \h </w:instrText>
      </w:r>
      <w:r>
        <w:rPr>
          <w:noProof/>
        </w:rPr>
      </w:r>
      <w:r>
        <w:rPr>
          <w:noProof/>
        </w:rPr>
        <w:fldChar w:fldCharType="separate"/>
      </w:r>
      <w:r>
        <w:rPr>
          <w:noProof/>
        </w:rPr>
        <w:t>12</w:t>
      </w:r>
      <w:r>
        <w:rPr>
          <w:noProof/>
        </w:rPr>
        <w:fldChar w:fldCharType="end"/>
      </w:r>
    </w:p>
    <w:p w14:paraId="01D11BD1" w14:textId="58C84C7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CWE-829 – Inclusion of Functionality from Untrusted Control Sphere</w:t>
      </w:r>
      <w:r>
        <w:rPr>
          <w:noProof/>
        </w:rPr>
        <w:tab/>
      </w:r>
      <w:r>
        <w:rPr>
          <w:noProof/>
        </w:rPr>
        <w:fldChar w:fldCharType="begin"/>
      </w:r>
      <w:r>
        <w:rPr>
          <w:noProof/>
        </w:rPr>
        <w:instrText xml:space="preserve"> PAGEREF _Toc525646088 \h </w:instrText>
      </w:r>
      <w:r>
        <w:rPr>
          <w:noProof/>
        </w:rPr>
      </w:r>
      <w:r>
        <w:rPr>
          <w:noProof/>
        </w:rPr>
        <w:fldChar w:fldCharType="separate"/>
      </w:r>
      <w:r>
        <w:rPr>
          <w:noProof/>
        </w:rPr>
        <w:t>12</w:t>
      </w:r>
      <w:r>
        <w:rPr>
          <w:noProof/>
        </w:rPr>
        <w:fldChar w:fldCharType="end"/>
      </w:r>
    </w:p>
    <w:p w14:paraId="4E24CE55" w14:textId="39A09C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CWE-862 – Missing Authorization</w:t>
      </w:r>
      <w:r>
        <w:rPr>
          <w:noProof/>
        </w:rPr>
        <w:tab/>
      </w:r>
      <w:r>
        <w:rPr>
          <w:noProof/>
        </w:rPr>
        <w:fldChar w:fldCharType="begin"/>
      </w:r>
      <w:r>
        <w:rPr>
          <w:noProof/>
        </w:rPr>
        <w:instrText xml:space="preserve"> PAGEREF _Toc525646089 \h </w:instrText>
      </w:r>
      <w:r>
        <w:rPr>
          <w:noProof/>
        </w:rPr>
      </w:r>
      <w:r>
        <w:rPr>
          <w:noProof/>
        </w:rPr>
        <w:fldChar w:fldCharType="separate"/>
      </w:r>
      <w:r>
        <w:rPr>
          <w:noProof/>
        </w:rPr>
        <w:t>12</w:t>
      </w:r>
      <w:r>
        <w:rPr>
          <w:noProof/>
        </w:rPr>
        <w:fldChar w:fldCharType="end"/>
      </w:r>
    </w:p>
    <w:p w14:paraId="750C6F91" w14:textId="3EF969D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CWE-863 – Incorrect Authorization</w:t>
      </w:r>
      <w:r>
        <w:rPr>
          <w:noProof/>
        </w:rPr>
        <w:tab/>
      </w:r>
      <w:r>
        <w:rPr>
          <w:noProof/>
        </w:rPr>
        <w:fldChar w:fldCharType="begin"/>
      </w:r>
      <w:r>
        <w:rPr>
          <w:noProof/>
        </w:rPr>
        <w:instrText xml:space="preserve"> PAGEREF _Toc525646090 \h </w:instrText>
      </w:r>
      <w:r>
        <w:rPr>
          <w:noProof/>
        </w:rPr>
      </w:r>
      <w:r>
        <w:rPr>
          <w:noProof/>
        </w:rPr>
        <w:fldChar w:fldCharType="separate"/>
      </w:r>
      <w:r>
        <w:rPr>
          <w:noProof/>
        </w:rPr>
        <w:t>13</w:t>
      </w:r>
      <w:r>
        <w:rPr>
          <w:noProof/>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062"/>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06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064"/>
      <w:r>
        <w:lastRenderedPageBreak/>
        <w:t>Security Violation Overview</w:t>
      </w:r>
      <w:bookmarkEnd w:id="5"/>
    </w:p>
    <w:p w14:paraId="576EB6C4" w14:textId="0BD2933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bookmarkStart w:id="6" w:name="_GoBack"/>
      <w:bookmarkEnd w:id="6"/>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7" w:name="_Toc525646065"/>
      <w:r>
        <w:rPr>
          <w:rFonts w:eastAsia="Calibri"/>
          <w:lang w:val="en-US"/>
        </w:rPr>
        <w:t>CWE Top 25</w:t>
      </w:r>
      <w:r w:rsidR="000B1DF2">
        <w:rPr>
          <w:rFonts w:eastAsia="Calibri"/>
          <w:lang w:val="en-US"/>
        </w:rPr>
        <w:t xml:space="preserve">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WE-2011-Top25,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2363A3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E39847D"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3F9C8055"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3CC5766C"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10"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3D155723"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287C1976"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Pr>
          <w:i/>
          <w:sz w:val="14"/>
        </w:rPr>
        <w:t>violations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7548A7E9"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2"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120,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2CA8382B"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1,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692F5730"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4,VIOLATIONS=ALL"/>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26C32B3E"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90,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3FE8406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250,VIOLATIONS=ALL"/>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EB5D170"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6,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7,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199F60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11,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49DCBFF"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violations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27,VIOLATIONS=ALL"/>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1F8B499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52,VIOLATIONS=ALL"/>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68C7CF04"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34,VIOLATIONS=ALL"/>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2DB46294"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violations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94,VIOLATIONS=ALL"/>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7B4511F7"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01,VIOLATIONS=ALL"/>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5ACC5E3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76,VIOLATIONS=ALL"/>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BC0DB1B"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violations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32,VIOLATIONS=ALL"/>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627FF106"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13EAAA9F"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8,VIOLATIONS=ALL"/>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90DD94"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violations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07,VIOLATIONS=ALL"/>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3B301BA4"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29,VIOLATIONS=ALL"/>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95252A1"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646089"/>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2,VIOLATIONS=ALL"/>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57A040EA"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3,VIOLATIONS=ALL"/>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48FFD951"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646092"/>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646093"/>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D0330" w14:textId="77777777" w:rsidR="000C64B9" w:rsidRDefault="000C64B9">
      <w:r>
        <w:separator/>
      </w:r>
    </w:p>
  </w:endnote>
  <w:endnote w:type="continuationSeparator" w:id="0">
    <w:p w14:paraId="64504797" w14:textId="77777777" w:rsidR="000C64B9" w:rsidRDefault="000C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05965" w14:textId="77777777" w:rsidR="000C64B9" w:rsidRDefault="000C64B9">
      <w:r>
        <w:separator/>
      </w:r>
    </w:p>
  </w:footnote>
  <w:footnote w:type="continuationSeparator" w:id="0">
    <w:p w14:paraId="7595018E" w14:textId="77777777" w:rsidR="000C64B9" w:rsidRDefault="000C6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18029-11DF-4A70-96A8-09A6D6B2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541</TotalTime>
  <Pages>14</Pages>
  <Words>2005</Words>
  <Characters>11430</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59</cp:revision>
  <cp:lastPrinted>2014-04-04T13:22:00Z</cp:lastPrinted>
  <dcterms:created xsi:type="dcterms:W3CDTF">2018-09-23T06:31:00Z</dcterms:created>
  <dcterms:modified xsi:type="dcterms:W3CDTF">2018-09-27T11:22:00Z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