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1539D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1539D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4C1CE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4C1CE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539D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919"/>
      <w:r w:rsidR="00D36C46">
        <w:t>Table of Content</w:t>
      </w:r>
      <w:bookmarkEnd w:id="1"/>
    </w:p>
    <w:p w14:paraId="4EDE8ED7" w14:textId="79F7237A" w:rsidR="00B172B6"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B172B6">
        <w:rPr>
          <w:noProof/>
        </w:rPr>
        <w:t>Table of Content</w:t>
      </w:r>
      <w:r w:rsidR="00B172B6">
        <w:rPr>
          <w:noProof/>
        </w:rPr>
        <w:tab/>
      </w:r>
      <w:r w:rsidR="00B172B6">
        <w:rPr>
          <w:noProof/>
        </w:rPr>
        <w:fldChar w:fldCharType="begin"/>
      </w:r>
      <w:r w:rsidR="00B172B6">
        <w:rPr>
          <w:noProof/>
        </w:rPr>
        <w:instrText xml:space="preserve"> PAGEREF _Toc525632919 \h </w:instrText>
      </w:r>
      <w:r w:rsidR="00B172B6">
        <w:rPr>
          <w:noProof/>
        </w:rPr>
      </w:r>
      <w:r w:rsidR="00B172B6">
        <w:rPr>
          <w:noProof/>
        </w:rPr>
        <w:fldChar w:fldCharType="separate"/>
      </w:r>
      <w:r w:rsidR="00B172B6">
        <w:rPr>
          <w:noProof/>
        </w:rPr>
        <w:t>2</w:t>
      </w:r>
      <w:r w:rsidR="00B172B6">
        <w:rPr>
          <w:noProof/>
        </w:rPr>
        <w:fldChar w:fldCharType="end"/>
      </w:r>
    </w:p>
    <w:p w14:paraId="4B1A9E5A" w14:textId="75BB308A"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_Toc525632920 \h </w:instrText>
      </w:r>
      <w:r>
        <w:rPr>
          <w:noProof/>
        </w:rPr>
      </w:r>
      <w:r>
        <w:rPr>
          <w:noProof/>
        </w:rPr>
        <w:fldChar w:fldCharType="separate"/>
      </w:r>
      <w:r>
        <w:rPr>
          <w:noProof/>
        </w:rPr>
        <w:t>3</w:t>
      </w:r>
      <w:r>
        <w:rPr>
          <w:noProof/>
        </w:rPr>
        <w:fldChar w:fldCharType="end"/>
      </w:r>
    </w:p>
    <w:p w14:paraId="5739D123" w14:textId="01657B32"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965532">
        <w:rPr>
          <w:noProof/>
        </w:rPr>
        <w:t>Application Characteristics</w:t>
      </w:r>
      <w:r>
        <w:rPr>
          <w:noProof/>
        </w:rPr>
        <w:tab/>
      </w:r>
      <w:r>
        <w:rPr>
          <w:noProof/>
        </w:rPr>
        <w:fldChar w:fldCharType="begin"/>
      </w:r>
      <w:r>
        <w:rPr>
          <w:noProof/>
        </w:rPr>
        <w:instrText xml:space="preserve"> PAGEREF _Toc525632921 \h </w:instrText>
      </w:r>
      <w:r>
        <w:rPr>
          <w:noProof/>
        </w:rPr>
      </w:r>
      <w:r>
        <w:rPr>
          <w:noProof/>
        </w:rPr>
        <w:fldChar w:fldCharType="separate"/>
      </w:r>
      <w:r>
        <w:rPr>
          <w:noProof/>
        </w:rPr>
        <w:t>3</w:t>
      </w:r>
      <w:r>
        <w:rPr>
          <w:noProof/>
        </w:rPr>
        <w:fldChar w:fldCharType="end"/>
      </w:r>
    </w:p>
    <w:p w14:paraId="601921E0" w14:textId="6AB90ACC"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sidRPr="00965532">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_Toc525632922 \h </w:instrText>
      </w:r>
      <w:r>
        <w:rPr>
          <w:noProof/>
        </w:rPr>
      </w:r>
      <w:r>
        <w:rPr>
          <w:noProof/>
        </w:rPr>
        <w:fldChar w:fldCharType="separate"/>
      </w:r>
      <w:r>
        <w:rPr>
          <w:noProof/>
        </w:rPr>
        <w:t>4</w:t>
      </w:r>
      <w:r>
        <w:rPr>
          <w:noProof/>
        </w:rPr>
        <w:fldChar w:fldCharType="end"/>
      </w:r>
    </w:p>
    <w:p w14:paraId="3F35795F" w14:textId="7B63D179"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Top 10 violations</w:t>
      </w:r>
      <w:r>
        <w:rPr>
          <w:noProof/>
        </w:rPr>
        <w:tab/>
      </w:r>
      <w:r>
        <w:rPr>
          <w:noProof/>
        </w:rPr>
        <w:fldChar w:fldCharType="begin"/>
      </w:r>
      <w:r>
        <w:rPr>
          <w:noProof/>
        </w:rPr>
        <w:instrText xml:space="preserve"> PAGEREF _Toc525632923 \h </w:instrText>
      </w:r>
      <w:r>
        <w:rPr>
          <w:noProof/>
        </w:rPr>
      </w:r>
      <w:r>
        <w:rPr>
          <w:noProof/>
        </w:rPr>
        <w:fldChar w:fldCharType="separate"/>
      </w:r>
      <w:r>
        <w:rPr>
          <w:noProof/>
        </w:rPr>
        <w:t>4</w:t>
      </w:r>
      <w:r>
        <w:rPr>
          <w:noProof/>
        </w:rPr>
        <w:fldChar w:fldCharType="end"/>
      </w:r>
    </w:p>
    <w:p w14:paraId="017E1A0A" w14:textId="0C6CB4E0"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A1 - Injection</w:t>
      </w:r>
      <w:r>
        <w:rPr>
          <w:noProof/>
        </w:rPr>
        <w:tab/>
      </w:r>
      <w:r>
        <w:rPr>
          <w:noProof/>
        </w:rPr>
        <w:fldChar w:fldCharType="begin"/>
      </w:r>
      <w:r>
        <w:rPr>
          <w:noProof/>
        </w:rPr>
        <w:instrText xml:space="preserve"> PAGEREF _Toc525632924 \h </w:instrText>
      </w:r>
      <w:r>
        <w:rPr>
          <w:noProof/>
        </w:rPr>
      </w:r>
      <w:r>
        <w:rPr>
          <w:noProof/>
        </w:rPr>
        <w:fldChar w:fldCharType="separate"/>
      </w:r>
      <w:r>
        <w:rPr>
          <w:noProof/>
        </w:rPr>
        <w:t>5</w:t>
      </w:r>
      <w:r>
        <w:rPr>
          <w:noProof/>
        </w:rPr>
        <w:fldChar w:fldCharType="end"/>
      </w:r>
    </w:p>
    <w:p w14:paraId="5DB9B405" w14:textId="0AF188B4"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A3 – Sensitive Data Exposure</w:t>
      </w:r>
      <w:r>
        <w:rPr>
          <w:noProof/>
        </w:rPr>
        <w:tab/>
      </w:r>
      <w:r>
        <w:rPr>
          <w:noProof/>
        </w:rPr>
        <w:fldChar w:fldCharType="begin"/>
      </w:r>
      <w:r>
        <w:rPr>
          <w:noProof/>
        </w:rPr>
        <w:instrText xml:space="preserve"> PAGEREF _Toc525632925 \h </w:instrText>
      </w:r>
      <w:r>
        <w:rPr>
          <w:noProof/>
        </w:rPr>
      </w:r>
      <w:r>
        <w:rPr>
          <w:noProof/>
        </w:rPr>
        <w:fldChar w:fldCharType="separate"/>
      </w:r>
      <w:r>
        <w:rPr>
          <w:noProof/>
        </w:rPr>
        <w:t>5</w:t>
      </w:r>
      <w:r>
        <w:rPr>
          <w:noProof/>
        </w:rPr>
        <w:fldChar w:fldCharType="end"/>
      </w:r>
    </w:p>
    <w:p w14:paraId="383BFB1C" w14:textId="3587417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A6 – Security Misconfiguration</w:t>
      </w:r>
      <w:r>
        <w:rPr>
          <w:noProof/>
        </w:rPr>
        <w:tab/>
      </w:r>
      <w:r>
        <w:rPr>
          <w:noProof/>
        </w:rPr>
        <w:fldChar w:fldCharType="begin"/>
      </w:r>
      <w:r>
        <w:rPr>
          <w:noProof/>
        </w:rPr>
        <w:instrText xml:space="preserve"> PAGEREF _Toc525632926 \h </w:instrText>
      </w:r>
      <w:r>
        <w:rPr>
          <w:noProof/>
        </w:rPr>
      </w:r>
      <w:r>
        <w:rPr>
          <w:noProof/>
        </w:rPr>
        <w:fldChar w:fldCharType="separate"/>
      </w:r>
      <w:r>
        <w:rPr>
          <w:noProof/>
        </w:rPr>
        <w:t>6</w:t>
      </w:r>
      <w:r>
        <w:rPr>
          <w:noProof/>
        </w:rPr>
        <w:fldChar w:fldCharType="end"/>
      </w:r>
    </w:p>
    <w:p w14:paraId="701D3790" w14:textId="5D8BB910"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A7 – Cross-Site Scripting (XSS)</w:t>
      </w:r>
      <w:r>
        <w:rPr>
          <w:noProof/>
        </w:rPr>
        <w:tab/>
      </w:r>
      <w:r>
        <w:rPr>
          <w:noProof/>
        </w:rPr>
        <w:fldChar w:fldCharType="begin"/>
      </w:r>
      <w:r>
        <w:rPr>
          <w:noProof/>
        </w:rPr>
        <w:instrText xml:space="preserve"> PAGEREF _Toc525632927 \h </w:instrText>
      </w:r>
      <w:r>
        <w:rPr>
          <w:noProof/>
        </w:rPr>
      </w:r>
      <w:r>
        <w:rPr>
          <w:noProof/>
        </w:rPr>
        <w:fldChar w:fldCharType="separate"/>
      </w:r>
      <w:r>
        <w:rPr>
          <w:noProof/>
        </w:rPr>
        <w:t>6</w:t>
      </w:r>
      <w:r>
        <w:rPr>
          <w:noProof/>
        </w:rPr>
        <w:fldChar w:fldCharType="end"/>
      </w:r>
    </w:p>
    <w:p w14:paraId="2BE979B6" w14:textId="218F4205"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A8 – Insecure Deserialization</w:t>
      </w:r>
      <w:r>
        <w:rPr>
          <w:noProof/>
        </w:rPr>
        <w:tab/>
      </w:r>
      <w:r>
        <w:rPr>
          <w:noProof/>
        </w:rPr>
        <w:fldChar w:fldCharType="begin"/>
      </w:r>
      <w:r>
        <w:rPr>
          <w:noProof/>
        </w:rPr>
        <w:instrText xml:space="preserve"> PAGEREF _Toc525632928 \h </w:instrText>
      </w:r>
      <w:r>
        <w:rPr>
          <w:noProof/>
        </w:rPr>
      </w:r>
      <w:r>
        <w:rPr>
          <w:noProof/>
        </w:rPr>
        <w:fldChar w:fldCharType="separate"/>
      </w:r>
      <w:r>
        <w:rPr>
          <w:noProof/>
        </w:rPr>
        <w:t>7</w:t>
      </w:r>
      <w:r>
        <w:rPr>
          <w:noProof/>
        </w:rPr>
        <w:fldChar w:fldCharType="end"/>
      </w:r>
    </w:p>
    <w:p w14:paraId="36EF1242" w14:textId="2FAF291C"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A9 – Using Components with known Vulnerabilities</w:t>
      </w:r>
      <w:r>
        <w:rPr>
          <w:noProof/>
        </w:rPr>
        <w:tab/>
      </w:r>
      <w:r>
        <w:rPr>
          <w:noProof/>
        </w:rPr>
        <w:fldChar w:fldCharType="begin"/>
      </w:r>
      <w:r>
        <w:rPr>
          <w:noProof/>
        </w:rPr>
        <w:instrText xml:space="preserve"> PAGEREF _Toc525632929 \h </w:instrText>
      </w:r>
      <w:r>
        <w:rPr>
          <w:noProof/>
        </w:rPr>
      </w:r>
      <w:r>
        <w:rPr>
          <w:noProof/>
        </w:rPr>
        <w:fldChar w:fldCharType="separate"/>
      </w:r>
      <w:r>
        <w:rPr>
          <w:noProof/>
        </w:rPr>
        <w:t>7</w:t>
      </w:r>
      <w:r>
        <w:rPr>
          <w:noProof/>
        </w:rPr>
        <w:fldChar w:fldCharType="end"/>
      </w:r>
    </w:p>
    <w:p w14:paraId="0C9C5156" w14:textId="0D993CFB"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sidRPr="00965532">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_Toc525632930 \h </w:instrText>
      </w:r>
      <w:r>
        <w:rPr>
          <w:noProof/>
        </w:rPr>
      </w:r>
      <w:r>
        <w:rPr>
          <w:noProof/>
        </w:rPr>
        <w:fldChar w:fldCharType="separate"/>
      </w:r>
      <w:r>
        <w:rPr>
          <w:noProof/>
        </w:rPr>
        <w:t>8</w:t>
      </w:r>
      <w:r>
        <w:rPr>
          <w:noProof/>
        </w:rPr>
        <w:fldChar w:fldCharType="end"/>
      </w:r>
    </w:p>
    <w:p w14:paraId="63E8FE2C" w14:textId="00EA61B5"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965532">
        <w:rPr>
          <w:noProof/>
        </w:rPr>
        <w:t>OWASP -2017 A1 - Injection</w:t>
      </w:r>
      <w:r>
        <w:rPr>
          <w:noProof/>
        </w:rPr>
        <w:tab/>
      </w:r>
      <w:r>
        <w:rPr>
          <w:noProof/>
        </w:rPr>
        <w:fldChar w:fldCharType="begin"/>
      </w:r>
      <w:r>
        <w:rPr>
          <w:noProof/>
        </w:rPr>
        <w:instrText xml:space="preserve"> PAGEREF _Toc525632931 \h </w:instrText>
      </w:r>
      <w:r>
        <w:rPr>
          <w:noProof/>
        </w:rPr>
      </w:r>
      <w:r>
        <w:rPr>
          <w:noProof/>
        </w:rPr>
        <w:fldChar w:fldCharType="separate"/>
      </w:r>
      <w:r>
        <w:rPr>
          <w:noProof/>
        </w:rPr>
        <w:t>8</w:t>
      </w:r>
      <w:r>
        <w:rPr>
          <w:noProof/>
        </w:rPr>
        <w:fldChar w:fldCharType="end"/>
      </w:r>
    </w:p>
    <w:p w14:paraId="7C6BC515" w14:textId="6FFB5C52"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965532">
        <w:rPr>
          <w:noProof/>
        </w:rPr>
        <w:t>OWASP -2017 A3 – Sensitive Data Exposure</w:t>
      </w:r>
      <w:r>
        <w:rPr>
          <w:noProof/>
        </w:rPr>
        <w:tab/>
      </w:r>
      <w:r>
        <w:rPr>
          <w:noProof/>
        </w:rPr>
        <w:fldChar w:fldCharType="begin"/>
      </w:r>
      <w:r>
        <w:rPr>
          <w:noProof/>
        </w:rPr>
        <w:instrText xml:space="preserve"> PAGEREF _Toc525632932 \h </w:instrText>
      </w:r>
      <w:r>
        <w:rPr>
          <w:noProof/>
        </w:rPr>
      </w:r>
      <w:r>
        <w:rPr>
          <w:noProof/>
        </w:rPr>
        <w:fldChar w:fldCharType="separate"/>
      </w:r>
      <w:r>
        <w:rPr>
          <w:noProof/>
        </w:rPr>
        <w:t>8</w:t>
      </w:r>
      <w:r>
        <w:rPr>
          <w:noProof/>
        </w:rPr>
        <w:fldChar w:fldCharType="end"/>
      </w:r>
    </w:p>
    <w:p w14:paraId="4D74B46F" w14:textId="3182011B"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965532">
        <w:rPr>
          <w:noProof/>
        </w:rPr>
        <w:t>OWASP -2017 A6 – Security Misconfiguration</w:t>
      </w:r>
      <w:r>
        <w:rPr>
          <w:noProof/>
        </w:rPr>
        <w:tab/>
      </w:r>
      <w:r>
        <w:rPr>
          <w:noProof/>
        </w:rPr>
        <w:fldChar w:fldCharType="begin"/>
      </w:r>
      <w:r>
        <w:rPr>
          <w:noProof/>
        </w:rPr>
        <w:instrText xml:space="preserve"> PAGEREF _Toc525632933 \h </w:instrText>
      </w:r>
      <w:r>
        <w:rPr>
          <w:noProof/>
        </w:rPr>
      </w:r>
      <w:r>
        <w:rPr>
          <w:noProof/>
        </w:rPr>
        <w:fldChar w:fldCharType="separate"/>
      </w:r>
      <w:r>
        <w:rPr>
          <w:noProof/>
        </w:rPr>
        <w:t>8</w:t>
      </w:r>
      <w:r>
        <w:rPr>
          <w:noProof/>
        </w:rPr>
        <w:fldChar w:fldCharType="end"/>
      </w:r>
    </w:p>
    <w:p w14:paraId="113ADF44" w14:textId="6A29F3D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965532">
        <w:rPr>
          <w:noProof/>
        </w:rPr>
        <w:t>OWASP -2017 A7 – Cross-Site Scripting (XSS)</w:t>
      </w:r>
      <w:r>
        <w:rPr>
          <w:noProof/>
        </w:rPr>
        <w:tab/>
      </w:r>
      <w:r>
        <w:rPr>
          <w:noProof/>
        </w:rPr>
        <w:fldChar w:fldCharType="begin"/>
      </w:r>
      <w:r>
        <w:rPr>
          <w:noProof/>
        </w:rPr>
        <w:instrText xml:space="preserve"> PAGEREF _Toc525632934 \h </w:instrText>
      </w:r>
      <w:r>
        <w:rPr>
          <w:noProof/>
        </w:rPr>
      </w:r>
      <w:r>
        <w:rPr>
          <w:noProof/>
        </w:rPr>
        <w:fldChar w:fldCharType="separate"/>
      </w:r>
      <w:r>
        <w:rPr>
          <w:noProof/>
        </w:rPr>
        <w:t>8</w:t>
      </w:r>
      <w:r>
        <w:rPr>
          <w:noProof/>
        </w:rPr>
        <w:fldChar w:fldCharType="end"/>
      </w:r>
    </w:p>
    <w:p w14:paraId="1A93FE7C" w14:textId="5A96FF3F"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965532">
        <w:rPr>
          <w:noProof/>
        </w:rPr>
        <w:t>OWASP -2017 A8 – Insecure Deserialization</w:t>
      </w:r>
      <w:r>
        <w:rPr>
          <w:noProof/>
        </w:rPr>
        <w:tab/>
      </w:r>
      <w:r>
        <w:rPr>
          <w:noProof/>
        </w:rPr>
        <w:fldChar w:fldCharType="begin"/>
      </w:r>
      <w:r>
        <w:rPr>
          <w:noProof/>
        </w:rPr>
        <w:instrText xml:space="preserve"> PAGEREF _Toc525632935 \h </w:instrText>
      </w:r>
      <w:r>
        <w:rPr>
          <w:noProof/>
        </w:rPr>
      </w:r>
      <w:r>
        <w:rPr>
          <w:noProof/>
        </w:rPr>
        <w:fldChar w:fldCharType="separate"/>
      </w:r>
      <w:r>
        <w:rPr>
          <w:noProof/>
        </w:rPr>
        <w:t>8</w:t>
      </w:r>
      <w:r>
        <w:rPr>
          <w:noProof/>
        </w:rPr>
        <w:fldChar w:fldCharType="end"/>
      </w:r>
    </w:p>
    <w:p w14:paraId="3A96992A" w14:textId="3C0A5C30" w:rsidR="00B172B6" w:rsidRDefault="00B172B6">
      <w:pPr>
        <w:pStyle w:val="TOC2"/>
        <w:tabs>
          <w:tab w:val="left" w:pos="1000"/>
        </w:tabs>
        <w:rPr>
          <w:rFonts w:asciiTheme="minorHAnsi" w:eastAsiaTheme="minorEastAsia" w:hAnsiTheme="minorHAnsi" w:cstheme="minorBidi"/>
          <w:smallCaps w:val="0"/>
          <w:noProof/>
          <w:color w:val="auto"/>
          <w:sz w:val="22"/>
          <w:szCs w:val="22"/>
          <w:lang w:eastAsia="en-US"/>
        </w:rPr>
      </w:pPr>
      <w:r w:rsidRPr="00965532">
        <w:rPr>
          <w:rFonts w:asciiTheme="minorHAnsi" w:hAnsiTheme="minorHAnsi"/>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965532">
        <w:rPr>
          <w:noProof/>
        </w:rPr>
        <w:t>OWASP -2017 A9 – Using Components with known Vulnerabilities</w:t>
      </w:r>
      <w:r>
        <w:rPr>
          <w:noProof/>
        </w:rPr>
        <w:tab/>
      </w:r>
      <w:r>
        <w:rPr>
          <w:noProof/>
        </w:rPr>
        <w:fldChar w:fldCharType="begin"/>
      </w:r>
      <w:r>
        <w:rPr>
          <w:noProof/>
        </w:rPr>
        <w:instrText xml:space="preserve"> PAGEREF _Toc525632936 \h </w:instrText>
      </w:r>
      <w:r>
        <w:rPr>
          <w:noProof/>
        </w:rPr>
      </w:r>
      <w:r>
        <w:rPr>
          <w:noProof/>
        </w:rPr>
        <w:fldChar w:fldCharType="separate"/>
      </w:r>
      <w:r>
        <w:rPr>
          <w:noProof/>
        </w:rPr>
        <w:t>8</w:t>
      </w:r>
      <w:r>
        <w:rPr>
          <w:noProof/>
        </w:rPr>
        <w:fldChar w:fldCharType="end"/>
      </w:r>
    </w:p>
    <w:p w14:paraId="3E7EA9FD" w14:textId="07749FEC"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_Toc525632937 \h </w:instrText>
      </w:r>
      <w:r>
        <w:rPr>
          <w:noProof/>
        </w:rPr>
      </w:r>
      <w:r>
        <w:rPr>
          <w:noProof/>
        </w:rPr>
        <w:fldChar w:fldCharType="separate"/>
      </w:r>
      <w:r>
        <w:rPr>
          <w:noProof/>
        </w:rPr>
        <w:t>9</w:t>
      </w:r>
      <w:r>
        <w:rPr>
          <w:noProof/>
        </w:rPr>
        <w:fldChar w:fldCharType="end"/>
      </w:r>
    </w:p>
    <w:p w14:paraId="1C4C1E90" w14:textId="040CC23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965532">
        <w:rPr>
          <w:noProof/>
        </w:rPr>
        <w:t>About CAST Software Intelligence</w:t>
      </w:r>
      <w:r>
        <w:rPr>
          <w:noProof/>
        </w:rPr>
        <w:tab/>
      </w:r>
      <w:r>
        <w:rPr>
          <w:noProof/>
        </w:rPr>
        <w:fldChar w:fldCharType="begin"/>
      </w:r>
      <w:r>
        <w:rPr>
          <w:noProof/>
        </w:rPr>
        <w:instrText xml:space="preserve"> PAGEREF _Toc525632938 \h </w:instrText>
      </w:r>
      <w:r>
        <w:rPr>
          <w:noProof/>
        </w:rPr>
      </w:r>
      <w:r>
        <w:rPr>
          <w:noProof/>
        </w:rPr>
        <w:fldChar w:fldCharType="separate"/>
      </w:r>
      <w:r>
        <w:rPr>
          <w:noProof/>
        </w:rPr>
        <w:t>9</w:t>
      </w:r>
      <w:r>
        <w:rPr>
          <w:noProof/>
        </w:rPr>
        <w:fldChar w:fldCharType="end"/>
      </w:r>
    </w:p>
    <w:p w14:paraId="2F3D3103" w14:textId="1840EC93"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965532">
        <w:rPr>
          <w:noProof/>
        </w:rPr>
        <w:t>How CAST AIP Works</w:t>
      </w:r>
      <w:r>
        <w:rPr>
          <w:noProof/>
        </w:rPr>
        <w:tab/>
      </w:r>
      <w:r>
        <w:rPr>
          <w:noProof/>
        </w:rPr>
        <w:fldChar w:fldCharType="begin"/>
      </w:r>
      <w:r>
        <w:rPr>
          <w:noProof/>
        </w:rPr>
        <w:instrText xml:space="preserve"> PAGEREF _Toc525632939 \h </w:instrText>
      </w:r>
      <w:r>
        <w:rPr>
          <w:noProof/>
        </w:rPr>
      </w:r>
      <w:r>
        <w:rPr>
          <w:noProof/>
        </w:rPr>
        <w:fldChar w:fldCharType="separate"/>
      </w:r>
      <w:r>
        <w:rPr>
          <w:noProof/>
        </w:rPr>
        <w:t>9</w:t>
      </w:r>
      <w:r>
        <w:rPr>
          <w:noProof/>
        </w:rPr>
        <w:fldChar w:fldCharType="end"/>
      </w:r>
    </w:p>
    <w:p w14:paraId="31007FBA" w14:textId="76AC6654"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920"/>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921"/>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1BEC94B7"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922"/>
      <w:r>
        <w:lastRenderedPageBreak/>
        <w:t>Security Violation Overview</w:t>
      </w:r>
      <w:bookmarkEnd w:id="5"/>
    </w:p>
    <w:p w14:paraId="576EB6C4" w14:textId="626969A7"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6" w:name="_Toc525632923"/>
      <w:r>
        <w:rPr>
          <w:rFonts w:eastAsia="Calibri"/>
          <w:lang w:val="en-US"/>
        </w:rPr>
        <w:t>OWASP -2017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7,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7" w:name="_Toc525632924"/>
      <w:r>
        <w:rPr>
          <w:rFonts w:eastAsia="Calibri"/>
          <w:lang w:val="en-US"/>
        </w:rPr>
        <w:lastRenderedPageBreak/>
        <w:t>OWASP -2017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7,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32CB152E" w:rsidR="004C14E6" w:rsidRPr="00685F30" w:rsidRDefault="004C14E6" w:rsidP="004C14E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violations</w:t>
      </w:r>
    </w:p>
    <w:p w14:paraId="57CCAC97" w14:textId="4907E7B5" w:rsidR="00F772DA" w:rsidRPr="00212651" w:rsidRDefault="004C14E6" w:rsidP="002638B2">
      <w:pPr>
        <w:pStyle w:val="Heading2"/>
        <w:spacing w:after="0"/>
        <w:ind w:left="540" w:right="657" w:hanging="540"/>
        <w:rPr>
          <w:rFonts w:eastAsia="Calibri"/>
        </w:rPr>
      </w:pPr>
      <w:bookmarkStart w:id="8" w:name="_Toc525632925"/>
      <w:r>
        <w:rPr>
          <w:rFonts w:eastAsia="Calibri"/>
          <w:lang w:val="en-US"/>
        </w:rPr>
        <w:t>O</w:t>
      </w:r>
      <w:r w:rsidR="00F772DA">
        <w:rPr>
          <w:rFonts w:eastAsia="Calibri"/>
          <w:lang w:val="en-US"/>
        </w:rPr>
        <w:t>WASP -2017 A3 – Sensitive Data Exposure</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7,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67A03CE"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9" w:name="_Toc525632926"/>
      <w:r>
        <w:rPr>
          <w:rFonts w:eastAsia="Calibri"/>
          <w:lang w:val="en-US"/>
        </w:rPr>
        <w:lastRenderedPageBreak/>
        <w:t>OWASP -2017 A6 – Security Mis</w:t>
      </w:r>
      <w:r w:rsidR="000D38D5">
        <w:rPr>
          <w:rFonts w:eastAsia="Calibri"/>
          <w:lang w:val="en-US"/>
        </w:rPr>
        <w:t>c</w:t>
      </w:r>
      <w:r>
        <w:rPr>
          <w:rFonts w:eastAsia="Calibri"/>
          <w:lang w:val="en-US"/>
        </w:rPr>
        <w:t>onfiguration</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6-2017,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68021F78" w:rsidR="00C960EF" w:rsidRDefault="00685F30">
      <w:pPr>
        <w:spacing w:after="0" w:line="240" w:lineRule="auto"/>
        <w:ind w:left="0"/>
        <w:jc w:val="left"/>
        <w:rPr>
          <w:i/>
          <w:sz w:val="14"/>
        </w:rPr>
      </w:pPr>
      <w:r>
        <w:rPr>
          <w:i/>
          <w:sz w:val="14"/>
        </w:rPr>
        <w:t xml:space="preserve">Table </w:t>
      </w:r>
      <w:r w:rsidR="0018488E">
        <w:rPr>
          <w:i/>
          <w:sz w:val="14"/>
        </w:rPr>
        <w:t>5</w:t>
      </w:r>
      <w:r>
        <w:rPr>
          <w:i/>
          <w:sz w:val="14"/>
        </w:rPr>
        <w:t>: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0" w:name="_Toc525632927"/>
      <w:r>
        <w:rPr>
          <w:rFonts w:eastAsia="Calibri"/>
          <w:lang w:val="en-US"/>
        </w:rPr>
        <w:t>OWASP -2017 A7 – Cross-Site Scripting (XSS)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7-2017,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685BDF6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6</w:t>
      </w:r>
      <w:r>
        <w:rPr>
          <w:i/>
          <w:sz w:val="14"/>
        </w:rPr>
        <w:t>: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1" w:name="_Toc525632928"/>
      <w:r>
        <w:rPr>
          <w:rFonts w:eastAsia="Calibri"/>
          <w:lang w:val="en-US"/>
        </w:rPr>
        <w:lastRenderedPageBreak/>
        <w:t>OWASP -2017 A8 – Insecure Deserialization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6E4679C2"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7,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290F83B9"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7</w:t>
      </w:r>
      <w:r>
        <w:rPr>
          <w:i/>
          <w:sz w:val="14"/>
        </w:rPr>
        <w:t xml:space="preserve">: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2" w:name="_Toc525632929"/>
      <w:r>
        <w:rPr>
          <w:rFonts w:eastAsia="Calibri"/>
          <w:lang w:val="en-US"/>
        </w:rPr>
        <w:t>OWASP -2017 A9 – Using Components with known Vulnerabilities</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9-2017,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C4C427C"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8</w:t>
      </w:r>
      <w:r>
        <w:rPr>
          <w:i/>
          <w:sz w:val="14"/>
        </w:rPr>
        <w:t>: A9 – Using Components with known vulnerabilities violations</w:t>
      </w:r>
    </w:p>
    <w:p w14:paraId="1B901F02" w14:textId="105ABEC8" w:rsidR="004F5DAC" w:rsidRDefault="004F5DAC"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3" w:name="_Toc525042462"/>
      <w:bookmarkStart w:id="14" w:name="_Toc525632930"/>
      <w:r>
        <w:lastRenderedPageBreak/>
        <w:t>Security Violation Details</w:t>
      </w:r>
      <w:bookmarkEnd w:id="13"/>
      <w:bookmarkEnd w:id="14"/>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5" w:name="_Toc525632931"/>
      <w:r w:rsidRPr="00442DF6">
        <w:rPr>
          <w:b w:val="0"/>
          <w:lang w:val="en-US"/>
        </w:rPr>
        <w:t>OWASP -2017 A1 - Injection</w:t>
      </w:r>
      <w:bookmarkEnd w:id="1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110CF07F" w14:textId="24378713"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6" w:name="_Toc525632932"/>
      <w:r w:rsidRPr="00442DF6">
        <w:rPr>
          <w:b w:val="0"/>
          <w:lang w:val="en-US"/>
        </w:rPr>
        <w:t>OWASP -2017 A3 – Sensitive Data Exposure</w:t>
      </w:r>
      <w:bookmarkEnd w:id="1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917"/>
      </w:tblGrid>
      <w:tr w:rsidR="00442DF6" w:rsidRPr="00640A15" w14:paraId="54EACD1C"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640A15">
        <w:trPr>
          <w:trHeight w:val="294"/>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3872FF9E" w14:textId="3BE15C3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7" w:name="_Toc525632933"/>
      <w:r w:rsidRPr="00442DF6">
        <w:rPr>
          <w:b w:val="0"/>
          <w:lang w:val="en-US"/>
        </w:rPr>
        <w:t>OWASP -2017 A6 – Security Misconfiguration</w:t>
      </w:r>
      <w:bookmarkEnd w:id="1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77777777" w:rsidR="00442DF6" w:rsidRPr="00442DF6" w:rsidRDefault="00442DF6" w:rsidP="00442DF6">
      <w:pPr>
        <w:rPr>
          <w:rFonts w:eastAsiaTheme="minorEastAsia"/>
          <w:lang w:eastAsia="x-none"/>
        </w:rPr>
      </w:pPr>
    </w:p>
    <w:p w14:paraId="1067146E" w14:textId="582985D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8" w:name="_Toc525632934"/>
      <w:r w:rsidRPr="00442DF6">
        <w:rPr>
          <w:b w:val="0"/>
          <w:lang w:val="en-US"/>
        </w:rPr>
        <w:t>OWASP -2017 A7 – Cross-Site Scripting (XSS)</w:t>
      </w:r>
      <w:bookmarkEnd w:id="1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5E95E4F3" w14:textId="2096A957"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9" w:name="_Toc525632935"/>
      <w:r w:rsidRPr="00442DF6">
        <w:rPr>
          <w:b w:val="0"/>
          <w:lang w:val="en-US"/>
        </w:rPr>
        <w:t>OWASP -2017 A8 – Insecure Deserialization</w:t>
      </w:r>
      <w:bookmarkEnd w:id="1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17"/>
      </w:tblGrid>
      <w:tr w:rsidR="00442DF6" w:rsidRPr="00640A15" w14:paraId="7E212674"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E228A5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540F02EB"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8CD38F5"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050C86B" w14:textId="77777777" w:rsidTr="00640A15">
        <w:trPr>
          <w:trHeight w:val="294"/>
        </w:trPr>
        <w:tc>
          <w:tcPr>
            <w:tcW w:w="5000" w:type="pct"/>
            <w:shd w:val="clear" w:color="auto" w:fill="auto"/>
            <w:hideMark/>
          </w:tcPr>
          <w:p w14:paraId="5EEFCB22"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EEB2620"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20" w:name="_Toc525632936"/>
      <w:r w:rsidRPr="00442DF6">
        <w:rPr>
          <w:b w:val="0"/>
          <w:lang w:val="en-US"/>
        </w:rPr>
        <w:t>OWASP -2017 A9 – Using Components with known Vulnerabilities</w:t>
      </w:r>
      <w:bookmarkEnd w:id="2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0455B8BB" w14:textId="77777777" w:rsidR="0017201B" w:rsidRPr="00F772DA" w:rsidRDefault="0017201B" w:rsidP="002638B2">
      <w:pPr>
        <w:pStyle w:val="BodyContent"/>
        <w:ind w:right="657"/>
        <w:rPr>
          <w:rFonts w:asciiTheme="minorHAnsi" w:hAnsiTheme="minorHAnsi" w:cstheme="minorHAnsi"/>
          <w:sz w:val="20"/>
          <w:szCs w:val="20"/>
        </w:rPr>
      </w:pPr>
      <w:bookmarkStart w:id="21" w:name="_GoBack"/>
      <w:bookmarkEnd w:id="21"/>
    </w:p>
    <w:p w14:paraId="61051B28" w14:textId="77777777" w:rsidR="00CA74F4" w:rsidRDefault="00E560F3" w:rsidP="002638B2">
      <w:pPr>
        <w:pStyle w:val="Heading1"/>
        <w:ind w:right="657"/>
      </w:pPr>
      <w:bookmarkStart w:id="22" w:name="_Toc525632937"/>
      <w:r>
        <w:lastRenderedPageBreak/>
        <w:t>A</w:t>
      </w:r>
      <w:r w:rsidR="00CA74F4">
        <w:t>ppendix</w:t>
      </w:r>
      <w:bookmarkEnd w:id="22"/>
      <w:r w:rsidR="00CA74F4">
        <w:t xml:space="preserve"> </w:t>
      </w:r>
    </w:p>
    <w:p w14:paraId="48916227" w14:textId="1845DF32" w:rsidR="00010552" w:rsidRDefault="00010552" w:rsidP="002638B2">
      <w:pPr>
        <w:pStyle w:val="Heading2"/>
        <w:spacing w:after="0"/>
        <w:ind w:left="540" w:right="657" w:hanging="540"/>
        <w:rPr>
          <w:lang w:val="en-US"/>
        </w:rPr>
      </w:pPr>
      <w:bookmarkStart w:id="23" w:name="_Toc525632938"/>
      <w:r>
        <w:rPr>
          <w:lang w:val="en-US"/>
        </w:rPr>
        <w:t>About CAST Software Intelligence</w:t>
      </w:r>
      <w:bookmarkEnd w:id="23"/>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4" w:name="_Toc525632939"/>
      <w:r>
        <w:rPr>
          <w:lang w:val="en-US"/>
        </w:rPr>
        <w:t>How CAST AIP Works</w:t>
      </w:r>
      <w:bookmarkEnd w:id="24"/>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DED15" w14:textId="77777777" w:rsidR="001539D7" w:rsidRDefault="001539D7">
      <w:r>
        <w:separator/>
      </w:r>
    </w:p>
  </w:endnote>
  <w:endnote w:type="continuationSeparator" w:id="0">
    <w:p w14:paraId="2A332F3A" w14:textId="77777777" w:rsidR="001539D7" w:rsidRDefault="0015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105E3" w14:textId="77777777" w:rsidR="001539D7" w:rsidRDefault="001539D7">
      <w:r>
        <w:separator/>
      </w:r>
    </w:p>
  </w:footnote>
  <w:footnote w:type="continuationSeparator" w:id="0">
    <w:p w14:paraId="57E66F13" w14:textId="77777777" w:rsidR="001539D7" w:rsidRDefault="0015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2017 Top 10 </w:t>
    </w:r>
    <w:r w:rsidR="00CF5E53">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4FAGcAnS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1414A-5681-4856-BA80-C9B7A870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32</TotalTime>
  <Pages>9</Pages>
  <Words>1415</Words>
  <Characters>8071</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20</cp:revision>
  <cp:lastPrinted>2014-04-04T13:22:00Z</cp:lastPrinted>
  <dcterms:created xsi:type="dcterms:W3CDTF">2018-09-23T06:26:00Z</dcterms:created>
  <dcterms:modified xsi:type="dcterms:W3CDTF">2018-09-27T11:24:00Z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