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24659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24659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AC704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AC704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 xmlns:am3d="http://schemas.microsoft.com/office/drawing/2017/model3d" xmlns:o="urn:schemas-microsoft-com:office:office" xmlns:v="urn:schemas-microsoft-com:vml" xmlns:w10="urn:schemas-microsoft-com:office:word" xmlns:w="http://schemas.openxmlformats.org/wordprocessingml/2006/main"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4659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5511"/>
      <w:r w:rsidR="00D36C46">
        <w:t>Table of Content</w:t>
      </w:r>
      <w:bookmarkEnd w:id="1"/>
      <w:r w:rsidR="00020F50">
        <w:tab/>
      </w:r>
    </w:p>
    <w:p w14:paraId="2F11DB45" w14:textId="722A1252" w:rsidR="00AD0F35"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bookmarkStart w:id="2" w:name="_GoBack"/>
      <w:bookmarkEnd w:id="2"/>
      <w:r w:rsidR="00AD0F35">
        <w:rPr>
          <w:noProof/>
        </w:rPr>
        <w:t>Table of Content</w:t>
      </w:r>
      <w:r w:rsidR="00AD0F35">
        <w:rPr>
          <w:noProof/>
        </w:rPr>
        <w:tab/>
      </w:r>
      <w:r w:rsidR="00AD0F35">
        <w:rPr>
          <w:noProof/>
        </w:rPr>
        <w:fldChar w:fldCharType="begin"/>
      </w:r>
      <w:r w:rsidR="00AD0F35">
        <w:rPr>
          <w:noProof/>
        </w:rPr>
        <w:instrText xml:space="preserve"> PAGEREF _Toc9525511 \h </w:instrText>
      </w:r>
      <w:r w:rsidR="00AD0F35">
        <w:rPr>
          <w:noProof/>
        </w:rPr>
      </w:r>
      <w:r w:rsidR="00AD0F35">
        <w:rPr>
          <w:noProof/>
        </w:rPr>
        <w:fldChar w:fldCharType="separate"/>
      </w:r>
      <w:r w:rsidR="00AD0F35">
        <w:rPr>
          <w:noProof/>
        </w:rPr>
        <w:t>2</w:t>
      </w:r>
      <w:r w:rsidR="00AD0F35">
        <w:rPr>
          <w:noProof/>
        </w:rPr>
        <w:fldChar w:fldCharType="end"/>
      </w:r>
    </w:p>
    <w:p w14:paraId="5B15B9C3" w14:textId="18ABEE76"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_Toc9525512 \h </w:instrText>
      </w:r>
      <w:r>
        <w:rPr>
          <w:noProof/>
        </w:rPr>
      </w:r>
      <w:r>
        <w:rPr>
          <w:noProof/>
        </w:rPr>
        <w:fldChar w:fldCharType="separate"/>
      </w:r>
      <w:r>
        <w:rPr>
          <w:noProof/>
        </w:rPr>
        <w:t>3</w:t>
      </w:r>
      <w:r>
        <w:rPr>
          <w:noProof/>
        </w:rPr>
        <w:fldChar w:fldCharType="end"/>
      </w:r>
    </w:p>
    <w:p w14:paraId="6B84438E" w14:textId="3B42335B"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54C29">
        <w:rPr>
          <w:noProof/>
        </w:rPr>
        <w:t>Application Characteristics</w:t>
      </w:r>
      <w:r>
        <w:rPr>
          <w:noProof/>
        </w:rPr>
        <w:tab/>
      </w:r>
      <w:r>
        <w:rPr>
          <w:noProof/>
        </w:rPr>
        <w:fldChar w:fldCharType="begin"/>
      </w:r>
      <w:r>
        <w:rPr>
          <w:noProof/>
        </w:rPr>
        <w:instrText xml:space="preserve"> PAGEREF _Toc9525513 \h </w:instrText>
      </w:r>
      <w:r>
        <w:rPr>
          <w:noProof/>
        </w:rPr>
      </w:r>
      <w:r>
        <w:rPr>
          <w:noProof/>
        </w:rPr>
        <w:fldChar w:fldCharType="separate"/>
      </w:r>
      <w:r>
        <w:rPr>
          <w:noProof/>
        </w:rPr>
        <w:t>3</w:t>
      </w:r>
      <w:r>
        <w:rPr>
          <w:noProof/>
        </w:rPr>
        <w:fldChar w:fldCharType="end"/>
      </w:r>
    </w:p>
    <w:p w14:paraId="4C2096FF" w14:textId="68890C59"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sidRPr="00D54C2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Overview</w:t>
      </w:r>
      <w:r>
        <w:rPr>
          <w:noProof/>
        </w:rPr>
        <w:tab/>
      </w:r>
      <w:r>
        <w:rPr>
          <w:noProof/>
        </w:rPr>
        <w:fldChar w:fldCharType="begin"/>
      </w:r>
      <w:r>
        <w:rPr>
          <w:noProof/>
        </w:rPr>
        <w:instrText xml:space="preserve"> PAGEREF _Toc9525514 \h </w:instrText>
      </w:r>
      <w:r>
        <w:rPr>
          <w:noProof/>
        </w:rPr>
      </w:r>
      <w:r>
        <w:rPr>
          <w:noProof/>
        </w:rPr>
        <w:fldChar w:fldCharType="separate"/>
      </w:r>
      <w:r>
        <w:rPr>
          <w:noProof/>
        </w:rPr>
        <w:t>4</w:t>
      </w:r>
      <w:r>
        <w:rPr>
          <w:noProof/>
        </w:rPr>
        <w:fldChar w:fldCharType="end"/>
      </w:r>
    </w:p>
    <w:p w14:paraId="194D8A95" w14:textId="7BE3BB6F" w:rsidR="00AD0F35" w:rsidRDefault="00AD0F35">
      <w:pPr>
        <w:pStyle w:val="TOC2"/>
        <w:rPr>
          <w:rFonts w:asciiTheme="minorHAnsi" w:eastAsiaTheme="minorEastAsia" w:hAnsiTheme="minorHAnsi" w:cstheme="minorBidi"/>
          <w:smallCaps w:val="0"/>
          <w:noProof/>
          <w:color w:val="auto"/>
          <w:sz w:val="22"/>
          <w:szCs w:val="22"/>
          <w:lang w:eastAsia="en-US"/>
        </w:rPr>
      </w:pPr>
      <w:r w:rsidRPr="00D54C29">
        <w:rPr>
          <w:rFonts w:eastAsia="Calibri"/>
          <w:noProof/>
        </w:rPr>
        <w:t>STIG Ver 4 Release 8 Overview for ASD</w:t>
      </w:r>
      <w:r>
        <w:rPr>
          <w:noProof/>
        </w:rPr>
        <w:tab/>
      </w:r>
      <w:r>
        <w:rPr>
          <w:noProof/>
        </w:rPr>
        <w:fldChar w:fldCharType="begin"/>
      </w:r>
      <w:r>
        <w:rPr>
          <w:noProof/>
        </w:rPr>
        <w:instrText xml:space="preserve"> PAGEREF _Toc9525515 \h </w:instrText>
      </w:r>
      <w:r>
        <w:rPr>
          <w:noProof/>
        </w:rPr>
      </w:r>
      <w:r>
        <w:rPr>
          <w:noProof/>
        </w:rPr>
        <w:fldChar w:fldCharType="separate"/>
      </w:r>
      <w:r>
        <w:rPr>
          <w:noProof/>
        </w:rPr>
        <w:t>4</w:t>
      </w:r>
      <w:r>
        <w:rPr>
          <w:noProof/>
        </w:rPr>
        <w:fldChar w:fldCharType="end"/>
      </w:r>
    </w:p>
    <w:p w14:paraId="4ECA36B7" w14:textId="146E2144"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w:t>
      </w:r>
      <w:r>
        <w:rPr>
          <w:noProof/>
        </w:rPr>
        <w:tab/>
      </w:r>
      <w:r>
        <w:rPr>
          <w:noProof/>
        </w:rPr>
        <w:fldChar w:fldCharType="begin"/>
      </w:r>
      <w:r>
        <w:rPr>
          <w:noProof/>
        </w:rPr>
        <w:instrText xml:space="preserve"> PAGEREF _Toc9525516 \h </w:instrText>
      </w:r>
      <w:r>
        <w:rPr>
          <w:noProof/>
        </w:rPr>
      </w:r>
      <w:r>
        <w:rPr>
          <w:noProof/>
        </w:rPr>
        <w:fldChar w:fldCharType="separate"/>
      </w:r>
      <w:r>
        <w:rPr>
          <w:noProof/>
        </w:rPr>
        <w:t>5</w:t>
      </w:r>
      <w:r>
        <w:rPr>
          <w:noProof/>
        </w:rPr>
        <w:fldChar w:fldCharType="end"/>
      </w:r>
    </w:p>
    <w:p w14:paraId="3EA1FA59" w14:textId="174472E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w:t>
      </w:r>
      <w:r>
        <w:rPr>
          <w:noProof/>
        </w:rPr>
        <w:tab/>
      </w:r>
      <w:r>
        <w:rPr>
          <w:noProof/>
        </w:rPr>
        <w:fldChar w:fldCharType="begin"/>
      </w:r>
      <w:r>
        <w:rPr>
          <w:noProof/>
        </w:rPr>
        <w:instrText xml:space="preserve"> PAGEREF _Toc9525517 \h </w:instrText>
      </w:r>
      <w:r>
        <w:rPr>
          <w:noProof/>
        </w:rPr>
      </w:r>
      <w:r>
        <w:rPr>
          <w:noProof/>
        </w:rPr>
        <w:fldChar w:fldCharType="separate"/>
      </w:r>
      <w:r>
        <w:rPr>
          <w:noProof/>
        </w:rPr>
        <w:t>6</w:t>
      </w:r>
      <w:r>
        <w:rPr>
          <w:noProof/>
        </w:rPr>
        <w:fldChar w:fldCharType="end"/>
      </w:r>
    </w:p>
    <w:p w14:paraId="670E0970" w14:textId="78F2D1A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III</w:t>
      </w:r>
      <w:r>
        <w:rPr>
          <w:noProof/>
        </w:rPr>
        <w:tab/>
      </w:r>
      <w:r>
        <w:rPr>
          <w:noProof/>
        </w:rPr>
        <w:fldChar w:fldCharType="begin"/>
      </w:r>
      <w:r>
        <w:rPr>
          <w:noProof/>
        </w:rPr>
        <w:instrText xml:space="preserve"> PAGEREF _Toc9525518 \h </w:instrText>
      </w:r>
      <w:r>
        <w:rPr>
          <w:noProof/>
        </w:rPr>
      </w:r>
      <w:r>
        <w:rPr>
          <w:noProof/>
        </w:rPr>
        <w:fldChar w:fldCharType="separate"/>
      </w:r>
      <w:r>
        <w:rPr>
          <w:noProof/>
        </w:rPr>
        <w:t>7</w:t>
      </w:r>
      <w:r>
        <w:rPr>
          <w:noProof/>
        </w:rPr>
        <w:fldChar w:fldCharType="end"/>
      </w:r>
    </w:p>
    <w:p w14:paraId="208CF71D" w14:textId="29F70C34"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_Toc9525519 \h </w:instrText>
      </w:r>
      <w:r>
        <w:rPr>
          <w:noProof/>
        </w:rPr>
      </w:r>
      <w:r>
        <w:rPr>
          <w:noProof/>
        </w:rPr>
        <w:fldChar w:fldCharType="separate"/>
      </w:r>
      <w:r>
        <w:rPr>
          <w:noProof/>
        </w:rPr>
        <w:t>8</w:t>
      </w:r>
      <w:r>
        <w:rPr>
          <w:noProof/>
        </w:rPr>
        <w:fldChar w:fldCharType="end"/>
      </w:r>
    </w:p>
    <w:p w14:paraId="5AF0DCD0" w14:textId="69396D8A"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54C29">
        <w:rPr>
          <w:noProof/>
        </w:rPr>
        <w:t>About CAST Software Intelligence</w:t>
      </w:r>
      <w:r>
        <w:rPr>
          <w:noProof/>
        </w:rPr>
        <w:tab/>
      </w:r>
      <w:r>
        <w:rPr>
          <w:noProof/>
        </w:rPr>
        <w:fldChar w:fldCharType="begin"/>
      </w:r>
      <w:r>
        <w:rPr>
          <w:noProof/>
        </w:rPr>
        <w:instrText xml:space="preserve"> PAGEREF _Toc9525520 \h </w:instrText>
      </w:r>
      <w:r>
        <w:rPr>
          <w:noProof/>
        </w:rPr>
      </w:r>
      <w:r>
        <w:rPr>
          <w:noProof/>
        </w:rPr>
        <w:fldChar w:fldCharType="separate"/>
      </w:r>
      <w:r>
        <w:rPr>
          <w:noProof/>
        </w:rPr>
        <w:t>8</w:t>
      </w:r>
      <w:r>
        <w:rPr>
          <w:noProof/>
        </w:rPr>
        <w:fldChar w:fldCharType="end"/>
      </w:r>
    </w:p>
    <w:p w14:paraId="65540A20" w14:textId="3F092A8F"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54C29">
        <w:rPr>
          <w:noProof/>
        </w:rPr>
        <w:t>About CAST Security</w:t>
      </w:r>
      <w:r>
        <w:rPr>
          <w:noProof/>
        </w:rPr>
        <w:tab/>
      </w:r>
      <w:r>
        <w:rPr>
          <w:noProof/>
        </w:rPr>
        <w:fldChar w:fldCharType="begin"/>
      </w:r>
      <w:r>
        <w:rPr>
          <w:noProof/>
        </w:rPr>
        <w:instrText xml:space="preserve"> PAGEREF _Toc9525521 \h </w:instrText>
      </w:r>
      <w:r>
        <w:rPr>
          <w:noProof/>
        </w:rPr>
      </w:r>
      <w:r>
        <w:rPr>
          <w:noProof/>
        </w:rPr>
        <w:fldChar w:fldCharType="separate"/>
      </w:r>
      <w:r>
        <w:rPr>
          <w:noProof/>
        </w:rPr>
        <w:t>8</w:t>
      </w:r>
      <w:r>
        <w:rPr>
          <w:noProof/>
        </w:rPr>
        <w:fldChar w:fldCharType="end"/>
      </w:r>
    </w:p>
    <w:p w14:paraId="31007FBA" w14:textId="78F6CC8B"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9525512"/>
      <w:r w:rsidR="005773E4">
        <w:t>Introduction</w:t>
      </w:r>
      <w:bookmarkEnd w:id="3"/>
    </w:p>
    <w:p w14:paraId="1B1855C0" w14:textId="09DA7D79" w:rsidR="008A5FE6" w:rsidRDefault="008A5FE6" w:rsidP="008A5FE6">
      <w:pPr>
        <w:spacing w:after="0" w:line="240" w:lineRule="auto"/>
        <w:ind w:right="657"/>
      </w:pPr>
      <w:bookmarkStart w:id="4"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F9E79EC" w14:textId="77777777" w:rsidR="008A5FE6" w:rsidRDefault="008A5FE6" w:rsidP="008A5FE6">
      <w:pPr>
        <w:spacing w:after="0" w:line="240" w:lineRule="auto"/>
        <w:ind w:right="657"/>
      </w:pPr>
    </w:p>
    <w:p w14:paraId="4DB81E09" w14:textId="1ADF2764" w:rsidR="008A5FE6" w:rsidRPr="00755F5D" w:rsidRDefault="008A5FE6" w:rsidP="008A5FE6">
      <w:pPr>
        <w:spacing w:after="0" w:line="240" w:lineRule="auto"/>
        <w:ind w:right="657"/>
      </w:pPr>
      <w:r w:rsidRPr="005773E4">
        <w:t xml:space="preserve">CAST AIP </w:t>
      </w:r>
      <w:r>
        <w:t>adapts the quality rules from best-in-class industry standards (OWASP, CWE, CISQ</w:t>
      </w:r>
      <w:r>
        <w:t>, STIG</w:t>
      </w:r>
      <w:r>
        <w:t>). With its unique ability to perform dataflow and system-level analysis (From Presentation layer to Database layer), CAST provides the most accurate security findings, reducing a lot of false positives.</w:t>
      </w:r>
    </w:p>
    <w:bookmarkEnd w:id="4"/>
    <w:p w14:paraId="19489F11" w14:textId="1F9203ED" w:rsidR="00874417" w:rsidRPr="005773E4" w:rsidRDefault="005773E4" w:rsidP="002638B2">
      <w:pPr>
        <w:spacing w:after="0" w:line="240" w:lineRule="auto"/>
        <w:ind w:right="657"/>
        <w:rPr>
          <w:rFonts w:asciiTheme="minorHAnsi" w:hAnsiTheme="minorHAnsi"/>
          <w:noProof/>
          <w:sz w:val="22"/>
        </w:rPr>
      </w:pPr>
      <w:r w:rsidRPr="005773E4">
        <w:t>.</w:t>
      </w:r>
    </w:p>
    <w:p w14:paraId="120AFFF5" w14:textId="77777777" w:rsidR="00874417" w:rsidRPr="00592C0F" w:rsidRDefault="00874417" w:rsidP="002638B2">
      <w:pPr>
        <w:pStyle w:val="Heading2"/>
        <w:spacing w:after="0"/>
        <w:ind w:left="540" w:right="657" w:hanging="540"/>
        <w:rPr>
          <w:lang w:val="en-US"/>
        </w:rPr>
      </w:pPr>
      <w:bookmarkStart w:id="5" w:name="_Toc380677725"/>
      <w:bookmarkStart w:id="6" w:name="_Toc9525513"/>
      <w:r w:rsidRPr="005773E4">
        <w:rPr>
          <w:lang w:val="en-US"/>
        </w:rPr>
        <w:t xml:space="preserve">Application </w:t>
      </w:r>
      <w:bookmarkEnd w:id="5"/>
      <w:r w:rsidR="005773E4">
        <w:rPr>
          <w:lang w:val="en-US"/>
        </w:rPr>
        <w:t>Characteristics</w:t>
      </w:r>
      <w:bookmarkEnd w:id="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AD3E3CA" w:rsidR="004708D5" w:rsidRPr="005773E4" w:rsidRDefault="00C10B61" w:rsidP="002638B2">
      <w:pPr>
        <w:pStyle w:val="Heading1"/>
        <w:ind w:right="657"/>
        <w:rPr>
          <w:rFonts w:asciiTheme="minorHAnsi" w:hAnsiTheme="minorHAnsi"/>
          <w:noProof/>
          <w:sz w:val="22"/>
        </w:rPr>
      </w:pPr>
      <w:bookmarkStart w:id="7" w:name="_Toc9525514"/>
      <w:r>
        <w:lastRenderedPageBreak/>
        <w:t>Security Overview</w:t>
      </w:r>
      <w:bookmarkEnd w:id="7"/>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2C46159A" w:rsidR="009F58D1" w:rsidRDefault="009F58D1" w:rsidP="002638B2">
      <w:pPr>
        <w:ind w:left="0" w:right="657"/>
        <w:jc w:val="left"/>
      </w:pPr>
      <w: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8" w:name="_Toc9525515"/>
      <w:r>
        <w:rPr>
          <w:rFonts w:eastAsia="Calibri"/>
          <w:lang w:val="en-US"/>
        </w:rPr>
        <w:t>STIG Ver 4 Release 8 Overview for ASD</w:t>
      </w:r>
      <w:bookmarkEnd w:id="8"/>
    </w:p>
    <w:p w14:paraId="6700E151" w14:textId="32267C6E" w:rsidR="000B1DF2" w:rsidRPr="00CE440F" w:rsidRDefault="006C59AF"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Applicable coverage for CAST under </w:t>
      </w:r>
      <w:r w:rsidR="009F58D1" w:rsidRPr="00CE440F">
        <w:rPr>
          <w:rFonts w:ascii="Verdana" w:hAnsi="Verdana" w:cstheme="minorHAnsi"/>
          <w:sz w:val="20"/>
          <w:szCs w:val="20"/>
        </w:rPr>
        <w:t>ASD STIG V4R8</w:t>
      </w:r>
      <w:r w:rsidR="0096450C" w:rsidRPr="00CE440F">
        <w:rPr>
          <w:rFonts w:ascii="Verdana" w:hAnsi="Verdana"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60193FA"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proofErr w:type="gramStart"/>
      <w:r w:rsidRPr="00CE440F">
        <w:rPr>
          <w:rFonts w:ascii="Verdana" w:hAnsi="Verdana" w:cstheme="minorHAnsi"/>
          <w:sz w:val="18"/>
          <w:szCs w:val="18"/>
        </w:rPr>
        <w:t>I :</w:t>
      </w:r>
      <w:proofErr w:type="gramEnd"/>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77777777"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proofErr w:type="gramStart"/>
      <w:r w:rsidRPr="00CE440F">
        <w:rPr>
          <w:rFonts w:ascii="Verdana" w:hAnsi="Verdana" w:cstheme="minorHAnsi"/>
          <w:sz w:val="18"/>
          <w:szCs w:val="18"/>
        </w:rPr>
        <w:t>II :</w:t>
      </w:r>
      <w:proofErr w:type="gramEnd"/>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2B37B2"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proofErr w:type="gramStart"/>
      <w:r w:rsidRPr="00CE440F">
        <w:rPr>
          <w:rFonts w:ascii="Verdana" w:hAnsi="Verdana" w:cstheme="minorHAnsi"/>
          <w:sz w:val="18"/>
          <w:szCs w:val="18"/>
        </w:rPr>
        <w:t>III :</w:t>
      </w:r>
      <w:proofErr w:type="gramEnd"/>
      <w:r w:rsidRPr="00CE440F">
        <w:rPr>
          <w:rFonts w:ascii="Verdana" w:hAnsi="Verdana" w:cstheme="minorHAnsi"/>
          <w:sz w:val="18"/>
          <w:szCs w:val="18"/>
        </w:rPr>
        <w:t xml:space="preserve"> Any vulnerability, the existence of which degrades measures to protect against loss of Confidentiality, Availability, or Integrity.</w:t>
      </w:r>
    </w:p>
    <w:p w14:paraId="4A046FE5" w14:textId="77777777" w:rsidR="009F58D1" w:rsidRDefault="009F58D1" w:rsidP="009F58D1">
      <w:pPr>
        <w:pStyle w:val="BodyContent"/>
        <w:ind w:right="657"/>
        <w:rPr>
          <w:rFonts w:asciiTheme="minorHAnsi" w:hAnsiTheme="minorHAnsi" w:cstheme="minorHAnsi"/>
          <w:sz w:val="20"/>
          <w:szCs w:val="20"/>
        </w:rPr>
      </w:pPr>
    </w:p>
    <w:p w14:paraId="0058D540"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523617AA" w14:textId="4D4F901F" w:rsidR="00F772DA" w:rsidRPr="00212651" w:rsidRDefault="00C0306D" w:rsidP="002638B2">
      <w:pPr>
        <w:pStyle w:val="Heading2"/>
        <w:spacing w:after="0"/>
        <w:ind w:left="540" w:right="657" w:hanging="540"/>
        <w:rPr>
          <w:rFonts w:eastAsia="Calibri"/>
        </w:rPr>
      </w:pPr>
      <w:bookmarkStart w:id="9" w:name="_Toc9525516"/>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9"/>
    </w:p>
    <w:p w14:paraId="4ABA058A" w14:textId="3DB64022"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C0306D" w:rsidRPr="00CE440F">
        <w:rPr>
          <w:rFonts w:ascii="Verdana" w:hAnsi="Verdana" w:cstheme="minorHAnsi"/>
          <w:sz w:val="20"/>
          <w:szCs w:val="20"/>
        </w:rPr>
        <w:t>STIG CAT I</w:t>
      </w:r>
      <w:r w:rsidR="009000F4" w:rsidRPr="00CE440F">
        <w:rPr>
          <w:rFonts w:ascii="Verdana" w:hAnsi="Verdana" w:cstheme="minorHAnsi"/>
          <w:sz w:val="20"/>
          <w:szCs w:val="20"/>
        </w:rPr>
        <w:t xml:space="preserve"> </w:t>
      </w:r>
      <w:r w:rsidRPr="00CE440F">
        <w:rPr>
          <w:rFonts w:ascii="Verdana" w:hAnsi="Verdana" w:cstheme="minorHAnsi"/>
          <w:sz w:val="20"/>
          <w:szCs w:val="20"/>
        </w:rPr>
        <w:t>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6B624405"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36AA9625" w14:textId="4DE87F23" w:rsidR="00C0306D" w:rsidRPr="00212651" w:rsidRDefault="00C0306D" w:rsidP="00C0306D">
      <w:pPr>
        <w:pStyle w:val="Heading2"/>
        <w:spacing w:after="0"/>
        <w:ind w:left="540" w:right="657" w:hanging="540"/>
        <w:rPr>
          <w:rFonts w:eastAsia="Calibri"/>
        </w:rPr>
      </w:pPr>
      <w:bookmarkStart w:id="10" w:name="_Toc9525517"/>
      <w:r>
        <w:rPr>
          <w:rFonts w:eastAsia="Calibri"/>
          <w:lang w:val="en-US"/>
        </w:rPr>
        <w:lastRenderedPageBreak/>
        <w:t>STIG Ver 4 Release 8 CAT I</w:t>
      </w:r>
      <w:r w:rsidR="00175F15">
        <w:rPr>
          <w:rFonts w:eastAsia="Calibri"/>
          <w:lang w:val="en-US"/>
        </w:rPr>
        <w:t>I</w:t>
      </w:r>
      <w:bookmarkEnd w:id="10"/>
    </w:p>
    <w:p w14:paraId="494EDDBC" w14:textId="5042FD72"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List of STIG CAT I</w:t>
      </w:r>
      <w:r w:rsidR="00175F15" w:rsidRPr="00CE440F">
        <w:rPr>
          <w:rFonts w:ascii="Verdana" w:hAnsi="Verdana" w:cstheme="minorHAnsi"/>
          <w:sz w:val="20"/>
          <w:szCs w:val="20"/>
        </w:rPr>
        <w:t>I</w:t>
      </w:r>
      <w:r w:rsidRPr="00CE440F">
        <w:rPr>
          <w:rFonts w:ascii="Verdana" w:hAnsi="Verdana" w:cstheme="minorHAnsi"/>
          <w:sz w:val="20"/>
          <w:szCs w:val="20"/>
        </w:rPr>
        <w:t xml:space="preserve">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21EA53A6"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5DC1B489" w14:textId="7A441BC5" w:rsidR="00076620" w:rsidRPr="00212651" w:rsidRDefault="00076620" w:rsidP="00076620">
      <w:pPr>
        <w:pStyle w:val="Heading2"/>
        <w:spacing w:after="0"/>
        <w:ind w:left="540" w:right="657" w:hanging="540"/>
        <w:rPr>
          <w:rFonts w:eastAsia="Calibri"/>
        </w:rPr>
      </w:pPr>
      <w:bookmarkStart w:id="11" w:name="_Toc9525518"/>
      <w:r>
        <w:rPr>
          <w:rFonts w:eastAsia="Calibri"/>
          <w:lang w:val="en-US"/>
        </w:rPr>
        <w:lastRenderedPageBreak/>
        <w:t>STIG Ver 4 Release 8 CAT III</w:t>
      </w:r>
      <w:bookmarkEnd w:id="11"/>
    </w:p>
    <w:p w14:paraId="6B37E3CD" w14:textId="2150E1FB"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77777777" w:rsidR="00C70825" w:rsidRDefault="00C70825">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12" w:name="_Toc9525519"/>
      <w:r>
        <w:lastRenderedPageBreak/>
        <w:t>A</w:t>
      </w:r>
      <w:r w:rsidR="00CA74F4">
        <w:t>ppendix</w:t>
      </w:r>
      <w:bookmarkEnd w:id="12"/>
      <w:r w:rsidR="00CA74F4">
        <w:t xml:space="preserve"> </w:t>
      </w:r>
    </w:p>
    <w:p w14:paraId="48916227" w14:textId="1845DF32" w:rsidR="00010552" w:rsidRDefault="00010552" w:rsidP="002638B2">
      <w:pPr>
        <w:pStyle w:val="Heading2"/>
        <w:spacing w:after="0"/>
        <w:ind w:left="540" w:right="657" w:hanging="540"/>
        <w:rPr>
          <w:lang w:val="en-US"/>
        </w:rPr>
      </w:pPr>
      <w:bookmarkStart w:id="13" w:name="_Toc9525520"/>
      <w:r>
        <w:rPr>
          <w:lang w:val="en-US"/>
        </w:rPr>
        <w:t>About CAST Software Intelligence</w:t>
      </w:r>
      <w:bookmarkEnd w:id="13"/>
    </w:p>
    <w:p w14:paraId="5D0A6CAA" w14:textId="1B01B70B" w:rsidR="00F37376" w:rsidRDefault="00F37376" w:rsidP="00F37376">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2172672E" w14:textId="62415997" w:rsidR="00F37376" w:rsidRDefault="00F37376" w:rsidP="00F37376">
      <w:pPr>
        <w:ind w:right="657"/>
      </w:pPr>
      <w:hyperlink r:id="rId12" w:history="1">
        <w:r w:rsidRPr="00036206">
          <w:rPr>
            <w:rStyle w:val="Hyperlink"/>
          </w:rPr>
          <w:t>Click here</w:t>
        </w:r>
      </w:hyperlink>
      <w:r>
        <w:t xml:space="preserve"> for more information about CAST Software Intelligence. </w:t>
      </w:r>
    </w:p>
    <w:p w14:paraId="330477B9" w14:textId="77777777" w:rsidR="00E97A1B" w:rsidRDefault="00E97A1B" w:rsidP="00E97A1B">
      <w:pPr>
        <w:pStyle w:val="Heading2"/>
        <w:tabs>
          <w:tab w:val="clear" w:pos="432"/>
          <w:tab w:val="num" w:pos="-1605"/>
        </w:tabs>
        <w:spacing w:after="0"/>
        <w:ind w:left="540" w:right="657" w:hanging="540"/>
      </w:pPr>
      <w:bookmarkStart w:id="14" w:name="_Toc529893222"/>
      <w:bookmarkStart w:id="15" w:name="_Toc531865349"/>
      <w:bookmarkStart w:id="16" w:name="_Toc531953779"/>
      <w:bookmarkStart w:id="17" w:name="_Hlk530668761"/>
      <w:bookmarkStart w:id="18" w:name="_Toc9525521"/>
      <w:r>
        <w:rPr>
          <w:lang w:val="en-US"/>
        </w:rPr>
        <w:t>About CAST Security</w:t>
      </w:r>
      <w:bookmarkEnd w:id="14"/>
      <w:bookmarkEnd w:id="15"/>
      <w:bookmarkEnd w:id="16"/>
      <w:bookmarkEnd w:id="18"/>
    </w:p>
    <w:p w14:paraId="4D71BA44" w14:textId="77777777" w:rsidR="00E97A1B" w:rsidRDefault="00E97A1B" w:rsidP="00E97A1B">
      <w:pPr>
        <w:ind w:right="657"/>
      </w:pPr>
    </w:p>
    <w:p w14:paraId="1F03962D" w14:textId="77777777" w:rsidR="00E97A1B" w:rsidRDefault="00E97A1B" w:rsidP="00E97A1B">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67A4FD29" w14:textId="77777777" w:rsidR="00E97A1B" w:rsidRDefault="00E97A1B" w:rsidP="00E97A1B">
      <w:pPr>
        <w:ind w:right="657"/>
      </w:pPr>
      <w:r>
        <w:t xml:space="preserve">To find out more about CAST Security, </w:t>
      </w:r>
      <w:hyperlink r:id="rId13" w:history="1">
        <w:r w:rsidRPr="00DE3825">
          <w:rPr>
            <w:rStyle w:val="Hyperlink"/>
          </w:rPr>
          <w:t>click here</w:t>
        </w:r>
      </w:hyperlink>
      <w:r>
        <w:t>.</w:t>
      </w:r>
    </w:p>
    <w:bookmarkEnd w:id="17"/>
    <w:p w14:paraId="3F90EC4E" w14:textId="77777777" w:rsidR="00E97A1B" w:rsidRDefault="00E97A1B" w:rsidP="00E97A1B">
      <w:pPr>
        <w:ind w:right="657"/>
        <w:rPr>
          <w:rFonts w:cs="Arial"/>
        </w:rPr>
      </w:pPr>
    </w:p>
    <w:p w14:paraId="35C64115" w14:textId="77777777" w:rsidR="00E97A1B" w:rsidRDefault="00E97A1B" w:rsidP="00E97A1B">
      <w:pPr>
        <w:ind w:right="657"/>
        <w:rPr>
          <w:rFonts w:cs="Arial"/>
        </w:rPr>
      </w:pPr>
    </w:p>
    <w:p w14:paraId="11BB86D1" w14:textId="77777777" w:rsidR="00E97A1B" w:rsidRPr="00690F72" w:rsidRDefault="00E97A1B" w:rsidP="00E97A1B">
      <w:pPr>
        <w:ind w:right="657"/>
        <w:rPr>
          <w:rFonts w:cs="Arial"/>
        </w:rPr>
      </w:pPr>
    </w:p>
    <w:p w14:paraId="2F54E386" w14:textId="77777777" w:rsidR="00E97A1B" w:rsidRPr="00690F72" w:rsidRDefault="00E97A1B" w:rsidP="002638B2">
      <w:pPr>
        <w:ind w:right="657"/>
        <w:rPr>
          <w:rFonts w:cs="Arial"/>
        </w:rPr>
      </w:pPr>
    </w:p>
    <w:sectPr w:rsidR="00E97A1B"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0201E" w14:textId="77777777" w:rsidR="00246595" w:rsidRDefault="00246595">
      <w:r>
        <w:separator/>
      </w:r>
    </w:p>
  </w:endnote>
  <w:endnote w:type="continuationSeparator" w:id="0">
    <w:p w14:paraId="4AC98D25" w14:textId="77777777" w:rsidR="00246595" w:rsidRDefault="0024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2CBB3" w14:textId="77777777" w:rsidR="00246595" w:rsidRDefault="00246595">
      <w:r>
        <w:separator/>
      </w:r>
    </w:p>
  </w:footnote>
  <w:footnote w:type="continuationSeparator" w:id="0">
    <w:p w14:paraId="235A90DA" w14:textId="77777777" w:rsidR="00246595" w:rsidRDefault="00246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6EE7" w14:textId="6E14AC93"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Summary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7209D-2BE8-4B26-BFDF-C2358FB8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TotalTime>
  <Pages>8</Pages>
  <Words>859</Words>
  <Characters>4900</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Srinivas Kedarisetty</cp:lastModifiedBy>
  <cp:revision>7</cp:revision>
  <cp:lastPrinted>2019-05-22T12:43:00Z</cp:lastPrinted>
  <dcterms:created xsi:type="dcterms:W3CDTF">2019-05-23T12:02:00Z</dcterms:created>
  <dcterms:modified xsi:type="dcterms:W3CDTF">2019-05-23T12:08:00Z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