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
        <w:rPr>
          <w:rFonts w:ascii="Times New Roman" w:hAnsi="Times New Roman"/>
          <w:sz w:val="20"/>
          <w:szCs w:val="20"/>
        </w:rPr>
      </w:pPr>
      <w:r>
        <w:rPr>
          <w:rFonts w:ascii="Times New Roman" w:hAnsi="Times New Roman"/>
          <w:sz w:val="20"/>
          <w:szCs w:val="20"/>
        </w:rPr>
      </w:r>
    </w:p>
    <w:p>
      <w:pPr>
        <w:pStyle w:val="Normal"/>
        <w:spacing w:lineRule="auto" w:line="240" w:before="0" w:after="0"/>
        <w:rPr>
          <w:rFonts w:ascii="Times New Roman" w:hAnsi="Times New Roman" w:cs="Times New Roman"/>
          <w:i/>
          <w:i/>
          <w:iCs/>
          <w:color w:themeColor="dark1" w:val="000000"/>
          <w:sz w:val="20"/>
          <w:szCs w:val="20"/>
          <w:lang w:val="en-US"/>
        </w:rPr>
      </w:pPr>
      <w:r>
        <w:rPr>
          <w:rFonts w:cs="Times New Roman" w:ascii="Times New Roman" w:hAnsi="Times New Roman"/>
          <w:color w:themeColor="dark1" w:val="000000"/>
          <w:sz w:val="20"/>
          <w:szCs w:val="20"/>
          <w:lang w:val="en-US"/>
        </w:rPr>
        <w:t xml:space="preserve">Table 1. Revised </w:t>
      </w:r>
      <w:r>
        <w:rPr>
          <w:rFonts w:cs="Times New Roman" w:ascii="Times New Roman" w:hAnsi="Times New Roman"/>
          <w:i/>
          <w:iCs/>
          <w:color w:themeColor="dark1" w:val="000000"/>
          <w:sz w:val="20"/>
          <w:szCs w:val="20"/>
          <w:lang w:val="en-US"/>
        </w:rPr>
        <w:t>SRL Strategies with categories and detailed description (UPDATED WITH METHODS USED)</w:t>
      </w:r>
    </w:p>
    <w:tbl>
      <w:tblPr>
        <w:tblStyle w:val="TableGrid"/>
        <w:tblW w:w="9918" w:type="dxa"/>
        <w:jc w:val="left"/>
        <w:tblInd w:w="0" w:type="dxa"/>
        <w:tblLayout w:type="fixed"/>
        <w:tblCellMar>
          <w:top w:w="0" w:type="dxa"/>
          <w:left w:w="28" w:type="dxa"/>
          <w:bottom w:w="0" w:type="dxa"/>
          <w:right w:w="28" w:type="dxa"/>
        </w:tblCellMar>
        <w:tblLook w:val="04a0" w:noVBand="1" w:noHBand="0" w:lastColumn="0" w:firstColumn="1" w:lastRow="0" w:firstRow="1"/>
      </w:tblPr>
      <w:tblGrid>
        <w:gridCol w:w="1427"/>
        <w:gridCol w:w="1545"/>
        <w:gridCol w:w="2693"/>
        <w:gridCol w:w="4252"/>
      </w:tblGrid>
      <w:tr>
        <w:trPr>
          <w:trHeight w:val="397" w:hRule="atLeast"/>
        </w:trPr>
        <w:tc>
          <w:tcPr>
            <w:tcW w:w="1427" w:type="dxa"/>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Category</w:t>
            </w:r>
          </w:p>
        </w:tc>
        <w:tc>
          <w:tcPr>
            <w:tcW w:w="1545" w:type="dxa"/>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Strategy</w:t>
            </w:r>
          </w:p>
        </w:tc>
        <w:tc>
          <w:tcPr>
            <w:tcW w:w="2693" w:type="dxa"/>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Description</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Methods used for learning strategy</w:t>
            </w:r>
          </w:p>
        </w:tc>
      </w:tr>
      <w:tr>
        <w:trPr/>
        <w:tc>
          <w:tcPr>
            <w:tcW w:w="1427" w:type="dxa"/>
            <w:vMerge w:val="restart"/>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Retrieval practice</w:t>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1. Rehearsal and mnemonic strategies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memorize material by overt or covert practice.</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Repeat important facts or formulas many times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Say key ideas out loud</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memory tricks (rhymes, acronyms)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Write information again and again</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Make and review flashcards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Quiz yourself from memory</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apps for memorizing (Anki, Quizlet)</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2. Practice testing</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practice recalling the material by working through questions.</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Do practice quizzes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Make your own questions and answer them</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Try to remember material without looking</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online quiz tools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Ask someone to quiz you</w:t>
            </w:r>
          </w:p>
        </w:tc>
      </w:tr>
      <w:tr>
        <w:trPr/>
        <w:tc>
          <w:tcPr>
            <w:tcW w:w="1427" w:type="dxa"/>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Distributed practice</w:t>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3. Repetition over time</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review material studied in earlier sessions at later times.</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Study the same material again after a few days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Review notes every week</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Spread study time out instead of cramming</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a spaced repetition app</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Set reminders to review old topics</w:t>
            </w:r>
          </w:p>
        </w:tc>
      </w:tr>
      <w:tr>
        <w:trPr/>
        <w:tc>
          <w:tcPr>
            <w:tcW w:w="1427" w:type="dxa"/>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Rereading</w:t>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4. Reviewing previously compiled records</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reread tests, notes, or textbooks to prepare for class or further testing.</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Reread your notes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Go through highlighted textbook parts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Review past assignments or tests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Read your summaries again</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Look over old diagrams or charts</w:t>
            </w:r>
          </w:p>
        </w:tc>
      </w:tr>
      <w:tr>
        <w:trPr/>
        <w:tc>
          <w:tcPr>
            <w:tcW w:w="1427" w:type="dxa"/>
            <w:vMerge w:val="restart"/>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Selecting, organizing, and transforming key pieces of information</w:t>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5. Highlighting and underlining</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mark the central points of material to be learned.</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Highlight only the most important words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Underline main ideas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different colors for different themes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Add short notes next to highlighted text</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Mark confusing parts to revisit later</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6. Organizing and transforming</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overt or covert rearrangement of instructional materials to improve learning.</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Make outlines of chapters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Turn long text into bullet points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Create summary sheets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Group similar ideas together</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Rewrite content in your own structure (tables, lists)</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7. Keeping records and monitoring</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record events or results.</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Take notes during class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Keep a list of mistakes to fix</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Track vocabulary or formulas you miss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Keep a learning journal</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Check off what you have completed</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8. Visualization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create explanative or organizational drawings to illustrate lesson contents or forming mental images of the material.</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Draw diagrams or pictures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Make mind maps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Create flowcharts for processes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Imagine the information in your mind</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visual organizers (timelines, charts)</w:t>
            </w:r>
          </w:p>
        </w:tc>
      </w:tr>
      <w:tr>
        <w:trPr/>
        <w:tc>
          <w:tcPr>
            <w:tcW w:w="1427" w:type="dxa"/>
            <w:vMerge w:val="restart"/>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 xml:space="preserve">Elaboration </w:t>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9. Teaching and preparing to teach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understand material by explaining it to someone or preparing to do so.</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Explain the topic to a friend</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Pretend you’re teaching a class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Record yourself teaching</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Teach someone younger or less experienced</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Make a short presentation for practice</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10. Self-Explanation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understand material by verbally or mentally explaining how new information is related to previously learned material.</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Explain each step as you solve a problem</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Talk through how new ideas connect to old ones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Write down short explanations in your own words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Ask yourself “Why?” at each step</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Summarize what you just learned</w:t>
            </w:r>
          </w:p>
        </w:tc>
      </w:tr>
      <w:tr>
        <w:trPr/>
        <w:tc>
          <w:tcPr>
            <w:tcW w:w="1427" w:type="dxa"/>
            <w:vMerge w:val="restart"/>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 xml:space="preserve">Metacognitive strategies </w:t>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11. Goal setting and planning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 setting of educational goals or subgoals and planning for prioritizing, sequencing, timing, and completing activities related to those goals.</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Write weekly learning goals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Make to-do lists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Break big tasks into small steps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Plan study time on a calendar</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Set deadlines for each part</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12. Self-evaluating and regulation</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evaluations of the quality or progress of their work and their own level of understanding.</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Check your answers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Ask yourself if you really understand</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Look for what you still don’t get</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Change strategies if something isn’t working</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rubrics or checklists to track progress</w:t>
            </w:r>
          </w:p>
        </w:tc>
      </w:tr>
      <w:tr>
        <w:trPr/>
        <w:tc>
          <w:tcPr>
            <w:tcW w:w="1427" w:type="dxa"/>
            <w:vMerge w:val="restart"/>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 xml:space="preserve">Resources </w:t>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13. Environmental structuring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Statements indicating student-initiated efforts to select or arrange the physical setting to make learning easier. </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Study in a quiet place</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Put away your phone</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Clean your desk before studying</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earplugs or noise-cancelling headphones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Choose a place with good light and no distractions</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14. Self-consequences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 arrangement or imagination of rewards or punishment for success or failure.</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Reward yourself after finishing a task</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Set small treats after study sessions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“If I do X, then I can do Y” rules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Limit fun activities until study goals are done</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Track your rewards to stay motivated</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Use positive self-talk </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15. Seeking social assistance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solicit help from fellow students.</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Ask classmates for help</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Join a study group</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Message a friend about confusing topics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Work together on practice tasks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Discuss difficult ideas with peers</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16. Seeking and selecting information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secure further information from nonsocial sources when undertaking a task.</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Look up extra information online</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Read additional articles or textbook pages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Watch explanation videos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Search library databases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Find examples or alternative explanations</w:t>
            </w:r>
          </w:p>
        </w:tc>
      </w:tr>
      <w:tr>
        <w:trPr/>
        <w:tc>
          <w:tcPr>
            <w:tcW w:w="1427" w:type="dxa"/>
            <w:vMerge w:val="continue"/>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 xml:space="preserve">17. Time and attention management </w:t>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student-initiated efforts to structure their work periods and break times taking into account other commitments, motivation and focus.</w:t>
            </w:r>
          </w:p>
        </w:tc>
        <w:tc>
          <w:tcPr>
            <w:tcW w:w="4252" w:type="dxa"/>
            <w:tcBorders/>
            <w:tcMar>
              <w:left w:w="108" w:type="dxa"/>
              <w:right w:w="108" w:type="dxa"/>
            </w:tcMar>
          </w:tcPr>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Use a timer (Pomodoro method)</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Take regular breaks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Block distracting websites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Plan your most difficult tasks for your “best”</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Write daily study schedules</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Set limits for break time</w:t>
            </w:r>
          </w:p>
          <w:p>
            <w:pPr>
              <w:pStyle w:val="ListParagraph"/>
              <w:widowControl/>
              <w:numPr>
                <w:ilvl w:val="0"/>
                <w:numId w:val="1"/>
              </w:numPr>
              <w:suppressAutoHyphens w:val="true"/>
              <w:spacing w:lineRule="auto" w:line="240" w:before="0" w:after="0"/>
              <w:ind w:hanging="141" w:left="175"/>
              <w:contextualSpacing/>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Start with a short study session to “warm up”</w:t>
            </w:r>
          </w:p>
        </w:tc>
      </w:tr>
      <w:tr>
        <w:trPr/>
        <w:tc>
          <w:tcPr>
            <w:tcW w:w="1427" w:type="dxa"/>
            <w:tcBorders/>
          </w:tcPr>
          <w:p>
            <w:pPr>
              <w:pStyle w:val="Normal"/>
              <w:widowControl/>
              <w:suppressAutoHyphens w:val="true"/>
              <w:spacing w:lineRule="auto" w:line="240" w:before="0" w:after="0"/>
              <w:jc w:val="left"/>
              <w:rPr>
                <w:rFonts w:ascii="Times New Roman" w:hAnsi="Times New Roman" w:cs="Times New Roman"/>
                <w:b/>
                <w:bCs/>
                <w:color w:themeColor="dark1" w:val="000000"/>
                <w:sz w:val="20"/>
                <w:szCs w:val="20"/>
                <w:lang w:val="en-US"/>
              </w:rPr>
            </w:pPr>
            <w:r>
              <w:rPr>
                <w:rFonts w:eastAsia="Aptos" w:cs="Times New Roman" w:ascii="Times New Roman" w:hAnsi="Times New Roman"/>
                <w:b/>
                <w:bCs/>
                <w:color w:themeColor="dark1" w:val="000000"/>
                <w:kern w:val="2"/>
                <w:sz w:val="20"/>
                <w:szCs w:val="20"/>
                <w:lang w:val="en-US" w:eastAsia="en-US" w:bidi="ar-SA"/>
              </w:rPr>
              <w:t xml:space="preserve">Other </w:t>
            </w:r>
          </w:p>
        </w:tc>
        <w:tc>
          <w:tcPr>
            <w:tcW w:w="1545"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r>
          </w:p>
        </w:tc>
        <w:tc>
          <w:tcPr>
            <w:tcW w:w="2693" w:type="dxa"/>
            <w:tcBorders/>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t>Statements indicating learning behavior that is initiated by other persons such as teachers or parents, and all unclear verbal responses.</w:t>
            </w:r>
          </w:p>
        </w:tc>
        <w:tc>
          <w:tcPr>
            <w:tcW w:w="4252" w:type="dxa"/>
            <w:tcBorders/>
            <w:tcMar>
              <w:left w:w="108" w:type="dxa"/>
              <w:right w:w="108" w:type="dxa"/>
            </w:tcMar>
          </w:tcPr>
          <w:p>
            <w:pPr>
              <w:pStyle w:val="Normal"/>
              <w:widowControl/>
              <w:suppressAutoHyphens w:val="true"/>
              <w:spacing w:lineRule="auto" w:line="240" w:before="0" w:after="0"/>
              <w:jc w:val="left"/>
              <w:rPr>
                <w:rFonts w:ascii="Times New Roman" w:hAnsi="Times New Roman" w:cs="Times New Roman"/>
                <w:color w:themeColor="dark1" w:val="000000"/>
                <w:sz w:val="20"/>
                <w:szCs w:val="20"/>
                <w:lang w:val="en-US"/>
              </w:rPr>
            </w:pPr>
            <w:r>
              <w:rPr>
                <w:rFonts w:eastAsia="Aptos" w:cs="Times New Roman" w:ascii="Times New Roman" w:hAnsi="Times New Roman"/>
                <w:color w:themeColor="dark1" w:val="000000"/>
                <w:kern w:val="2"/>
                <w:sz w:val="20"/>
                <w:szCs w:val="20"/>
                <w:lang w:val="en-US" w:eastAsia="en-US" w:bidi="ar-SA"/>
              </w:rPr>
            </w:r>
          </w:p>
        </w:tc>
      </w:tr>
    </w:tbl>
    <w:p>
      <w:pPr>
        <w:pStyle w:val="Normal"/>
        <w:spacing w:lineRule="auto" w:line="240" w:before="0" w:after="0"/>
        <w:ind w:hanging="567" w:left="567"/>
        <w:rPr>
          <w:rFonts w:ascii="Times New Roman" w:hAnsi="Times New Roman" w:cs="Times New Roman"/>
          <w:sz w:val="20"/>
          <w:szCs w:val="20"/>
        </w:rPr>
      </w:pPr>
      <w:r>
        <w:rPr>
          <w:rFonts w:cs="Times New Roman" w:ascii="Times New Roman" w:hAnsi="Times New Roman"/>
          <w:i/>
          <w:iCs/>
          <w:color w:themeColor="dark1" w:val="000000"/>
          <w:sz w:val="20"/>
          <w:szCs w:val="20"/>
          <w:lang w:val="en-US"/>
        </w:rPr>
        <w:t>Note:</w:t>
      </w:r>
      <w:r>
        <w:rPr>
          <w:rFonts w:cs="Times New Roman" w:ascii="Times New Roman" w:hAnsi="Times New Roman"/>
          <w:color w:themeColor="dark1" w:val="000000"/>
          <w:sz w:val="20"/>
          <w:szCs w:val="20"/>
          <w:lang w:val="en-US"/>
        </w:rPr>
        <w:t xml:space="preserve"> The original set of SRL strategies (Zimmerman &amp; Martinez-Pons, 1986) has been updated in the current presentation with updated list of learning strategies categorized as effective by more recent research (Dunlosky et al., 2013; </w:t>
      </w:r>
      <w:r>
        <w:rPr>
          <w:rFonts w:cs="Times New Roman" w:ascii="Times New Roman" w:hAnsi="Times New Roman"/>
          <w:sz w:val="20"/>
          <w:szCs w:val="20"/>
        </w:rPr>
        <w:t xml:space="preserve">Fiorella &amp; Mayer, 2015; </w:t>
      </w:r>
      <w:r>
        <w:rPr>
          <w:rFonts w:cs="Times New Roman" w:ascii="Times New Roman" w:hAnsi="Times New Roman"/>
          <w:color w:themeColor="dark1" w:val="000000"/>
          <w:sz w:val="20"/>
          <w:szCs w:val="20"/>
          <w:lang w:val="en-US"/>
        </w:rPr>
        <w:t xml:space="preserve">Kirschner &amp; Hendrick, 2024). </w:t>
      </w:r>
      <w:r>
        <w:rPr>
          <w:rFonts w:cs="Times New Roman" w:ascii="Times New Roman" w:hAnsi="Times New Roman"/>
          <w:sz w:val="20"/>
          <w:szCs w:val="20"/>
        </w:rPr>
        <w:t xml:space="preserve">The identified learning strategies and behaviors were combined into larger categories loosely following the classification by APLE 1. </w:t>
      </w:r>
    </w:p>
    <w:p>
      <w:pPr>
        <w:pStyle w:val="Normal"/>
        <w:spacing w:lineRule="auto" w:line="240" w:before="0" w:after="0"/>
        <w:ind w:hanging="567" w:left="567"/>
        <w:rPr>
          <w:rFonts w:ascii="Times New Roman" w:hAnsi="Times New Roman" w:cs="Times New Roman"/>
          <w:color w:themeColor="dark1" w:val="000000"/>
          <w:sz w:val="20"/>
          <w:szCs w:val="20"/>
          <w:lang w:val="en-US"/>
        </w:rPr>
      </w:pPr>
      <w:r>
        <w:rPr>
          <w:rFonts w:cs="Times New Roman" w:ascii="Times New Roman" w:hAnsi="Times New Roman"/>
          <w:color w:themeColor="dark1" w:val="000000"/>
          <w:sz w:val="20"/>
          <w:szCs w:val="20"/>
          <w:lang w:val="en-US"/>
        </w:rPr>
      </w:r>
    </w:p>
    <w:p>
      <w:pPr>
        <w:pStyle w:val="Normal"/>
        <w:numPr>
          <w:ilvl w:val="0"/>
          <w:numId w:val="0"/>
        </w:numPr>
        <w:spacing w:lineRule="auto" w:line="240" w:beforeAutospacing="1" w:afterAutospacing="1"/>
        <w:outlineLvl w:val="2"/>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br/>
      </w:r>
    </w:p>
    <w:p>
      <w:pPr>
        <w:pStyle w:val="Normal"/>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r>
      <w:r>
        <w:br w:type="page"/>
      </w:r>
    </w:p>
    <w:p>
      <w:pPr>
        <w:pStyle w:val="Normal"/>
        <w:numPr>
          <w:ilvl w:val="0"/>
          <w:numId w:val="0"/>
        </w:numPr>
        <w:spacing w:lineRule="auto" w:line="240" w:beforeAutospacing="1" w:afterAutospacing="1"/>
        <w:outlineLvl w:val="2"/>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eastAsia="en-GB"/>
          <w14:ligatures w14:val="none"/>
        </w:rPr>
        <w:t>Working models and old tables:</w:t>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p1"/>
        <w:rPr>
          <w:sz w:val="20"/>
          <w:szCs w:val="20"/>
        </w:rPr>
      </w:pPr>
      <w:r>
        <w:rPr>
          <w:sz w:val="20"/>
          <w:szCs w:val="20"/>
        </w:rPr>
        <w:t>Table of Learning Strategies (Based on Zimmerman &amp; Pons, 1986)</w:t>
      </w:r>
    </w:p>
    <w:p>
      <w:pPr>
        <w:pStyle w:val="p1"/>
        <w:rPr>
          <w:rFonts w:ascii="Times New Roman" w:hAnsi="Times New Roman"/>
          <w:sz w:val="20"/>
          <w:szCs w:val="20"/>
        </w:rPr>
      </w:pPr>
      <w:r>
        <w:rPr>
          <w:rFonts w:ascii="Times New Roman" w:hAnsi="Times New Roman"/>
          <w:sz w:val="20"/>
          <w:szCs w:val="20"/>
        </w:rPr>
      </w:r>
    </w:p>
    <w:tbl>
      <w:tblPr>
        <w:tblStyle w:val="TableGrid"/>
        <w:tblW w:w="10456" w:type="dxa"/>
        <w:jc w:val="left"/>
        <w:tblInd w:w="0" w:type="dxa"/>
        <w:tblLayout w:type="fixed"/>
        <w:tblCellMar>
          <w:top w:w="0" w:type="dxa"/>
          <w:left w:w="28" w:type="dxa"/>
          <w:bottom w:w="0" w:type="dxa"/>
          <w:right w:w="28" w:type="dxa"/>
        </w:tblCellMar>
        <w:tblLook w:val="04a0" w:noVBand="1" w:noHBand="0" w:lastColumn="0" w:firstColumn="1" w:lastRow="0" w:firstRow="1"/>
      </w:tblPr>
      <w:tblGrid>
        <w:gridCol w:w="2099"/>
        <w:gridCol w:w="8356"/>
      </w:tblGrid>
      <w:tr>
        <w:trPr/>
        <w:tc>
          <w:tcPr>
            <w:tcW w:w="2099" w:type="dxa"/>
            <w:tcBorders/>
          </w:tcPr>
          <w:p>
            <w:pPr>
              <w:pStyle w:val="Normal"/>
              <w:widowControl/>
              <w:suppressAutoHyphens w:val="true"/>
              <w:spacing w:lineRule="auto" w:line="240" w:before="0" w:after="0"/>
              <w:jc w:val="center"/>
              <w:rPr>
                <w:rFonts w:ascii="Times New Roman" w:hAnsi="Times New Roman" w:eastAsia="Times New Roman" w:cs="Times New Roman"/>
                <w:b/>
                <w:bCs/>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Category of Strategy</w:t>
            </w:r>
          </w:p>
        </w:tc>
        <w:tc>
          <w:tcPr>
            <w:tcW w:w="8356" w:type="dxa"/>
            <w:tcBorders/>
          </w:tcPr>
          <w:p>
            <w:pPr>
              <w:pStyle w:val="Normal"/>
              <w:widowControl/>
              <w:suppressAutoHyphens w:val="true"/>
              <w:spacing w:lineRule="auto" w:line="240" w:before="0" w:after="0"/>
              <w:jc w:val="center"/>
              <w:rPr>
                <w:rFonts w:ascii="Times New Roman" w:hAnsi="Times New Roman" w:eastAsia="Times New Roman" w:cs="Times New Roman"/>
                <w:b/>
                <w:bCs/>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Definition</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1. Self-evaluation</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student-initiated evaluations of their progress or the quality of their work (e.g., </w:t>
            </w:r>
            <w:r>
              <w:rPr>
                <w:rFonts w:eastAsia="Times New Roman" w:cs="Times New Roman" w:ascii="Times New Roman" w:hAnsi="Times New Roman"/>
                <w:i/>
                <w:iCs/>
                <w:kern w:val="0"/>
                <w:sz w:val="20"/>
                <w:szCs w:val="20"/>
                <w:lang w:val="en-RS" w:eastAsia="en-GB" w:bidi="ar-SA"/>
                <w14:ligatures w14:val="none"/>
              </w:rPr>
              <w:t>“I check my answers to ensure I solved the problem correctly.”</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2. Organizing and transforming</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overt or covert rearrangement of instructional materials to improve learning (e.g., </w:t>
            </w:r>
            <w:r>
              <w:rPr>
                <w:rFonts w:eastAsia="Times New Roman" w:cs="Times New Roman" w:ascii="Times New Roman" w:hAnsi="Times New Roman"/>
                <w:i/>
                <w:iCs/>
                <w:kern w:val="0"/>
                <w:sz w:val="20"/>
                <w:szCs w:val="20"/>
                <w:lang w:val="en-RS" w:eastAsia="en-GB" w:bidi="ar-SA"/>
                <w14:ligatures w14:val="none"/>
              </w:rPr>
              <w:t>“I create an outline before I start writing my essay.”</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3. Goal setting and planning</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student-generated goals, subgoals, and plans for sequencing, timing, and completing tasks (e.g., </w:t>
            </w:r>
            <w:r>
              <w:rPr>
                <w:rFonts w:eastAsia="Times New Roman" w:cs="Times New Roman" w:ascii="Times New Roman" w:hAnsi="Times New Roman"/>
                <w:i/>
                <w:iCs/>
                <w:kern w:val="0"/>
                <w:sz w:val="20"/>
                <w:szCs w:val="20"/>
                <w:lang w:val="en-RS" w:eastAsia="en-GB" w:bidi="ar-SA"/>
                <w14:ligatures w14:val="none"/>
              </w:rPr>
              <w:t>“I start studying two weeks before exams and divide the material into small sections.”</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4. Seeking information</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deliberate efforts to obtain additional task-related information from nonsocial sources (e.g., </w:t>
            </w:r>
            <w:r>
              <w:rPr>
                <w:rFonts w:eastAsia="Times New Roman" w:cs="Times New Roman" w:ascii="Times New Roman" w:hAnsi="Times New Roman"/>
                <w:i/>
                <w:iCs/>
                <w:kern w:val="0"/>
                <w:sz w:val="20"/>
                <w:szCs w:val="20"/>
                <w:lang w:val="en-RS" w:eastAsia="en-GB" w:bidi="ar-SA"/>
                <w14:ligatures w14:val="none"/>
              </w:rPr>
              <w:t>“Before writing the paper, I searched reference books to learn more about the topic.”</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5. Keeping records and monitoring</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efforts to record events, errors, or results to track learning progress (e.g., </w:t>
            </w:r>
            <w:r>
              <w:rPr>
                <w:rFonts w:eastAsia="Times New Roman" w:cs="Times New Roman" w:ascii="Times New Roman" w:hAnsi="Times New Roman"/>
                <w:i/>
                <w:iCs/>
                <w:kern w:val="0"/>
                <w:sz w:val="20"/>
                <w:szCs w:val="20"/>
                <w:lang w:val="en-RS" w:eastAsia="en-GB" w:bidi="ar-SA"/>
                <w14:ligatures w14:val="none"/>
              </w:rPr>
              <w:t>“I take notes during discussion,” “I keep a list of vocabulary words I missed.”</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6. Environmental structuring</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intentional arrangement of the physical learning environment to reduce distractions or improve focus (e.g., </w:t>
            </w:r>
            <w:r>
              <w:rPr>
                <w:rFonts w:eastAsia="Times New Roman" w:cs="Times New Roman" w:ascii="Times New Roman" w:hAnsi="Times New Roman"/>
                <w:i/>
                <w:iCs/>
                <w:kern w:val="0"/>
                <w:sz w:val="20"/>
                <w:szCs w:val="20"/>
                <w:lang w:val="en-RS" w:eastAsia="en-GB" w:bidi="ar-SA"/>
                <w14:ligatures w14:val="none"/>
              </w:rPr>
              <w:t>“I turn off my phone to concentrate better.”</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7. Self-consequences</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students create or imagine rewards/punishments for their performance (e.g., </w:t>
            </w:r>
            <w:r>
              <w:rPr>
                <w:rFonts w:eastAsia="Times New Roman" w:cs="Times New Roman" w:ascii="Times New Roman" w:hAnsi="Times New Roman"/>
                <w:i/>
                <w:iCs/>
                <w:kern w:val="0"/>
                <w:sz w:val="20"/>
                <w:szCs w:val="20"/>
                <w:lang w:val="en-RS" w:eastAsia="en-GB" w:bidi="ar-SA"/>
                <w14:ligatures w14:val="none"/>
              </w:rPr>
              <w:t>“If I finish this assignment early, I allow myself to watch a show.”</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8. Rehearsing and memorizing</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repeated practice or memory-enhancing procedures (e.g., </w:t>
            </w:r>
            <w:r>
              <w:rPr>
                <w:rFonts w:eastAsia="Times New Roman" w:cs="Times New Roman" w:ascii="Times New Roman" w:hAnsi="Times New Roman"/>
                <w:i/>
                <w:iCs/>
                <w:kern w:val="0"/>
                <w:sz w:val="20"/>
                <w:szCs w:val="20"/>
                <w:lang w:val="en-RS" w:eastAsia="en-GB" w:bidi="ar-SA"/>
                <w14:ligatures w14:val="none"/>
              </w:rPr>
              <w:t>“I rewrite formulas until I remember them.”</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9–11. Seeking social assistance</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efforts to obtain help from </w:t>
            </w:r>
            <w:r>
              <w:rPr>
                <w:rFonts w:eastAsia="Times New Roman" w:cs="Times New Roman" w:ascii="Times New Roman" w:hAnsi="Times New Roman"/>
                <w:b/>
                <w:bCs/>
                <w:kern w:val="0"/>
                <w:sz w:val="20"/>
                <w:szCs w:val="20"/>
                <w:lang w:val="en-RS" w:eastAsia="en-GB" w:bidi="ar-SA"/>
                <w14:ligatures w14:val="none"/>
              </w:rPr>
              <w:t>peers (9)</w:t>
            </w:r>
            <w:r>
              <w:rPr>
                <w:rFonts w:eastAsia="Times New Roman" w:cs="Times New Roman" w:ascii="Times New Roman" w:hAnsi="Times New Roman"/>
                <w:kern w:val="0"/>
                <w:sz w:val="20"/>
                <w:szCs w:val="20"/>
                <w:lang w:val="en-RS" w:eastAsia="en-GB" w:bidi="ar-SA"/>
                <w14:ligatures w14:val="none"/>
              </w:rPr>
              <w:t xml:space="preserve">, </w:t>
            </w:r>
            <w:r>
              <w:rPr>
                <w:rFonts w:eastAsia="Times New Roman" w:cs="Times New Roman" w:ascii="Times New Roman" w:hAnsi="Times New Roman"/>
                <w:b/>
                <w:bCs/>
                <w:kern w:val="0"/>
                <w:sz w:val="20"/>
                <w:szCs w:val="20"/>
                <w:lang w:val="en-RS" w:eastAsia="en-GB" w:bidi="ar-SA"/>
                <w14:ligatures w14:val="none"/>
              </w:rPr>
              <w:t>teachers (10)</w:t>
            </w:r>
            <w:r>
              <w:rPr>
                <w:rFonts w:eastAsia="Times New Roman" w:cs="Times New Roman" w:ascii="Times New Roman" w:hAnsi="Times New Roman"/>
                <w:kern w:val="0"/>
                <w:sz w:val="20"/>
                <w:szCs w:val="20"/>
                <w:lang w:val="en-RS" w:eastAsia="en-GB" w:bidi="ar-SA"/>
                <w14:ligatures w14:val="none"/>
              </w:rPr>
              <w:t xml:space="preserve">, or </w:t>
            </w:r>
            <w:r>
              <w:rPr>
                <w:rFonts w:eastAsia="Times New Roman" w:cs="Times New Roman" w:ascii="Times New Roman" w:hAnsi="Times New Roman"/>
                <w:b/>
                <w:bCs/>
                <w:kern w:val="0"/>
                <w:sz w:val="20"/>
                <w:szCs w:val="20"/>
                <w:lang w:val="en-RS" w:eastAsia="en-GB" w:bidi="ar-SA"/>
                <w14:ligatures w14:val="none"/>
              </w:rPr>
              <w:t>adults/experts (11)</w:t>
            </w:r>
            <w:r>
              <w:rPr>
                <w:rFonts w:eastAsia="Times New Roman" w:cs="Times New Roman" w:ascii="Times New Roman" w:hAnsi="Times New Roman"/>
                <w:kern w:val="0"/>
                <w:sz w:val="20"/>
                <w:szCs w:val="20"/>
                <w:lang w:val="en-RS" w:eastAsia="en-GB" w:bidi="ar-SA"/>
                <w14:ligatures w14:val="none"/>
              </w:rPr>
              <w:t xml:space="preserve"> (e.g., </w:t>
            </w:r>
            <w:r>
              <w:rPr>
                <w:rFonts w:eastAsia="Times New Roman" w:cs="Times New Roman" w:ascii="Times New Roman" w:hAnsi="Times New Roman"/>
                <w:i/>
                <w:iCs/>
                <w:kern w:val="0"/>
                <w:sz w:val="20"/>
                <w:szCs w:val="20"/>
                <w:lang w:val="en-RS" w:eastAsia="en-GB" w:bidi="ar-SA"/>
                <w14:ligatures w14:val="none"/>
              </w:rPr>
              <w:t>“If I get stuck, I ask a classmate to explain it.”</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12–14. Reviewing records</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rereading of </w:t>
            </w:r>
            <w:r>
              <w:rPr>
                <w:rFonts w:eastAsia="Times New Roman" w:cs="Times New Roman" w:ascii="Times New Roman" w:hAnsi="Times New Roman"/>
                <w:b/>
                <w:bCs/>
                <w:kern w:val="0"/>
                <w:sz w:val="20"/>
                <w:szCs w:val="20"/>
                <w:lang w:val="en-RS" w:eastAsia="en-GB" w:bidi="ar-SA"/>
                <w14:ligatures w14:val="none"/>
              </w:rPr>
              <w:t>tests (12)</w:t>
            </w:r>
            <w:r>
              <w:rPr>
                <w:rFonts w:eastAsia="Times New Roman" w:cs="Times New Roman" w:ascii="Times New Roman" w:hAnsi="Times New Roman"/>
                <w:kern w:val="0"/>
                <w:sz w:val="20"/>
                <w:szCs w:val="20"/>
                <w:lang w:val="en-RS" w:eastAsia="en-GB" w:bidi="ar-SA"/>
                <w14:ligatures w14:val="none"/>
              </w:rPr>
              <w:t xml:space="preserve">, </w:t>
            </w:r>
            <w:r>
              <w:rPr>
                <w:rFonts w:eastAsia="Times New Roman" w:cs="Times New Roman" w:ascii="Times New Roman" w:hAnsi="Times New Roman"/>
                <w:b/>
                <w:bCs/>
                <w:kern w:val="0"/>
                <w:sz w:val="20"/>
                <w:szCs w:val="20"/>
                <w:lang w:val="en-RS" w:eastAsia="en-GB" w:bidi="ar-SA"/>
                <w14:ligatures w14:val="none"/>
              </w:rPr>
              <w:t>notes (13)</w:t>
            </w:r>
            <w:r>
              <w:rPr>
                <w:rFonts w:eastAsia="Times New Roman" w:cs="Times New Roman" w:ascii="Times New Roman" w:hAnsi="Times New Roman"/>
                <w:kern w:val="0"/>
                <w:sz w:val="20"/>
                <w:szCs w:val="20"/>
                <w:lang w:val="en-RS" w:eastAsia="en-GB" w:bidi="ar-SA"/>
                <w14:ligatures w14:val="none"/>
              </w:rPr>
              <w:t xml:space="preserve">, or </w:t>
            </w:r>
            <w:r>
              <w:rPr>
                <w:rFonts w:eastAsia="Times New Roman" w:cs="Times New Roman" w:ascii="Times New Roman" w:hAnsi="Times New Roman"/>
                <w:b/>
                <w:bCs/>
                <w:kern w:val="0"/>
                <w:sz w:val="20"/>
                <w:szCs w:val="20"/>
                <w:lang w:val="en-RS" w:eastAsia="en-GB" w:bidi="ar-SA"/>
                <w14:ligatures w14:val="none"/>
              </w:rPr>
              <w:t>textbooks (14)</w:t>
            </w:r>
            <w:r>
              <w:rPr>
                <w:rFonts w:eastAsia="Times New Roman" w:cs="Times New Roman" w:ascii="Times New Roman" w:hAnsi="Times New Roman"/>
                <w:kern w:val="0"/>
                <w:sz w:val="20"/>
                <w:szCs w:val="20"/>
                <w:lang w:val="en-RS" w:eastAsia="en-GB" w:bidi="ar-SA"/>
                <w14:ligatures w14:val="none"/>
              </w:rPr>
              <w:t xml:space="preserve"> to prepare for class or tests (e.g., </w:t>
            </w:r>
            <w:r>
              <w:rPr>
                <w:rFonts w:eastAsia="Times New Roman" w:cs="Times New Roman" w:ascii="Times New Roman" w:hAnsi="Times New Roman"/>
                <w:i/>
                <w:iCs/>
                <w:kern w:val="0"/>
                <w:sz w:val="20"/>
                <w:szCs w:val="20"/>
                <w:lang w:val="en-RS" w:eastAsia="en-GB" w:bidi="ar-SA"/>
                <w14:ligatures w14:val="none"/>
              </w:rPr>
              <w:t>“I review my notes before quizzes.”</w:t>
            </w:r>
            <w:r>
              <w:rPr>
                <w:rFonts w:eastAsia="Times New Roman" w:cs="Times New Roman" w:ascii="Times New Roman" w:hAnsi="Times New Roman"/>
                <w:kern w:val="0"/>
                <w:sz w:val="20"/>
                <w:szCs w:val="20"/>
                <w:lang w:val="en-RS" w:eastAsia="en-GB" w:bidi="ar-SA"/>
                <w14:ligatures w14:val="none"/>
              </w:rPr>
              <w:t>).</w:t>
            </w:r>
          </w:p>
        </w:tc>
      </w:tr>
      <w:tr>
        <w:trPr/>
        <w:tc>
          <w:tcPr>
            <w:tcW w:w="2099"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15. Other</w:t>
            </w:r>
          </w:p>
        </w:tc>
        <w:tc>
          <w:tcPr>
            <w:tcW w:w="8356"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Statements indicating behaviors initiated by another person (teacher, parent) or unclear responses (e.g., </w:t>
            </w:r>
            <w:r>
              <w:rPr>
                <w:rFonts w:eastAsia="Times New Roman" w:cs="Times New Roman" w:ascii="Times New Roman" w:hAnsi="Times New Roman"/>
                <w:i/>
                <w:iCs/>
                <w:kern w:val="0"/>
                <w:sz w:val="20"/>
                <w:szCs w:val="20"/>
                <w:lang w:val="en-RS" w:eastAsia="en-GB" w:bidi="ar-SA"/>
                <w14:ligatures w14:val="none"/>
              </w:rPr>
              <w:t>“I just follow what the teacher says.”</w:t>
            </w:r>
            <w:r>
              <w:rPr>
                <w:rFonts w:eastAsia="Times New Roman" w:cs="Times New Roman" w:ascii="Times New Roman" w:hAnsi="Times New Roman"/>
                <w:kern w:val="0"/>
                <w:sz w:val="20"/>
                <w:szCs w:val="20"/>
                <w:lang w:val="en-RS" w:eastAsia="en-GB" w:bidi="ar-SA"/>
                <w14:ligatures w14:val="none"/>
              </w:rPr>
              <w:t>).</w:t>
            </w:r>
          </w:p>
        </w:tc>
      </w:tr>
    </w:tbl>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t>From APLE1 Table of Learning Strategy Categories and Associated Strategies</w:t>
      </w:r>
    </w:p>
    <w:tbl>
      <w:tblPr>
        <w:tblStyle w:val="TableGrid"/>
        <w:tblW w:w="9634" w:type="dxa"/>
        <w:jc w:val="left"/>
        <w:tblInd w:w="0" w:type="dxa"/>
        <w:tblLayout w:type="fixed"/>
        <w:tblCellMar>
          <w:top w:w="0" w:type="dxa"/>
          <w:left w:w="28" w:type="dxa"/>
          <w:bottom w:w="0" w:type="dxa"/>
          <w:right w:w="28" w:type="dxa"/>
        </w:tblCellMar>
        <w:tblLook w:val="04a0" w:noVBand="1" w:noHBand="0" w:lastColumn="0" w:firstColumn="1" w:lastRow="0" w:firstRow="1"/>
      </w:tblPr>
      <w:tblGrid>
        <w:gridCol w:w="1413"/>
        <w:gridCol w:w="4677"/>
        <w:gridCol w:w="3544"/>
      </w:tblGrid>
      <w:tr>
        <w:trPr/>
        <w:tc>
          <w:tcPr>
            <w:tcW w:w="1413" w:type="dxa"/>
            <w:tcBorders/>
          </w:tcPr>
          <w:p>
            <w:pPr>
              <w:pStyle w:val="Normal"/>
              <w:widowControl/>
              <w:suppressAutoHyphens w:val="true"/>
              <w:spacing w:lineRule="auto" w:line="240" w:before="0" w:after="0"/>
              <w:jc w:val="center"/>
              <w:rPr>
                <w:rFonts w:ascii="Times New Roman" w:hAnsi="Times New Roman" w:eastAsia="Times New Roman" w:cs="Times New Roman"/>
                <w:b/>
                <w:bCs/>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Name</w:t>
            </w:r>
          </w:p>
        </w:tc>
        <w:tc>
          <w:tcPr>
            <w:tcW w:w="4677" w:type="dxa"/>
            <w:tcBorders/>
          </w:tcPr>
          <w:p>
            <w:pPr>
              <w:pStyle w:val="Normal"/>
              <w:widowControl/>
              <w:suppressAutoHyphens w:val="true"/>
              <w:spacing w:lineRule="auto" w:line="240" w:before="0" w:after="0"/>
              <w:jc w:val="center"/>
              <w:rPr>
                <w:rFonts w:ascii="Times New Roman" w:hAnsi="Times New Roman" w:eastAsia="Times New Roman" w:cs="Times New Roman"/>
                <w:b/>
                <w:bCs/>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Description</w:t>
            </w:r>
          </w:p>
        </w:tc>
        <w:tc>
          <w:tcPr>
            <w:tcW w:w="3544" w:type="dxa"/>
            <w:tcBorders/>
          </w:tcPr>
          <w:p>
            <w:pPr>
              <w:pStyle w:val="ListParagraph"/>
              <w:widowControl/>
              <w:suppressAutoHyphens w:val="true"/>
              <w:spacing w:lineRule="auto" w:line="240" w:before="0" w:after="0"/>
              <w:ind w:left="113"/>
              <w:contextualSpacing/>
              <w:jc w:val="left"/>
              <w:rPr>
                <w:rFonts w:ascii="Times New Roman" w:hAnsi="Times New Roman" w:eastAsia="Times New Roman" w:cs="Times New Roman"/>
                <w:b/>
                <w:bCs/>
                <w:kern w:val="0"/>
                <w:sz w:val="20"/>
                <w:szCs w:val="20"/>
                <w:lang w:eastAsia="en-GB"/>
                <w14:ligatures w14:val="none"/>
              </w:rPr>
            </w:pPr>
            <w:r>
              <w:rPr>
                <w:rFonts w:eastAsia="Times New Roman" w:cs="Times New Roman" w:ascii="Times New Roman" w:hAnsi="Times New Roman"/>
                <w:b/>
                <w:bCs/>
                <w:kern w:val="0"/>
                <w:sz w:val="20"/>
                <w:szCs w:val="20"/>
                <w:lang w:val="en-RS" w:eastAsia="en-GB" w:bidi="ar-SA"/>
                <w14:ligatures w14:val="none"/>
              </w:rPr>
              <w:t>Strategies/methods</w:t>
            </w:r>
          </w:p>
        </w:tc>
      </w:tr>
      <w:tr>
        <w:trPr/>
        <w:tc>
          <w:tcPr>
            <w:tcW w:w="1413"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Organizing Learning Materials</w:t>
            </w:r>
          </w:p>
        </w:tc>
        <w:tc>
          <w:tcPr>
            <w:tcW w:w="4677"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Organizational strategies concern how learners structure and prepare knowledge for further learning processes. Examples include mind maps, excerpts, outlines, and collecting essential content (tables, diagrams, charts, lists).</w:t>
            </w:r>
          </w:p>
        </w:tc>
        <w:tc>
          <w:tcPr>
            <w:tcW w:w="3544" w:type="dxa"/>
            <w:tcBorders/>
          </w:tcPr>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Skimming for overview;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Mind map;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Excerpts / summaries;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Outlines;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Structuring knowledge;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Creating flashcards early</w:t>
            </w:r>
          </w:p>
        </w:tc>
      </w:tr>
      <w:tr>
        <w:trPr/>
        <w:tc>
          <w:tcPr>
            <w:tcW w:w="1413"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Elaborating Content</w:t>
            </w:r>
          </w:p>
        </w:tc>
        <w:tc>
          <w:tcPr>
            <w:tcW w:w="4677"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Elaboration strategies are used to generate extended knowledge. Learners rely on internalized schemas to create connections across content (e.g., synthesizing knowledge).</w:t>
            </w:r>
          </w:p>
        </w:tc>
        <w:tc>
          <w:tcPr>
            <w:tcW w:w="3544" w:type="dxa"/>
            <w:tcBorders/>
          </w:tcPr>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Fast reading;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Improving reading comprehension;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Mapping onto known schemas;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Critical questioning;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Making connections to other subjects;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PQ4R method</w:t>
            </w:r>
          </w:p>
        </w:tc>
      </w:tr>
      <w:tr>
        <w:trPr/>
        <w:tc>
          <w:tcPr>
            <w:tcW w:w="1413"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Building Knowledge</w:t>
            </w:r>
          </w:p>
        </w:tc>
        <w:tc>
          <w:tcPr>
            <w:tcW w:w="4677"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Rehearsal strategies help learners memorize content for long-term retention and quick retrieval. Typical activities include rote memorization with flashcards and repetitive practice.</w:t>
            </w:r>
          </w:p>
        </w:tc>
        <w:tc>
          <w:tcPr>
            <w:tcW w:w="3544" w:type="dxa"/>
            <w:tcBorders/>
          </w:tcPr>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Flashcard system;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Repetition;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Small memory aids;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Mnemonics for complex content</w:t>
            </w:r>
          </w:p>
        </w:tc>
      </w:tr>
      <w:tr>
        <w:trPr/>
        <w:tc>
          <w:tcPr>
            <w:tcW w:w="1413"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Improving the Learning Process</w:t>
            </w:r>
          </w:p>
        </w:tc>
        <w:tc>
          <w:tcPr>
            <w:tcW w:w="4677"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Planning, reflecting on, and adjusting the use of strategies is central here. Students should analyze exam requirements, use resources, plan their time, and reflect on learning experiences to identify and close knowledge gaps more efficiently.</w:t>
            </w:r>
          </w:p>
        </w:tc>
        <w:tc>
          <w:tcPr>
            <w:tcW w:w="3544" w:type="dxa"/>
            <w:tcBorders/>
          </w:tcPr>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Planning;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Preparing;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Self-assessment;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Regulation strategies;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Goal setting</w:t>
            </w:r>
          </w:p>
        </w:tc>
      </w:tr>
      <w:tr>
        <w:trPr/>
        <w:tc>
          <w:tcPr>
            <w:tcW w:w="1413"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Using Resources</w:t>
            </w:r>
          </w:p>
        </w:tc>
        <w:tc>
          <w:tcPr>
            <w:tcW w:w="4677" w:type="dxa"/>
            <w:tcBorders/>
          </w:tcPr>
          <w:p>
            <w:pPr>
              <w:pStyle w:val="Normal"/>
              <w:widowControl/>
              <w:suppressAutoHyphens w:val="true"/>
              <w:spacing w:lineRule="auto" w:line="240" w:before="0" w:after="0"/>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To balance academic, work, and personal commitments, learners must understand their available resources and manage time and energy effectively. Motivation increases through self-commitment, reward, recovery, and good time management.</w:t>
            </w:r>
          </w:p>
        </w:tc>
        <w:tc>
          <w:tcPr>
            <w:tcW w:w="3544" w:type="dxa"/>
            <w:tcBorders/>
          </w:tcPr>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Effort management;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Attention management;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Resource management;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Time management;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Effective time management;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Learning partners;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Self-commitment;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 xml:space="preserve">Literature; </w:t>
            </w:r>
          </w:p>
          <w:p>
            <w:pPr>
              <w:pStyle w:val="ListParagraph"/>
              <w:widowControl/>
              <w:numPr>
                <w:ilvl w:val="0"/>
                <w:numId w:val="2"/>
              </w:numPr>
              <w:suppressAutoHyphens w:val="true"/>
              <w:spacing w:lineRule="auto" w:line="240" w:before="0" w:after="0"/>
              <w:ind w:hanging="113" w:left="113"/>
              <w:contextualSpacing/>
              <w:jc w:val="left"/>
              <w:rPr>
                <w:rFonts w:ascii="Times New Roman" w:hAnsi="Times New Roman" w:eastAsia="Times New Roman" w:cs="Times New Roman"/>
                <w:kern w:val="0"/>
                <w:sz w:val="20"/>
                <w:szCs w:val="20"/>
                <w:lang w:eastAsia="en-GB"/>
                <w14:ligatures w14:val="none"/>
              </w:rPr>
            </w:pPr>
            <w:r>
              <w:rPr>
                <w:rFonts w:eastAsia="Times New Roman" w:cs="Times New Roman" w:ascii="Times New Roman" w:hAnsi="Times New Roman"/>
                <w:kern w:val="0"/>
                <w:sz w:val="20"/>
                <w:szCs w:val="20"/>
                <w:lang w:val="en-RS" w:eastAsia="en-GB" w:bidi="ar-SA"/>
                <w14:ligatures w14:val="none"/>
              </w:rPr>
              <w:t>Avoiding time-wasters</w:t>
            </w:r>
          </w:p>
        </w:tc>
      </w:tr>
    </w:tbl>
    <w:p>
      <w:pPr>
        <w:pStyle w:val="Normal"/>
        <w:spacing w:lineRule="auto" w:line="240" w:before="0" w:after="0"/>
        <w:rPr>
          <w:rFonts w:ascii="Times New Roman" w:hAnsi="Times New Roman" w:cs="Times New Roman"/>
          <w:sz w:val="20"/>
          <w:szCs w:val="20"/>
        </w:rPr>
      </w:pPr>
      <w:r>
        <w:rPr>
          <w:rFonts w:cs="Times New Roman" w:ascii="Times New Roman" w:hAnsi="Times New Roman"/>
          <w:sz w:val="20"/>
          <w:szCs w:val="20"/>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Helvetica">
    <w:altName w:val="Arial"/>
    <w:charset w:val="01"/>
    <w:family w:val="auto"/>
    <w:pitch w:val="variable"/>
  </w:font>
  <w:font w:name="Times New Roman">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 w:name="Helvetica">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Helvetica" w:hAnsi="Helvetica" w:cs="Helvetic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R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R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RS" w:eastAsia="en-US" w:bidi="ar-SA"/>
      <w14:ligatures w14:val="standardContextual"/>
    </w:rPr>
  </w:style>
  <w:style w:type="paragraph" w:styleId="Heading1">
    <w:name w:val="heading 1"/>
    <w:basedOn w:val="Normal"/>
    <w:next w:val="Normal"/>
    <w:link w:val="Heading1Char"/>
    <w:uiPriority w:val="9"/>
    <w:qFormat/>
    <w:rsid w:val="0040118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0118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40118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0118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0118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0118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0118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0118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0118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0118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0118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40118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0118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0118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0118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0118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0118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0118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0118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0118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01185"/>
    <w:rPr>
      <w:i/>
      <w:iCs/>
      <w:color w:themeColor="text1" w:themeTint="bf" w:val="404040"/>
    </w:rPr>
  </w:style>
  <w:style w:type="character" w:styleId="IntenseEmphasis">
    <w:name w:val="Intense Emphasis"/>
    <w:basedOn w:val="DefaultParagraphFont"/>
    <w:uiPriority w:val="21"/>
    <w:qFormat/>
    <w:rsid w:val="00401185"/>
    <w:rPr>
      <w:i/>
      <w:iCs/>
      <w:color w:themeColor="accent1" w:themeShade="bf" w:val="0F4761"/>
    </w:rPr>
  </w:style>
  <w:style w:type="character" w:styleId="IntenseQuoteChar" w:customStyle="1">
    <w:name w:val="Intense Quote Char"/>
    <w:basedOn w:val="DefaultParagraphFont"/>
    <w:link w:val="IntenseQuote"/>
    <w:uiPriority w:val="30"/>
    <w:qFormat/>
    <w:rsid w:val="00401185"/>
    <w:rPr>
      <w:i/>
      <w:iCs/>
      <w:color w:themeColor="accent1" w:themeShade="bf" w:val="0F4761"/>
    </w:rPr>
  </w:style>
  <w:style w:type="character" w:styleId="IntenseReference">
    <w:name w:val="Intense Reference"/>
    <w:basedOn w:val="DefaultParagraphFont"/>
    <w:uiPriority w:val="32"/>
    <w:qFormat/>
    <w:rsid w:val="00401185"/>
    <w:rPr>
      <w:b/>
      <w:bCs/>
      <w:smallCaps/>
      <w:color w:themeColor="accent1" w:themeShade="bf" w:val="0F4761"/>
      <w:spacing w:val="5"/>
    </w:rPr>
  </w:style>
  <w:style w:type="character" w:styleId="Strong">
    <w:name w:val="Strong"/>
    <w:basedOn w:val="DefaultParagraphFont"/>
    <w:uiPriority w:val="22"/>
    <w:qFormat/>
    <w:rsid w:val="004549d8"/>
    <w:rPr>
      <w:b/>
      <w:bCs/>
    </w:rPr>
  </w:style>
  <w:style w:type="character" w:styleId="Emphasis">
    <w:name w:val="Emphasis"/>
    <w:basedOn w:val="DefaultParagraphFont"/>
    <w:uiPriority w:val="20"/>
    <w:qFormat/>
    <w:rsid w:val="004549d8"/>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40118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0118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01185"/>
    <w:pPr>
      <w:spacing w:before="160" w:after="160"/>
      <w:jc w:val="center"/>
    </w:pPr>
    <w:rPr>
      <w:i/>
      <w:iCs/>
      <w:color w:themeColor="text1" w:themeTint="bf" w:val="404040"/>
    </w:rPr>
  </w:style>
  <w:style w:type="paragraph" w:styleId="ListParagraph">
    <w:name w:val="List Paragraph"/>
    <w:basedOn w:val="Normal"/>
    <w:uiPriority w:val="34"/>
    <w:qFormat/>
    <w:rsid w:val="00401185"/>
    <w:pPr>
      <w:spacing w:before="0" w:after="160"/>
      <w:ind w:left="720"/>
      <w:contextualSpacing/>
    </w:pPr>
    <w:rPr/>
  </w:style>
  <w:style w:type="paragraph" w:styleId="IntenseQuote">
    <w:name w:val="Intense Quote"/>
    <w:basedOn w:val="Normal"/>
    <w:next w:val="Normal"/>
    <w:link w:val="IntenseQuoteChar"/>
    <w:uiPriority w:val="30"/>
    <w:qFormat/>
    <w:rsid w:val="0040118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p1" w:customStyle="1">
    <w:name w:val="p1"/>
    <w:basedOn w:val="Normal"/>
    <w:qFormat/>
    <w:rsid w:val="00401185"/>
    <w:pPr>
      <w:spacing w:lineRule="auto" w:line="240" w:before="0" w:after="0"/>
    </w:pPr>
    <w:rPr>
      <w:rFonts w:ascii="Helvetica" w:hAnsi="Helvetica" w:eastAsia="Times New Roman" w:cs="Times New Roman"/>
      <w:color w:val="000000"/>
      <w:kern w:val="0"/>
      <w:sz w:val="16"/>
      <w:szCs w:val="16"/>
      <w:lang w:eastAsia="en-GB"/>
      <w14:ligatures w14:val="none"/>
    </w:rPr>
  </w:style>
  <w:style w:type="paragraph" w:styleId="NormalWeb">
    <w:name w:val="Normal (Web)"/>
    <w:basedOn w:val="Normal"/>
    <w:uiPriority w:val="99"/>
    <w:semiHidden/>
    <w:unhideWhenUsed/>
    <w:qFormat/>
    <w:rsid w:val="00fb34ba"/>
    <w:pPr>
      <w:spacing w:lineRule="auto" w:line="240" w:beforeAutospacing="1" w:afterAutospacing="1"/>
    </w:pPr>
    <w:rPr>
      <w:rFonts w:ascii="Times New Roman" w:hAnsi="Times New Roman" w:eastAsia="Times New Roman" w:cs="Times New Roman"/>
      <w:kern w:val="0"/>
      <w:lang w:eastAsia="en-GB"/>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0118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LibreOffice/24.8.4.2$MacOSX_AARCH64 LibreOffice_project/bb3cfa12c7b1bf994ecc5649a80400d06cd71002</Application>
  <AppVersion>15.0000</AppVersion>
  <Pages>3</Pages>
  <Words>1606</Words>
  <Characters>9258</Characters>
  <CharactersWithSpaces>10575</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2025-11-14T11:43:00Z</dcterms:created>
  <dc:creator>Radovic, Slavisa</dc:creator>
  <dc:description/>
  <dc:language>de-DE</dc:language>
  <cp:lastModifiedBy>Radovic, Slavisa</cp:lastModifiedBy>
  <dcterms:modified xsi:type="dcterms:W3CDTF">2026-01-01T13:19:00Z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