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e999acc9d9e62402a8ba7eb6846c8724ca258d"/>
      <w:r>
        <w:t xml:space="preserve">ZubApp — aktualizace architektury (2026-07-04)</w:t>
      </w:r>
      <w:bookmarkEnd w:id="20"/>
    </w:p>
    <w:p>
      <w:pPr>
        <w:pStyle w:val="FirstParagraph"/>
      </w:pPr>
      <w:r>
        <w:rPr>
          <w:b/>
        </w:rPr>
        <w:t xml:space="preserve">Připravil:</w:t>
      </w:r>
      <w:r>
        <w:t xml:space="preserve"> </w:t>
      </w:r>
      <w:r>
        <w:t xml:space="preserve">návrh řešitelské architektury</w:t>
      </w:r>
      <w:r>
        <w:t xml:space="preserve"> </w:t>
      </w:r>
      <w:r>
        <w:rPr>
          <w:b/>
        </w:rPr>
        <w:t xml:space="preserve">Účel:</w:t>
      </w:r>
      <w:r>
        <w:t xml:space="preserve"> </w:t>
      </w:r>
      <w:r>
        <w:t xml:space="preserve">referenční architektura pro rezervační/komunikační vrstvu ve stylu Doctolib, přizpůsobenou českým regulatorním, plátcovským a tržním podmínkám</w:t>
      </w:r>
      <w:r>
        <w:t xml:space="preserve"> </w:t>
      </w:r>
      <w:r>
        <w:rPr>
          <w:b/>
        </w:rPr>
        <w:t xml:space="preserve">Stav:</w:t>
      </w:r>
      <w:r>
        <w:t xml:space="preserve"> </w:t>
      </w:r>
      <w:r>
        <w:t xml:space="preserve">Aktualizováno 2026-07-04 o konkurenční analýzu (Doctolib vs. referenční PMS) — viz KB článek ZUB-A-1. Předpoklady označené [OVĚŘIT] je stále třeba validovat s právním/compliance oddělením a s místními kontakty u plátců.</w:t>
      </w:r>
    </w:p>
    <w:p>
      <w:pPr>
        <w:pStyle w:val="BodyText"/>
      </w:pPr>
      <w:r>
        <w:rPr>
          <w:i/>
        </w:rPr>
        <w:t xml:space="preserve">Poznámka: diagramy</w:t>
      </w:r>
      <w:r>
        <w:rPr>
          <w:i/>
        </w:rPr>
        <w:t xml:space="preserve"> </w:t>
      </w:r>
      <w:r>
        <w:rPr>
          <w:rStyle w:val="VerbatimChar"/>
          <w:i/>
        </w:rPr>
        <w:t xml:space="preserve">diagram-architektura.png</w:t>
      </w:r>
      <w:r>
        <w:rPr>
          <w:i/>
        </w:rPr>
        <w:t xml:space="preserve"> </w:t>
      </w:r>
      <w:r>
        <w:rPr>
          <w:i/>
        </w:rPr>
        <w:t xml:space="preserve">a</w:t>
      </w:r>
      <w:r>
        <w:rPr>
          <w:i/>
        </w:rPr>
        <w:t xml:space="preserve"> </w:t>
      </w:r>
      <w:r>
        <w:rPr>
          <w:rStyle w:val="VerbatimChar"/>
          <w:i/>
        </w:rPr>
        <w:t xml:space="preserve">diagram-moduly.png</w:t>
      </w:r>
      <w:r>
        <w:rPr>
          <w:i/>
        </w:rPr>
        <w:t xml:space="preserve"> </w:t>
      </w:r>
      <w:r>
        <w:rPr>
          <w:i/>
        </w:rPr>
        <w:t xml:space="preserve">z projektové složky zůstávají platné beze změny a nejsou v tomto exportu znovu vkládány (technické omezení při generování tohoto souboru) — viz originální soubory v projektové složce.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ozsah-a-positioning-produktu"/>
      <w:r>
        <w:t xml:space="preserve">1. Rozsah a positioning produktu</w:t>
      </w:r>
      <w:bookmarkEnd w:id="21"/>
    </w:p>
    <w:p>
      <w:pPr>
        <w:pStyle w:val="FirstParagraph"/>
      </w:pPr>
      <w:r>
        <w:t xml:space="preserve">Systém kopíruje strategii „vrstva nad PMS, ne náhrada PMS", která přinesla úspěch Doctolibu ve Francii a Německu: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Nenahrazuje</w:t>
      </w:r>
      <w:r>
        <w:t xml:space="preserve"> </w:t>
      </w:r>
      <w:r>
        <w:t xml:space="preserve">stávající systémy praxe-managementu / klinického vedení dokumentace, které už české zubní ordinace používají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Vlastní</w:t>
      </w:r>
      <w:r>
        <w:t xml:space="preserve"> </w:t>
      </w:r>
      <w:r>
        <w:t xml:space="preserve">pacientskou vrstvu: vyhledávání, rezervace, připomínky, komunikace a follow-up po návštěvě</w:t>
      </w:r>
    </w:p>
    <w:p>
      <w:pPr>
        <w:numPr>
          <w:ilvl w:val="0"/>
          <w:numId w:val="1001"/>
        </w:numPr>
        <w:pStyle w:val="Compact"/>
      </w:pPr>
      <w:r>
        <w:t xml:space="preserve">Integruje se s existujícími back-office systémy přes API/webhook, místo aby nutil ordinace migrovat svou klinickou dokumentaci</w:t>
      </w:r>
    </w:p>
    <w:p>
      <w:pPr>
        <w:pStyle w:val="FirstParagraph"/>
      </w:pPr>
      <w:r>
        <w:t xml:space="preserve">Toto rozhodnutí o rozsahu je jednoznačně nejdůležitějším architektonickým vodítkem — určuje téměř všechny integrační hranice popsané níže.</w:t>
      </w:r>
    </w:p>
    <w:p>
      <w:pPr>
        <w:pStyle w:val="Heading3"/>
      </w:pPr>
      <w:bookmarkStart w:id="22" w:name="X6d85251a3007e3c09bbfb15657936ea4af46df9"/>
      <w:r>
        <w:t xml:space="preserve">1.1 Konkurenční riziko: „jen vrstva" je dočasné okno, ne trvalá výhoda</w:t>
      </w:r>
      <w:bookmarkEnd w:id="22"/>
    </w:p>
    <w:p>
      <w:pPr>
        <w:pStyle w:val="FirstParagraph"/>
      </w:pPr>
      <w:r>
        <w:t xml:space="preserve">Aktualizace k 2026-07: Doctolib sám od podzimu 2025 nabízí pro vybrané obory (zatím primárně Německo) all-in-one praxe software, který jde nad rámec bookingu — klinická dokumentace s AI asistentem (návrh ICD-10 kódů), OCR karta pacienta, AI fakturace (návrh EBM/GOÄ kódů). Detailní rozbor a srovnání viz KB článek ZUB-A-1 („Referenční PMS pro zubní praxi vs. Doctolib").</w:t>
      </w:r>
    </w:p>
    <w:p>
      <w:pPr>
        <w:pStyle w:val="BodyText"/>
      </w:pPr>
      <w:r>
        <w:t xml:space="preserve">Důsledek pro tuto architekturu: pozicování „vrstva, ne náhrada PMS" zůstává správný start (viz fázování v sekci 6), ale nelze ho brát jako trvalý strategický plot — je to okno, které se může zavřít, pokud Doctolib nebo konkurent přinese all-in-one model do ČR/CEE. Z toho plynou dva průřezové požadavky na architekturu níže: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Nezamykat rozšiřitelnost směrem ke klinické vrstvě</w:t>
      </w:r>
      <w:r>
        <w:t xml:space="preserve"> </w:t>
      </w:r>
      <w:r>
        <w:t xml:space="preserve">— datový model a integrační rozhraní stavět tak, aby šlo později přidat „light" klinické moduly (typicky recall/parodontální rizikové skóre, ne plný odontogram) bez přepisu základu (viz 3.1, 5)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Partnerství s PMS dodavateli mají teď vyšší strategickou hodnotu</w:t>
      </w:r>
      <w:r>
        <w:t xml:space="preserve"> </w:t>
      </w:r>
      <w:r>
        <w:t xml:space="preserve">— dokud je platforma partner, ne konkurent, integrace a distribuce jsou snazší; toto okno má časový limit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ožadavky-specifické-pro-český-trh"/>
      <w:r>
        <w:t xml:space="preserve">2. Požadavky specifické pro český trh</w:t>
      </w:r>
      <w:bookmarkEnd w:id="23"/>
    </w:p>
    <w:p>
      <w:pPr>
        <w:pStyle w:val="FirstParagraph"/>
      </w:pPr>
      <w:r>
        <w:t xml:space="preserve">Toto jsou omezení, která odlišují tuto stavbu od obecné EU rezervační platformy a měla by formovat architekturu od prvního dne, ne se dodatečně dolepovat později.</w:t>
      </w:r>
    </w:p>
    <w:p>
      <w:pPr>
        <w:pStyle w:val="Heading3"/>
      </w:pPr>
      <w:bookmarkStart w:id="24" w:name="regulace-a-compliance"/>
      <w:r>
        <w:t xml:space="preserve">2.1 Regulace a compliance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GDPR</w:t>
      </w:r>
      <w:r>
        <w:t xml:space="preserve"> </w:t>
      </w:r>
      <w:r>
        <w:t xml:space="preserve">platí jako ve všech členských státech EU, ale zdravotní údaje jsou „zvláštní kategorií" podle čl. 9 — vyžaduje explicitní souhlasové toky, přísnější logování přístupu a minimalizaci dat už v návrhu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České očekávání ohledně rezidence dat</w:t>
      </w:r>
      <w:r>
        <w:t xml:space="preserve"> </w:t>
      </w:r>
      <w:r>
        <w:t xml:space="preserve">— GDPR sice striktně nevyžaduje hosting v tuzemsku, ale čeští zdravotničtí zákazníci a partneři z veřejného sektoru často očekávají hosting v EU regionu (ideálně v ČR nebo blízkém okolí) jako důvěryhodnostní/procurement faktor [OVĚŘIT aktuální pravidla veřejných zakázek, pokud se cílí na zakázky navázané na VZP]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Zákon o zdravotních službách</w:t>
      </w:r>
      <w:r>
        <w:t xml:space="preserve"> </w:t>
      </w:r>
      <w:r>
        <w:t xml:space="preserve">a související pravidla vedení dokumentace určují, co se počítá za zdravotnickou dokumentaci a jak dlouho se musí uchovávat — relevantní, pokud platforma ukládá jakékoli klinické poznámky, ne jen čistá rezervační/kontaktní data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Česká stomatologická komora</w:t>
      </w:r>
      <w:r>
        <w:t xml:space="preserve"> </w:t>
      </w:r>
      <w:r>
        <w:t xml:space="preserve">— ověření registrace/licence zubaře může být užitečný signál důvěryhodnosti (např. ověřený odznak praktikujícího), ale nejde o veřejně potvrzenou API integraci [OVĚŘIT]</w:t>
      </w:r>
    </w:p>
    <w:p>
      <w:pPr>
        <w:pStyle w:val="Heading3"/>
      </w:pPr>
      <w:bookmarkStart w:id="25" w:name="plátci-a-pojišťovací-krajina"/>
      <w:r>
        <w:t xml:space="preserve">2.2 Plátci a pojišťovací krajina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České zdravotnictví je založené na pojištění, ne na jednom plátci — sedm zdravotních pojišťoven (</w:t>
      </w:r>
      <w:r>
        <w:rPr>
          <w:b/>
        </w:rPr>
        <w:t xml:space="preserve">VZP</w:t>
      </w:r>
      <w:r>
        <w:t xml:space="preserve"> </w:t>
      </w:r>
      <w:r>
        <w:t xml:space="preserve">je dominantní s cca 60% podílem trhu, dále ZP MV ČR, OZP, ČPZP, VoZP, RBP a Zaměstnanecká pojišťovna Škoda)</w:t>
      </w:r>
    </w:p>
    <w:p>
      <w:pPr>
        <w:numPr>
          <w:ilvl w:val="0"/>
          <w:numId w:val="1004"/>
        </w:numPr>
        <w:pStyle w:val="Compact"/>
      </w:pPr>
      <w:r>
        <w:t xml:space="preserve">Rozsah krytí zubní péče se výrazně liší podle pojišťovny a plánu (základní péče je hrazena, mnoho běžných výkonů vyžaduje doplatek) — integrace fakturace/pojištění je podstatně komplexnější než na jednoplátcovém nebo čistě soukromém trhu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Architektonický důsledek:</w:t>
      </w:r>
      <w:r>
        <w:t xml:space="preserve"> </w:t>
      </w:r>
      <w:r>
        <w:t xml:space="preserve">nestavět jeden natvrdo zakódovaný modul „pojišťovací fakturace". Navrhnout abstrahovanou</w:t>
      </w:r>
      <w:r>
        <w:t xml:space="preserve"> </w:t>
      </w:r>
      <w:r>
        <w:rPr>
          <w:b/>
        </w:rPr>
        <w:t xml:space="preserve">vrstvu integrace plátců</w:t>
      </w:r>
      <w:r>
        <w:t xml:space="preserve"> </w:t>
      </w:r>
      <w:r>
        <w:t xml:space="preserve">s adaptérem po vzoru pluginu pro každou pojišťovnu, protože každá bude pravděpodobně mít jiný formát nároků a jiný cyklus aktualizací. Počítat s vícefázovým rolloutem (začít s VZP, postupně přidávat další), ne s jednorázovou velkou integrací [OVĚŘIT aktuální dostupnost API/EDI u každé pojišťovny — pravděpodobně to bude vyžadovat přímé oslovení, ne veřejnou dokumentaci]</w:t>
      </w:r>
    </w:p>
    <w:p>
      <w:pPr>
        <w:pStyle w:val="Heading3"/>
      </w:pPr>
      <w:bookmarkStart w:id="26" w:name="jazyk-a-lokalizace"/>
      <w:r>
        <w:t xml:space="preserve">2.3 Jazyk a lokalizace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Český jazyk uživatelského rozhraní je povinný, ne volitelný — nejde o „hezké mít navíc" lokalizaci, je to primární tržní jazyk</w:t>
      </w:r>
    </w:p>
    <w:p>
      <w:pPr>
        <w:numPr>
          <w:ilvl w:val="0"/>
          <w:numId w:val="1005"/>
        </w:numPr>
        <w:pStyle w:val="Compact"/>
      </w:pPr>
      <w:r>
        <w:t xml:space="preserve">Diakritika (ě š č ř ž ý á í é) musí být korektně ošetřena všude — vyhledávání, SMS šablony a jakákoliv logika porovnávání textu (např. fuzzy vyhledávání jména zubaře) s tím musí explicitně počítat, ne jen spoléhat na obecnou podporu Unicode</w:t>
      </w:r>
    </w:p>
    <w:p>
      <w:pPr>
        <w:numPr>
          <w:ilvl w:val="0"/>
          <w:numId w:val="1005"/>
        </w:numPr>
        <w:pStyle w:val="Compact"/>
      </w:pPr>
      <w:r>
        <w:t xml:space="preserve">SMS připomínky (klíčová retenční funkce) mají limit počtu znaků na zprávu, který se dál zmenšuje s diakritikou, pokud není kódování ošetřeno pečlivě (GSM-7 vs. UCS-2) — na toto je třeba upozornit brzy, protože to ovlivňuje náklady na SMS providera na zprávu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rchitektura-na-vysoké-úrovni"/>
      <w:r>
        <w:t xml:space="preserve">3. Architektura na vysoké úrovni</w:t>
      </w:r>
      <w:bookmarkEnd w:id="27"/>
    </w:p>
    <w:p>
      <w:pPr>
        <w:pStyle w:val="Heading3"/>
      </w:pPr>
      <w:bookmarkStart w:id="28" w:name="přehled-komponent"/>
      <w:r>
        <w:t xml:space="preserve">3.1 Přehled komponent</w:t>
      </w:r>
      <w:bookmarkEnd w:id="28"/>
    </w:p>
    <w:p>
      <w:pPr>
        <w:pStyle w:val="FirstParagraph"/>
      </w:pPr>
      <w:r>
        <w:rPr>
          <w:b/>
        </w:rPr>
        <w:t xml:space="preserve">Pacientská vrstva</w:t>
      </w:r>
      <w:r>
        <w:t xml:space="preserve"> </w:t>
      </w:r>
      <w:r>
        <w:t xml:space="preserve">- Pacientská webová aplikace (vyhledávání, rezervace, správa termínů)</w:t>
      </w:r>
      <w:r>
        <w:t xml:space="preserve"> </w:t>
      </w:r>
      <w:r>
        <w:t xml:space="preserve">- Pacientská mobilní aplikace (iOS/Android) — pro v1 volitelná, lze spustit web-first vzhledem k nižší počáteční uživatelské základně než ve Francii/Německu</w:t>
      </w:r>
      <w:r>
        <w:t xml:space="preserve"> </w:t>
      </w:r>
      <w:r>
        <w:t xml:space="preserve">- Handlery notifikačních kanálů (SMS, e-mail, push)</w:t>
      </w:r>
    </w:p>
    <w:p>
      <w:pPr>
        <w:pStyle w:val="BodyText"/>
      </w:pPr>
      <w:r>
        <w:rPr>
          <w:b/>
        </w:rPr>
        <w:t xml:space="preserve">Vrstva pro ordinaci</w:t>
      </w:r>
      <w:r>
        <w:t xml:space="preserve"> </w:t>
      </w:r>
      <w:r>
        <w:t xml:space="preserve">- Dashboard ordinace (agenda, seznam kontaktů pacientů, inbox zpráv)</w:t>
      </w:r>
      <w:r>
        <w:t xml:space="preserve"> </w:t>
      </w:r>
      <w:r>
        <w:t xml:space="preserve">- Správa personálu/týmu (přístup více uživatelů per ordinace, role-based oprávnění pro zubaře vs. hygienistku vs. recepci)</w:t>
      </w:r>
      <w:r>
        <w:t xml:space="preserve"> </w:t>
      </w:r>
      <w:r>
        <w:t xml:space="preserve">- Základní reporting (míra no-show, objem rezervací, hodnocení)</w:t>
      </w:r>
    </w:p>
    <w:p>
      <w:pPr>
        <w:pStyle w:val="BodyText"/>
      </w:pPr>
      <w:r>
        <w:rPr>
          <w:b/>
        </w:rPr>
        <w:t xml:space="preserve">Základní backendové služby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Booking service</w:t>
      </w:r>
      <w:r>
        <w:t xml:space="preserve"> </w:t>
      </w:r>
      <w:r>
        <w:t xml:space="preserve">— logika kalendáře dostupnosti, prevence dvojitého zápisu, správa slotů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Identity &amp; auth service</w:t>
      </w:r>
      <w:r>
        <w:t xml:space="preserve"> </w:t>
      </w:r>
      <w:r>
        <w:t xml:space="preserve">— oddělené identity domény pro pacienty vs. personál ordinace; založené na OAuth2/OIDC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Notification service</w:t>
      </w:r>
      <w:r>
        <w:t xml:space="preserve"> </w:t>
      </w:r>
      <w:r>
        <w:t xml:space="preserve">— šablonované SMS/e-mail/push, s českými šablonami a diakriticky bezpečným kódováním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Messaging service</w:t>
      </w:r>
      <w:r>
        <w:t xml:space="preserve"> </w:t>
      </w:r>
      <w:r>
        <w:t xml:space="preserve">— obousměrná komunikace pacient–ordinace, ukládaná po konverzacích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Payer integration service</w:t>
      </w:r>
      <w:r>
        <w:t xml:space="preserve"> </w:t>
      </w:r>
      <w:r>
        <w:t xml:space="preserve">— abstrahovaná vrstva adaptérů pro každou pojišťovnu (viz 2.2)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PMS integration service</w:t>
      </w:r>
      <w:r>
        <w:t xml:space="preserve"> </w:t>
      </w:r>
      <w:r>
        <w:t xml:space="preserve">— odchozí webhook/API konektory na existující české zubní PMS produkty (např. cokoliv, co na lokálním trhu dominuje — je potřeba revize krajiny dodavatelů před stavbou, protože partneři pro PMS integraci se budou lišit od Francie/Německa). Datový model navrhnout s vyhrazeným místem pro budoucí „light" klinická data (recall interval, rizikové skóre) — i když se v Fázi 1–3 nepoužije, ať rozšíření nevyžaduje redesign schématu (viz 1.1)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Review/reputation service</w:t>
      </w:r>
      <w:r>
        <w:t xml:space="preserve"> </w:t>
      </w:r>
      <w:r>
        <w:t xml:space="preserve">— sběr a zobrazení hodnocení po návštěvě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Admin/reporting service</w:t>
      </w:r>
      <w:r>
        <w:t xml:space="preserve"> </w:t>
      </w:r>
      <w:r>
        <w:t xml:space="preserve">— interní provozní nástroje, ne pro pacienty/ordinaci</w:t>
      </w:r>
    </w:p>
    <w:p>
      <w:pPr>
        <w:pStyle w:val="BodyText"/>
      </w:pPr>
      <w:r>
        <w:rPr>
          <w:b/>
        </w:rPr>
        <w:t xml:space="preserve">Datová vrstva</w:t>
      </w:r>
      <w:r>
        <w:t xml:space="preserve"> </w:t>
      </w:r>
      <w:r>
        <w:t xml:space="preserve">- Úložiště pacientských záznamů (PII + data přiléhající ke zdravotní kategorii — šifrovaná at rest, s logováním přístupu)</w:t>
      </w:r>
      <w:r>
        <w:t xml:space="preserve"> </w:t>
      </w:r>
      <w:r>
        <w:t xml:space="preserve">- Úložiště rezervací/rozvrhu</w:t>
      </w:r>
      <w:r>
        <w:t xml:space="preserve"> </w:t>
      </w:r>
      <w:r>
        <w:t xml:space="preserve">- Úložiště zpráv</w:t>
      </w:r>
      <w:r>
        <w:t xml:space="preserve"> </w:t>
      </w:r>
      <w:r>
        <w:t xml:space="preserve">- Úložiště auditního logu (append-only, odolné proti manipulaci — potřebné pro účely GDPR accountability)</w:t>
      </w:r>
    </w:p>
    <w:p>
      <w:pPr>
        <w:pStyle w:val="BodyText"/>
      </w:pPr>
      <w:r>
        <w:rPr>
          <w:b/>
        </w:rPr>
        <w:t xml:space="preserve">Integrační vrstva</w:t>
      </w:r>
      <w:r>
        <w:t xml:space="preserve"> </w:t>
      </w:r>
      <w:r>
        <w:t xml:space="preserve">- SMS/e-mail brána (SMS provideři na českém trhu mají typicky lepší doručitelnost/ceny než globální obecní provideři — stojí za to lokální dodavatele porovnat)</w:t>
      </w:r>
      <w:r>
        <w:t xml:space="preserve"> </w:t>
      </w:r>
      <w:r>
        <w:t xml:space="preserve">- Platební brána (pro jakékoli doplatky nebo platby za soukromé služby)</w:t>
      </w:r>
      <w:r>
        <w:t xml:space="preserve"> </w:t>
      </w:r>
      <w:r>
        <w:t xml:space="preserve">- Synchronizace kalendáře (export Google/Outlook/iCal pro personál ordinace)</w:t>
      </w:r>
      <w:r>
        <w:t xml:space="preserve"> </w:t>
      </w:r>
      <w:r>
        <w:t xml:space="preserve">- Adaptéry pojišťoven (dle 2.2)</w:t>
      </w:r>
    </w:p>
    <w:p>
      <w:pPr>
        <w:pStyle w:val="Heading3"/>
      </w:pPr>
      <w:bookmarkStart w:id="29" w:name="Xe07fab0d729bd2243ce2ba429fa3c41d482ed10"/>
      <w:r>
        <w:t xml:space="preserve">3.2 Navržený tok požadavku (rezervace → návštěva → follow-up)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Pacient vyhledá zubaře →</w:t>
      </w:r>
      <w:r>
        <w:t xml:space="preserve"> </w:t>
      </w:r>
      <w:r>
        <w:rPr>
          <w:b/>
        </w:rPr>
        <w:t xml:space="preserve">Booking service</w:t>
      </w:r>
      <w:r>
        <w:t xml:space="preserve"> </w:t>
      </w:r>
      <w:r>
        <w:t xml:space="preserve">dotáže dostupnost z</w:t>
      </w:r>
      <w:r>
        <w:t xml:space="preserve"> </w:t>
      </w:r>
      <w:r>
        <w:rPr>
          <w:b/>
        </w:rPr>
        <w:t xml:space="preserve">PMS integration service</w:t>
      </w:r>
      <w:r>
        <w:t xml:space="preserve"> </w:t>
      </w:r>
      <w:r>
        <w:t xml:space="preserve">(nebo z vlastního kalendáře platformy, pokud ordinace nemá napojený PMS)</w:t>
      </w:r>
    </w:p>
    <w:p>
      <w:pPr>
        <w:numPr>
          <w:ilvl w:val="0"/>
          <w:numId w:val="1006"/>
        </w:numPr>
        <w:pStyle w:val="Compact"/>
      </w:pPr>
      <w:r>
        <w:t xml:space="preserve">Rezervace potvrzena →</w:t>
      </w:r>
      <w:r>
        <w:t xml:space="preserve"> </w:t>
      </w:r>
      <w:r>
        <w:rPr>
          <w:b/>
        </w:rPr>
        <w:t xml:space="preserve">Notification service</w:t>
      </w:r>
      <w:r>
        <w:t xml:space="preserve"> </w:t>
      </w:r>
      <w:r>
        <w:t xml:space="preserve">odešle potvrzení a naplánuje úlohu s připomínkou</w:t>
      </w:r>
    </w:p>
    <w:p>
      <w:pPr>
        <w:numPr>
          <w:ilvl w:val="0"/>
          <w:numId w:val="1006"/>
        </w:numPr>
        <w:pStyle w:val="Compact"/>
      </w:pPr>
      <w:r>
        <w:t xml:space="preserve">Připomínka se spustí (typicky 24–48 h před termínem) → SMS/e-mail odeslaný přes</w:t>
      </w:r>
      <w:r>
        <w:t xml:space="preserve"> </w:t>
      </w:r>
      <w:r>
        <w:rPr>
          <w:b/>
        </w:rPr>
        <w:t xml:space="preserve">Notification service</w:t>
      </w:r>
    </w:p>
    <w:p>
      <w:pPr>
        <w:numPr>
          <w:ilvl w:val="0"/>
          <w:numId w:val="1006"/>
        </w:numPr>
        <w:pStyle w:val="Compact"/>
      </w:pPr>
      <w:r>
        <w:t xml:space="preserve">Návštěva proběhne v ordinaci — klinická práce probíhá zcela ve vlastním PMS ordinace, mimo hranice této platformy</w:t>
      </w:r>
    </w:p>
    <w:p>
      <w:pPr>
        <w:numPr>
          <w:ilvl w:val="0"/>
          <w:numId w:val="1006"/>
        </w:numPr>
        <w:pStyle w:val="Compact"/>
      </w:pPr>
      <w:r>
        <w:t xml:space="preserve">Po návštěvě →</w:t>
      </w:r>
      <w:r>
        <w:t xml:space="preserve"> </w:t>
      </w:r>
      <w:r>
        <w:rPr>
          <w:b/>
        </w:rPr>
        <w:t xml:space="preserve">Notification service</w:t>
      </w:r>
      <w:r>
        <w:t xml:space="preserve"> </w:t>
      </w:r>
      <w:r>
        <w:t xml:space="preserve">spustí follow-up zprávu a žádost o hodnocení přes</w:t>
      </w:r>
      <w:r>
        <w:t xml:space="preserve"> </w:t>
      </w:r>
      <w:r>
        <w:rPr>
          <w:b/>
        </w:rPr>
        <w:t xml:space="preserve">Review/reputation service</w:t>
      </w:r>
    </w:p>
    <w:p>
      <w:pPr>
        <w:numPr>
          <w:ilvl w:val="0"/>
          <w:numId w:val="1006"/>
        </w:numPr>
        <w:pStyle w:val="Compact"/>
      </w:pPr>
      <w:r>
        <w:t xml:space="preserve">Pokud se týká fakturace/pojištění →</w:t>
      </w:r>
      <w:r>
        <w:t xml:space="preserve"> </w:t>
      </w:r>
      <w:r>
        <w:rPr>
          <w:b/>
        </w:rPr>
        <w:t xml:space="preserve">Payer integration service</w:t>
      </w:r>
      <w:r>
        <w:t xml:space="preserve"> </w:t>
      </w:r>
      <w:r>
        <w:t xml:space="preserve">zpracuje podání nároků asynchronně, oddělené od rezervačního toku, aby výpadek plátce nikdy neblokoval rezervaci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nefunkční-požadavky"/>
      <w:r>
        <w:t xml:space="preserve">4. Nefunkční požadavky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Dostupnost:</w:t>
      </w:r>
      <w:r>
        <w:t xml:space="preserve"> </w:t>
      </w:r>
      <w:r>
        <w:t xml:space="preserve">rezervace je klíčová hodnota produktu — cílit na vysokou dostupnost (99,9 %+) konkrétně pro booking service, i když admin/reporting nástroje mohou mít nižší SLA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Rezidence dat:</w:t>
      </w:r>
      <w:r>
        <w:t xml:space="preserve"> </w:t>
      </w:r>
      <w:r>
        <w:t xml:space="preserve">výchozí hosting v EU regionu; silně zvážit datacentrum v ČR nebo střední Evropě vzhledem k lokálním očekáváním důvěryhodnosti ve zdravotnictví-adjacentním procurementu [OVĚŘIT konkrétní požadavky při jednání o partnerství s veřejným sektorem nebo pojišťovnami]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Auditovatelnost:</w:t>
      </w:r>
      <w:r>
        <w:t xml:space="preserve"> </w:t>
      </w:r>
      <w:r>
        <w:t xml:space="preserve">každý přístup ke zdravotně-adjacentním datům pacienta by měl být zalogovaný v append-only auditní stopě — jde jak o požadavek GDPR accountability, tak o praktickou funkci budující důvěru u ordinací hodnotících platformu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Přístup ke škálovatelnosti:</w:t>
      </w:r>
      <w:r>
        <w:t xml:space="preserve"> </w:t>
      </w:r>
      <w:r>
        <w:t xml:space="preserve">oddělit vrstvu integrace plátců a PMS integrace od hlavního rezervačního toku pomocí asynchronního messagingu (fronty), aby pomalá nebo nedostupná integrace třetí strany nikdy nezhoršila základní rezervační zážitek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Lokalizace od začátku, ne dodatečně:</w:t>
      </w:r>
      <w:r>
        <w:t xml:space="preserve"> </w:t>
      </w:r>
      <w:r>
        <w:t xml:space="preserve">postavit systém řetězců/šablon jako od začátku vědomý lokalizace, místo natvrdo zakódovaného českého textu, protože expanze na Slovensko (velmi podobná plátcovská/regulatorní struktura) je přirozeným dalším trhem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6a277214be1781ca470c9550f4b7083c3d28dbb"/>
      <w:r>
        <w:t xml:space="preserve">5. Navržený technologický přístup (implementačně neutrální)</w:t>
      </w:r>
      <w:bookmarkEnd w:id="31"/>
    </w:p>
    <w:p>
      <w:pPr>
        <w:pStyle w:val="FirstParagraph"/>
      </w:pPr>
      <w:r>
        <w:t xml:space="preserve">Tato sekce záměrně nepředepisuje konkrétní frameworky — jde o hranice a integrační filozofii, ne o konkrétní tech stack. Nicméně obecné doporučení: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API-first návrh</w:t>
      </w:r>
      <w:r>
        <w:t xml:space="preserve"> </w:t>
      </w:r>
      <w:r>
        <w:t xml:space="preserve">pro každou interní službu — to je to, co umožňuje vzor adaptéru per PMS/plátce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Event-driven architektura</w:t>
      </w:r>
      <w:r>
        <w:t xml:space="preserve"> </w:t>
      </w:r>
      <w:r>
        <w:t xml:space="preserve">mezi rezervačním tokem a notifikační/plátcovskou/hodnoticí službou, aby downstream selhání neblokovala hlavní rezervaci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Oddělené identity domény</w:t>
      </w:r>
      <w:r>
        <w:t xml:space="preserve"> </w:t>
      </w:r>
      <w:r>
        <w:t xml:space="preserve">pro pacienty a personál ordinace od začátku — sloučení později je nákladná migrace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Feature-flag integrace plátců per pojišťovna</w:t>
      </w:r>
      <w:r>
        <w:t xml:space="preserve">, aby šlo spustit podporu jen pro VZP a přidávat další bez redeploye základních služeb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Rozšiřitelné hranice, ne uzavřené moduly</w:t>
      </w:r>
      <w:r>
        <w:t xml:space="preserve"> </w:t>
      </w:r>
      <w:r>
        <w:t xml:space="preserve">— booking/identity/notification služby navrhnout s explicitními extension pointy (např. rozhraní pro budoucí „clinical light" service), aby reakce na konkurenční tlak (viz 1.1) byla otázkou přidání modulu, ne přepisu jádra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oporučené-fázování-rolloutu"/>
      <w:r>
        <w:t xml:space="preserve">6. Doporučené fázování rolloutu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Fáze 1 — základní rezervace + notifikace</w:t>
      </w:r>
      <w:r>
        <w:t xml:space="preserve">, bez integrace plátců, ruční/CSV synchronizace PMS podle potřeby pro pilotní ordinace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Fáze 2 — adaptér VZP</w:t>
      </w:r>
      <w:r>
        <w:t xml:space="preserve"> </w:t>
      </w:r>
      <w:r>
        <w:t xml:space="preserve">(největší pojišťovna, nejvyšší návratnost vynaloženého úsilí)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Fáze 3 — adaptéry dalších pojišťoven</w:t>
      </w:r>
      <w:r>
        <w:t xml:space="preserve">, prioritizované podle poptávky ordinací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Fáze 4 — hlubší integrace PMS</w:t>
      </w:r>
      <w:r>
        <w:t xml:space="preserve"> </w:t>
      </w:r>
      <w:r>
        <w:t xml:space="preserve">s těmi českými PMS dodavateli, kteří mají největší instalovanou základnu [vyžaduje studii krajiny dodavatelů — nemám k dispozici spolehlivá aktuální data o tom, které PMS produkty na českém trhu konkrétně dominují]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Fáze 5 — podmíněná, spouštěná konkurencí:</w:t>
      </w:r>
      <w:r>
        <w:t xml:space="preserve"> </w:t>
      </w:r>
      <w:r>
        <w:t xml:space="preserve">„light" klinický modul (recall/rizikové skóre pacienta, ne plný odontogram) — aktivovat pouze pokud nastane spouštěč popsaný v sekci 1.1 a 7 (Doctolib nebo jiný all-in-one hráč expanduje do ČR/CEE), ne jako výchozí plán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tevřené-body-vyžadující-přímé-ověření"/>
      <w:r>
        <w:t xml:space="preserve">7. Otevřené body vyžadující přímé ověření</w:t>
      </w:r>
      <w:bookmarkEnd w:id="33"/>
    </w:p>
    <w:p>
      <w:pPr>
        <w:pStyle w:val="FirstParagraph"/>
      </w:pPr>
      <w:r>
        <w:t xml:space="preserve">Vlajkuji explicitně místo hádání, protože tyto body zásadně ovlivňují architektonická rozhodnutí:</w:t>
      </w:r>
    </w:p>
    <w:p>
      <w:pPr>
        <w:numPr>
          <w:ilvl w:val="0"/>
          <w:numId w:val="1010"/>
        </w:numPr>
        <w:pStyle w:val="Compact"/>
      </w:pPr>
      <w:r>
        <w:t xml:space="preserve">Které PMS/systémy praxe-managementu aktuálně dominují na českém zubařském trhu (potřeba pro prioritizaci integračních partnerů)</w:t>
      </w:r>
    </w:p>
    <w:p>
      <w:pPr>
        <w:numPr>
          <w:ilvl w:val="0"/>
          <w:numId w:val="1010"/>
        </w:numPr>
        <w:pStyle w:val="Compact"/>
      </w:pPr>
      <w:r>
        <w:t xml:space="preserve">Aktuální dostupnost API/EDI od VZP a dalších pojišťoven pro podání nároků</w:t>
      </w:r>
    </w:p>
    <w:p>
      <w:pPr>
        <w:numPr>
          <w:ilvl w:val="0"/>
          <w:numId w:val="1010"/>
        </w:numPr>
        <w:pStyle w:val="Compact"/>
      </w:pPr>
      <w:r>
        <w:t xml:space="preserve">Zda je pro zubní obor relevantní nějaká česká národní e-health infrastruktura (obdoba interakcí Doctolibu s národními zdravotními systémy ve Francii)</w:t>
      </w:r>
    </w:p>
    <w:p>
      <w:pPr>
        <w:numPr>
          <w:ilvl w:val="0"/>
          <w:numId w:val="1010"/>
        </w:numPr>
        <w:pStyle w:val="Compact"/>
      </w:pPr>
      <w:r>
        <w:t xml:space="preserve">Aktuální výklad Úřadu pro ochranu osobních údajů (ÚOOÚ) k prosazování GDPR konkrétně pro zdravotně-adjacentní rezervační data, na rozdíl od plné klinické dokumentace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Sledovat jako spouštěč k přehodnocení (viz 1.1, Fáze 5):</w:t>
      </w:r>
      <w:r>
        <w:t xml:space="preserve"> </w:t>
      </w:r>
      <w:r>
        <w:t xml:space="preserve">zda a kdy Doctolib nebo jiný all-in-one hráč (klinika + fakturace) expanduje do ČR/CEE — při potvrzení je třeba rychle revidovat scope a případně urychlit „light" klinický modul</w:t>
      </w:r>
    </w:p>
    <w:p>
      <w:pPr>
        <w:pStyle w:val="FirstParagraph"/>
      </w:pPr>
      <w:r>
        <w:t xml:space="preserve">Tento dokument je třeba brát jako výchozí architekturu k internímu review, ne jako finalizovanou specifikaci — položky plátců a PMS krajiny výše jsou nejvyšší prioritou mezer k uzavření před závazkem k detailnímu technickému návrhu.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2026-07-04T15:05:18Z</dcterms:created>
  <dcterms:modified xsi:type="dcterms:W3CDTF">2026-07-04T15:05:18Z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