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67E3B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1F4E79"/>
          <w:sz w:val="44"/>
        </w:rPr>
        <w:t>灵汐全屋智能控制中心</w:t>
      </w:r>
      <w:r>
        <w:rPr>
          <w:rFonts w:hint="eastAsia" w:ascii="楷体" w:hAnsi="楷体" w:eastAsia="楷体" w:cs="楷体"/>
          <w:b/>
          <w:color w:val="1F4E79"/>
          <w:sz w:val="44"/>
        </w:rPr>
        <w:br w:type="textWrapping"/>
      </w:r>
      <w:r>
        <w:rPr>
          <w:rFonts w:hint="eastAsia" w:ascii="楷体" w:hAnsi="楷体" w:eastAsia="楷体" w:cs="楷体"/>
          <w:b/>
          <w:color w:val="1F4E79"/>
          <w:sz w:val="44"/>
        </w:rPr>
        <w:t>开发日志</w:t>
      </w:r>
    </w:p>
    <w:p w14:paraId="17F89970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595959"/>
          <w:sz w:val="22"/>
        </w:rPr>
        <w:t xml:space="preserve"> 用于论文整理、答辩准备与项目归档</w:t>
      </w:r>
    </w:p>
    <w:p w14:paraId="6FF16566">
      <w:pPr>
        <w:rPr>
          <w:rFonts w:hint="eastAsia" w:ascii="楷体" w:hAnsi="楷体" w:eastAsia="楷体" w:cs="楷体"/>
        </w:rPr>
      </w:pPr>
    </w:p>
    <w:tbl>
      <w:tblPr>
        <w:tblStyle w:val="32"/>
        <w:tblW w:w="0" w:type="auto"/>
        <w:tblInd w:w="0" w:type="dxa"/>
        <w:tblBorders>
          <w:top w:val="single" w:color="B7DEE8" w:sz="4" w:space="0"/>
          <w:left w:val="single" w:color="B7DEE8" w:sz="4" w:space="0"/>
          <w:bottom w:val="single" w:color="B7DEE8" w:sz="4" w:space="0"/>
          <w:right w:val="single" w:color="B7DEE8" w:sz="4" w:space="0"/>
          <w:insideH w:val="single" w:color="B7DEE8" w:sz="4" w:space="0"/>
          <w:insideV w:val="single" w:color="B7DEE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08B2A5">
        <w:tblPrEx>
          <w:tblBorders>
            <w:top w:val="single" w:color="B7DEE8" w:sz="4" w:space="0"/>
            <w:left w:val="single" w:color="B7DEE8" w:sz="4" w:space="0"/>
            <w:bottom w:val="single" w:color="B7DEE8" w:sz="4" w:space="0"/>
            <w:right w:val="single" w:color="B7DEE8" w:sz="4" w:space="0"/>
            <w:insideH w:val="single" w:color="B7DEE8" w:sz="4" w:space="0"/>
            <w:insideV w:val="single" w:color="B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6FA"/>
          </w:tcPr>
          <w:p w14:paraId="7B836D14">
            <w:pPr>
              <w:rPr>
                <w:rFonts w:hint="eastAsia" w:ascii="楷体" w:hAnsi="楷体" w:eastAsia="楷体" w:cs="楷体"/>
              </w:rPr>
            </w:pPr>
          </w:p>
          <w:p w14:paraId="7CD65FE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19"/>
              </w:rPr>
              <w:t>材料来源：最终代码包、ChatGPT 聊天记录备份、已整理的论文素材。</w:t>
            </w:r>
          </w:p>
          <w:p w14:paraId="791378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19"/>
              </w:rPr>
              <w:t>说明：本文档不是 Git 自动提交日志，而是根据聊天记录时间、源码结构和版本文件名整理出的开发复盘日志。日期以聊天记录和阶段锚点为主，个别连续开发内容按阶段合并。</w:t>
            </w:r>
          </w:p>
          <w:p w14:paraId="5AC26F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19"/>
              </w:rPr>
              <w:t>用途：先帮助恢复“做了什么、为什么做、结果是什么”，再服务论文第 2~9 章和答辩表达。</w:t>
            </w:r>
          </w:p>
        </w:tc>
      </w:tr>
    </w:tbl>
    <w:p w14:paraId="20231ABD">
      <w:pPr>
        <w:rPr>
          <w:rFonts w:hint="eastAsia" w:ascii="楷体" w:hAnsi="楷体" w:eastAsia="楷体" w:cs="楷体"/>
        </w:rPr>
      </w:pPr>
    </w:p>
    <w:p w14:paraId="0478BDD1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一、最终代码包盘点</w:t>
      </w:r>
    </w:p>
    <w:p w14:paraId="33207A24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1"/>
        </w:rPr>
        <w:t>本节回答“每个工程文件夹是什么、运行在哪块板子或哪一端、负责什么功能”。这部分可直接转化为论文中的工程结构说明和答辩时的项目总览。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6"/>
        <w:gridCol w:w="1423"/>
        <w:gridCol w:w="3257"/>
        <w:gridCol w:w="2012"/>
      </w:tblGrid>
      <w:tr w14:paraId="4645F3C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38FCB3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工程/文件夹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63E7E2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运行位置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1775FB1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主要功能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EB38C4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备注</w:t>
            </w:r>
          </w:p>
        </w:tc>
      </w:tr>
      <w:tr w14:paraId="0F910B9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F4DF1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Lingxi_PublicBeta_V1_4_2</w:t>
            </w:r>
          </w:p>
        </w:tc>
        <w:tc>
          <w:tcPr>
            <w:tcW w:w="1701" w:type="dxa"/>
            <w:vAlign w:val="center"/>
          </w:tcPr>
          <w:p w14:paraId="401937A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ESP32-S3 中控端</w:t>
            </w:r>
          </w:p>
        </w:tc>
        <w:tc>
          <w:tcPr>
            <w:tcW w:w="4082" w:type="dxa"/>
            <w:vAlign w:val="center"/>
          </w:tcPr>
          <w:p w14:paraId="5FA4B84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最终冻结中控工程；运行 Web 服务、API 路由、节点管理、设备状态、语音链路、MQTT、日志诊断和主循环任务。</w:t>
            </w:r>
          </w:p>
        </w:tc>
        <w:tc>
          <w:tcPr>
            <w:tcW w:w="2268" w:type="dxa"/>
            <w:vAlign w:val="center"/>
          </w:tcPr>
          <w:p w14:paraId="5F83D7E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最终基线 V1.4.2，不再随意改动。</w:t>
            </w:r>
          </w:p>
        </w:tc>
      </w:tr>
      <w:tr w14:paraId="470A5D7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EAFAB3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00~14 多文件 .ino</w:t>
            </w:r>
          </w:p>
        </w:tc>
        <w:tc>
          <w:tcPr>
            <w:tcW w:w="1701" w:type="dxa"/>
            <w:shd w:val="clear" w:color="auto" w:fill="F7FAFD"/>
            <w:vAlign w:val="center"/>
          </w:tcPr>
          <w:p w14:paraId="4BB3D71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ESP32-S3 中控端内部模块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5BFABC4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配置模型、WebUI 资源、认证、JSON/存储、语音音频、ASR/TTS/Chat、节点设备、设置页、云端天气/MQTT、规则日志、设备 API、Web 路由、setup/loop。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26E0177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证明中控不是单文件演示，而是按职责拆分的工程。</w:t>
            </w:r>
          </w:p>
        </w:tc>
      </w:tr>
      <w:tr w14:paraId="0A760CB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4A926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本地 WebUI_V1.4.2/index.html</w:t>
            </w:r>
          </w:p>
        </w:tc>
        <w:tc>
          <w:tcPr>
            <w:tcW w:w="1701" w:type="dxa"/>
            <w:vAlign w:val="center"/>
          </w:tcPr>
          <w:p w14:paraId="26BE62B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浏览器端/局域网端</w:t>
            </w:r>
          </w:p>
        </w:tc>
        <w:tc>
          <w:tcPr>
            <w:tcW w:w="4082" w:type="dxa"/>
            <w:vAlign w:val="center"/>
          </w:tcPr>
          <w:p w14:paraId="3780210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本地状态展示、设备控制、节点查看、系统设置、日志查看等主要操作入口。</w:t>
            </w:r>
          </w:p>
        </w:tc>
        <w:tc>
          <w:tcPr>
            <w:tcW w:w="2268" w:type="dxa"/>
            <w:vAlign w:val="center"/>
          </w:tcPr>
          <w:p w14:paraId="5635E0D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主入口；和中控 HTTP API 对接。</w:t>
            </w:r>
          </w:p>
        </w:tc>
      </w:tr>
      <w:tr w14:paraId="30599D6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589491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远程端 WebUI_V1.4.2/index2.html</w:t>
            </w:r>
          </w:p>
        </w:tc>
        <w:tc>
          <w:tcPr>
            <w:tcW w:w="1701" w:type="dxa"/>
            <w:shd w:val="clear" w:color="auto" w:fill="F7FAFD"/>
            <w:vAlign w:val="center"/>
          </w:tcPr>
          <w:p w14:paraId="3783B9A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外部浏览器/静态网页端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2780A14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通过 MQTT WebSocket 进行远程状态订阅、命令发布、日志订阅。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13343CC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扩展入口，不等同完整本地 WebUI。</w:t>
            </w:r>
          </w:p>
        </w:tc>
      </w:tr>
      <w:tr w14:paraId="449454C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0890C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Lingxi_Android_WebView_App_V1_0_1_CleanUI</w:t>
            </w:r>
          </w:p>
        </w:tc>
        <w:tc>
          <w:tcPr>
            <w:tcW w:w="1701" w:type="dxa"/>
            <w:vAlign w:val="center"/>
          </w:tcPr>
          <w:p w14:paraId="6CDDABB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Android 手机端</w:t>
            </w:r>
          </w:p>
        </w:tc>
        <w:tc>
          <w:tcPr>
            <w:tcW w:w="4082" w:type="dxa"/>
            <w:vAlign w:val="center"/>
          </w:tcPr>
          <w:p w14:paraId="7C9C396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WebView 封装本地/远程页面，提供移动端入口、权限与页面访问体验。</w:t>
            </w:r>
          </w:p>
        </w:tc>
        <w:tc>
          <w:tcPr>
            <w:tcW w:w="2268" w:type="dxa"/>
            <w:vAlign w:val="center"/>
          </w:tcPr>
          <w:p w14:paraId="543207E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不是完整原生 App。</w:t>
            </w:r>
          </w:p>
        </w:tc>
      </w:tr>
      <w:tr w14:paraId="340362F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7BF3AD3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感知A-C3-环境监测</w:t>
            </w:r>
          </w:p>
        </w:tc>
        <w:tc>
          <w:tcPr>
            <w:tcW w:w="1701" w:type="dxa"/>
            <w:shd w:val="clear" w:color="auto" w:fill="F7FAFD"/>
            <w:vAlign w:val="center"/>
          </w:tcPr>
          <w:p w14:paraId="6C2EB8C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ESP32-C3 感知节点 A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6459A8E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DHT 温湿度、门/窗磁等环境与门窗状态采集；支持配网页、WiFi 保存、HTTP 注册/上报、RGB 状态灯。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2B3AC4C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node_id: SensorNode-EnvWindow-01。</w:t>
            </w:r>
          </w:p>
        </w:tc>
      </w:tr>
      <w:tr w14:paraId="353FB86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E94C5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感知B-C3-人体安防</w:t>
            </w:r>
          </w:p>
        </w:tc>
        <w:tc>
          <w:tcPr>
            <w:tcW w:w="1701" w:type="dxa"/>
            <w:vAlign w:val="center"/>
          </w:tcPr>
          <w:p w14:paraId="0B30010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ESP32-C3 感知节点 B</w:t>
            </w:r>
          </w:p>
        </w:tc>
        <w:tc>
          <w:tcPr>
            <w:tcW w:w="4082" w:type="dxa"/>
            <w:vAlign w:val="center"/>
          </w:tcPr>
          <w:p w14:paraId="6F69B9D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MQ-2 烟雾、MQ-5 燃气、客厅/卧室 PIR 人体活动检测；支持配网、注册、上报、RGB 状态灯。</w:t>
            </w:r>
          </w:p>
        </w:tc>
        <w:tc>
          <w:tcPr>
            <w:tcW w:w="2268" w:type="dxa"/>
            <w:vAlign w:val="center"/>
          </w:tcPr>
          <w:p w14:paraId="765FE72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node_id: SensorNode-LightSecurity-01。</w:t>
            </w:r>
          </w:p>
        </w:tc>
      </w:tr>
      <w:tr w14:paraId="4F49337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5A30C7D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执行A-C3-灯光家电</w:t>
            </w:r>
          </w:p>
        </w:tc>
        <w:tc>
          <w:tcPr>
            <w:tcW w:w="1701" w:type="dxa"/>
            <w:shd w:val="clear" w:color="auto" w:fill="F7FAFD"/>
            <w:vAlign w:val="center"/>
          </w:tcPr>
          <w:p w14:paraId="05CEC92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ESP32-C3 执行节点 A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5D3DB43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客厅灯、卧室灯、空调/电视/冰箱/热水器继电器控制；支持命令接口、状态上报、配网恢复、RGB 状态灯。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2909D5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node_id: ActionNode-LightAppliance-01。</w:t>
            </w:r>
          </w:p>
        </w:tc>
      </w:tr>
      <w:tr w14:paraId="19EC3E0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6E4A7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执行B-C3-门窗伴侣</w:t>
            </w:r>
          </w:p>
        </w:tc>
        <w:tc>
          <w:tcPr>
            <w:tcW w:w="1701" w:type="dxa"/>
            <w:vAlign w:val="center"/>
          </w:tcPr>
          <w:p w14:paraId="083A118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ESP32-C3 执行节点 B</w:t>
            </w:r>
          </w:p>
        </w:tc>
        <w:tc>
          <w:tcPr>
            <w:tcW w:w="4082" w:type="dxa"/>
            <w:vAlign w:val="center"/>
          </w:tcPr>
          <w:p w14:paraId="6F4231D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窗帘步进电机与窗户舵机控制；支持命令接口、状态上报、配网恢复、RGB 状态灯。</w:t>
            </w:r>
          </w:p>
        </w:tc>
        <w:tc>
          <w:tcPr>
            <w:tcW w:w="2268" w:type="dxa"/>
            <w:vAlign w:val="center"/>
          </w:tcPr>
          <w:p w14:paraId="774186C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node_id: ActionNode-DoorWindow-01。</w:t>
            </w:r>
          </w:p>
        </w:tc>
      </w:tr>
    </w:tbl>
    <w:p w14:paraId="573E77CA">
      <w:pPr>
        <w:rPr>
          <w:rFonts w:hint="eastAsia" w:ascii="楷体" w:hAnsi="楷体" w:eastAsia="楷体" w:cs="楷体"/>
        </w:rPr>
      </w:pPr>
    </w:p>
    <w:p w14:paraId="0E3CB909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二、开发阶段总览</w:t>
      </w:r>
    </w:p>
    <w:p w14:paraId="26C6751F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1"/>
        </w:rPr>
        <w:t>灵汐项目不是一次成型，而是经历了范围收敛、感知层验证、中控成型、节点化、工程化和最终冻结拆分几个阶段。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1398"/>
        <w:gridCol w:w="3850"/>
        <w:gridCol w:w="2635"/>
      </w:tblGrid>
      <w:tr w14:paraId="4EA1950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6254567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阶段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3A258A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时间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CF61F5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主要工作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705CEF1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阶段结果</w:t>
            </w:r>
          </w:p>
        </w:tc>
      </w:tr>
      <w:tr w14:paraId="39795AD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541590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阶段 1：范围收敛与总纲</w:t>
            </w:r>
          </w:p>
        </w:tc>
        <w:tc>
          <w:tcPr>
            <w:tcW w:w="1417" w:type="dxa"/>
            <w:vAlign w:val="center"/>
          </w:tcPr>
          <w:p w14:paraId="704A0E6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4/24~4/30</w:t>
            </w:r>
          </w:p>
        </w:tc>
        <w:tc>
          <w:tcPr>
            <w:tcW w:w="3969" w:type="dxa"/>
            <w:vAlign w:val="center"/>
          </w:tcPr>
          <w:p w14:paraId="712426F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从开题报告的多技术栈中收束出“中控网关 + 感知层 + 执行层 + 交互层 + 云端层”的主线。</w:t>
            </w:r>
          </w:p>
        </w:tc>
        <w:tc>
          <w:tcPr>
            <w:tcW w:w="2721" w:type="dxa"/>
            <w:vAlign w:val="center"/>
          </w:tcPr>
          <w:p w14:paraId="0C3F5BC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确定不能盲目堆功能，必须先保证本地闭环和可演示。</w:t>
            </w:r>
          </w:p>
        </w:tc>
      </w:tr>
      <w:tr w14:paraId="071FDE8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AFD"/>
            <w:vAlign w:val="center"/>
          </w:tcPr>
          <w:p w14:paraId="492F271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阶段 2：早期感知层验证</w:t>
            </w:r>
          </w:p>
        </w:tc>
        <w:tc>
          <w:tcPr>
            <w:tcW w:w="1417" w:type="dxa"/>
            <w:shd w:val="clear" w:color="auto" w:fill="F7FAFD"/>
            <w:vAlign w:val="center"/>
          </w:tcPr>
          <w:p w14:paraId="59E3068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4/29~5/5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3FFE467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完成感知层单板采集、OLED 显示、WiFi 连接提示、巴法云/MQTT 初步探索。</w:t>
            </w:r>
          </w:p>
        </w:tc>
        <w:tc>
          <w:tcPr>
            <w:tcW w:w="2721" w:type="dxa"/>
            <w:shd w:val="clear" w:color="auto" w:fill="F7FAFD"/>
            <w:vAlign w:val="center"/>
          </w:tcPr>
          <w:p w14:paraId="3318E24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证明传感器采集和基础联网可行。</w:t>
            </w:r>
          </w:p>
        </w:tc>
      </w:tr>
      <w:tr w14:paraId="3199053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613F48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阶段 3：中控与交互能力成型</w:t>
            </w:r>
          </w:p>
        </w:tc>
        <w:tc>
          <w:tcPr>
            <w:tcW w:w="1417" w:type="dxa"/>
            <w:vAlign w:val="center"/>
          </w:tcPr>
          <w:p w14:paraId="7981BC3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5/5~5/14</w:t>
            </w:r>
          </w:p>
        </w:tc>
        <w:tc>
          <w:tcPr>
            <w:tcW w:w="3969" w:type="dxa"/>
            <w:vAlign w:val="center"/>
          </w:tcPr>
          <w:p w14:paraId="63385EE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围绕 ESP32-S3 中控、WebUI、语音、MQTT、AI 对话、角色资源、浏览器播放等能力迭代。</w:t>
            </w:r>
          </w:p>
        </w:tc>
        <w:tc>
          <w:tcPr>
            <w:tcW w:w="2721" w:type="dxa"/>
            <w:vAlign w:val="center"/>
          </w:tcPr>
          <w:p w14:paraId="08292D6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形成“灵汐体验版/正式版”的雏形。</w:t>
            </w:r>
          </w:p>
        </w:tc>
      </w:tr>
      <w:tr w14:paraId="7FF1855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AFD"/>
            <w:vAlign w:val="center"/>
          </w:tcPr>
          <w:p w14:paraId="0956AC5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阶段 4：节点化与工程化</w:t>
            </w:r>
          </w:p>
        </w:tc>
        <w:tc>
          <w:tcPr>
            <w:tcW w:w="1417" w:type="dxa"/>
            <w:shd w:val="clear" w:color="auto" w:fill="F7FAFD"/>
            <w:vAlign w:val="center"/>
          </w:tcPr>
          <w:p w14:paraId="3FE2F35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5/15~5/21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665C919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加入节点注册/上报基础；进入公测版工程化，开始处理代码体量、接口、版本、资料包和测试。</w:t>
            </w:r>
          </w:p>
        </w:tc>
        <w:tc>
          <w:tcPr>
            <w:tcW w:w="2721" w:type="dxa"/>
            <w:shd w:val="clear" w:color="auto" w:fill="F7FAFD"/>
            <w:vAlign w:val="center"/>
          </w:tcPr>
          <w:p w14:paraId="7B8A2CC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系统从功能堆叠转向可维护工程。</w:t>
            </w:r>
          </w:p>
        </w:tc>
      </w:tr>
      <w:tr w14:paraId="402A8F0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990DCA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阶段 5：冻结与最终拆分</w:t>
            </w:r>
          </w:p>
        </w:tc>
        <w:tc>
          <w:tcPr>
            <w:tcW w:w="1417" w:type="dxa"/>
            <w:vAlign w:val="center"/>
          </w:tcPr>
          <w:p w14:paraId="25A4FBF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5/22~5/25</w:t>
            </w:r>
          </w:p>
        </w:tc>
        <w:tc>
          <w:tcPr>
            <w:tcW w:w="3969" w:type="dxa"/>
            <w:vAlign w:val="center"/>
          </w:tcPr>
          <w:p w14:paraId="70C5930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冻结中控 V1.4.2；感知/执行节点按 A/B 真拆分；整理 WebUI、远程端、WebView、PCB 与论文资料。</w:t>
            </w:r>
          </w:p>
        </w:tc>
        <w:tc>
          <w:tcPr>
            <w:tcW w:w="2721" w:type="dxa"/>
            <w:vAlign w:val="center"/>
          </w:tcPr>
          <w:p w14:paraId="2158292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形成最终代码包与论文叙事基础。</w:t>
            </w:r>
          </w:p>
        </w:tc>
      </w:tr>
    </w:tbl>
    <w:p w14:paraId="0C341471">
      <w:pPr>
        <w:rPr>
          <w:rFonts w:hint="eastAsia" w:ascii="楷体" w:hAnsi="楷体" w:eastAsia="楷体" w:cs="楷体"/>
        </w:rPr>
      </w:pPr>
    </w:p>
    <w:p w14:paraId="738F83E4">
      <w:pPr>
        <w:rPr>
          <w:rFonts w:hint="eastAsia" w:ascii="楷体" w:hAnsi="楷体" w:eastAsia="楷体" w:cs="楷体"/>
        </w:rPr>
        <w:sectPr>
          <w:pgSz w:w="12240" w:h="15840"/>
          <w:pgMar w:top="1134" w:right="1134" w:bottom="1020" w:left="1134" w:header="720" w:footer="720" w:gutter="0"/>
          <w:cols w:space="720" w:num="1"/>
          <w:docGrid w:linePitch="360" w:charSpace="0"/>
        </w:sectPr>
      </w:pPr>
    </w:p>
    <w:p w14:paraId="3D11BC4F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三、正式开发日志表</w:t>
      </w:r>
    </w:p>
    <w:p w14:paraId="71355779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19"/>
        </w:rPr>
        <w:t>本表</w:t>
      </w:r>
      <w:r>
        <w:rPr>
          <w:rFonts w:hint="eastAsia" w:ascii="楷体" w:hAnsi="楷体" w:eastAsia="楷体" w:cs="楷体"/>
          <w:b w:val="0"/>
          <w:sz w:val="19"/>
          <w:lang w:val="en-US" w:eastAsia="zh-CN"/>
        </w:rPr>
        <w:t>作用：</w:t>
      </w:r>
      <w:bookmarkStart w:id="0" w:name="_GoBack"/>
      <w:bookmarkEnd w:id="0"/>
      <w:r>
        <w:rPr>
          <w:rFonts w:hint="eastAsia" w:ascii="楷体" w:hAnsi="楷体" w:eastAsia="楷体" w:cs="楷体"/>
          <w:b w:val="0"/>
          <w:sz w:val="19"/>
        </w:rPr>
        <w:t>补结果、补问题、改成正式开发日志格式。每一行均包含日期、开发内容、遇到问题、解决方法与阶段成果。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804"/>
        <w:gridCol w:w="4004"/>
        <w:gridCol w:w="2460"/>
        <w:gridCol w:w="2747"/>
        <w:gridCol w:w="2419"/>
      </w:tblGrid>
      <w:tr w14:paraId="47BCE1E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4FA64B9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日期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7BFFC5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开发内容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5BD6C0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具体工作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7422B6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遇到问题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C95B31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解决方法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2CE258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阶段成果</w:t>
            </w:r>
          </w:p>
        </w:tc>
      </w:tr>
      <w:tr w14:paraId="77E68A6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9BA05C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2026-04-24</w:t>
            </w:r>
          </w:p>
        </w:tc>
        <w:tc>
          <w:tcPr>
            <w:tcW w:w="2268" w:type="dxa"/>
            <w:vAlign w:val="center"/>
          </w:tcPr>
          <w:p w14:paraId="2F2BE2C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项目启动、范围收敛、两周计划制定</w:t>
            </w:r>
          </w:p>
        </w:tc>
        <w:tc>
          <w:tcPr>
            <w:tcW w:w="4535" w:type="dxa"/>
            <w:vAlign w:val="center"/>
          </w:tcPr>
          <w:p w14:paraId="712D37B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讨论硬件已购齐但代码能力不足、时间紧张的问题；将开题报告中的 ESP-NOW/MQTT/触控屏/语音/AI 等内容收束为可演示闭环。</w:t>
            </w:r>
          </w:p>
        </w:tc>
        <w:tc>
          <w:tcPr>
            <w:tcW w:w="3118" w:type="dxa"/>
            <w:vAlign w:val="center"/>
          </w:tcPr>
          <w:p w14:paraId="5F3AE8B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功能范围过大、技术栈混乱。</w:t>
            </w:r>
          </w:p>
        </w:tc>
        <w:tc>
          <w:tcPr>
            <w:tcW w:w="3515" w:type="dxa"/>
            <w:vAlign w:val="center"/>
          </w:tcPr>
          <w:p w14:paraId="61FD90B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按“第一周硬件测试，第二周软件集成”的路线拆解；先保证感知、决策、执行、云端的最低闭环。</w:t>
            </w:r>
          </w:p>
        </w:tc>
        <w:tc>
          <w:tcPr>
            <w:tcW w:w="3118" w:type="dxa"/>
            <w:vAlign w:val="center"/>
          </w:tcPr>
          <w:p w14:paraId="1A5F1EC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形成项目总纲：基于 ESP32 的分布式全屋智能管理终端。</w:t>
            </w:r>
          </w:p>
        </w:tc>
      </w:tr>
      <w:tr w14:paraId="76899FE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0FF7357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2026-04-25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1677364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论文框架与语音控制思路初步确定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7235224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整理本科论文目录；讨论语音输入、问答式确认、低风险指令直控、高风险模式二次确认等控制逻辑。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4DA3CB8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语音/AI 容易失控，可能直接影响执行器。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06DB4EE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将语音交互分成低风险直控、模式/高风险确认、自由对话三类。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798E263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形成早期论文框架和语音控制安全边界雏形。</w:t>
            </w:r>
          </w:p>
        </w:tc>
      </w:tr>
      <w:tr w14:paraId="05BA95C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2C8326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2026-04-29</w:t>
            </w:r>
          </w:p>
        </w:tc>
        <w:tc>
          <w:tcPr>
            <w:tcW w:w="2268" w:type="dxa"/>
            <w:vAlign w:val="center"/>
          </w:tcPr>
          <w:p w14:paraId="1BDA918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感知层单板采集与 OLED 显示验证</w:t>
            </w:r>
          </w:p>
        </w:tc>
        <w:tc>
          <w:tcPr>
            <w:tcW w:w="4535" w:type="dxa"/>
            <w:vAlign w:val="center"/>
          </w:tcPr>
          <w:p w14:paraId="1F90E23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编写 ESP32 感知层演示程序，接入 DHT22、HC-SR505、MQ-2、MQ-5、光照、门磁等模块；实现 WiFi Connecting → WiFi OK → 主界面流程。</w:t>
            </w:r>
          </w:p>
        </w:tc>
        <w:tc>
          <w:tcPr>
            <w:tcW w:w="3118" w:type="dxa"/>
            <w:vAlign w:val="center"/>
          </w:tcPr>
          <w:p w14:paraId="033AA12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BH1750/光照显示异常会影响演示观感；引脚复用和接线混乱。</w:t>
            </w:r>
          </w:p>
        </w:tc>
        <w:tc>
          <w:tcPr>
            <w:tcW w:w="3515" w:type="dxa"/>
            <w:vAlign w:val="center"/>
          </w:tcPr>
          <w:p w14:paraId="0A67C98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采用配置集中、引脚表明确、光照失败时显示百分比/默认值的策略。</w:t>
            </w:r>
          </w:p>
        </w:tc>
        <w:tc>
          <w:tcPr>
            <w:tcW w:w="3118" w:type="dxa"/>
            <w:vAlign w:val="center"/>
          </w:tcPr>
          <w:p w14:paraId="4F93578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完成一版可用于检查的感知层演示程序。</w:t>
            </w:r>
          </w:p>
        </w:tc>
      </w:tr>
      <w:tr w14:paraId="3EECFFD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721187B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2026-04-30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29F61DA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传感器选型与系统架构收束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0AF6967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讨论门磁、PIR、烟雾、燃气、继电器、舵机、窗帘、WebUI、MQTT、ESP-NOW、LVGL 等技术路线。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1D2DC1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项目目标过野，难以在毕设时间内全部完成。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3AF0C5D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确定“本地闭环优先，远程和 AI 作为增强”的原则；明确感知层只采集，执行层只执行，中控统一调度。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142AD68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形成低成本全屋智能管理终端的主线表达。</w:t>
            </w:r>
          </w:p>
        </w:tc>
      </w:tr>
      <w:tr w14:paraId="07F6EF2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EB9C3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2026-05-05</w:t>
            </w:r>
          </w:p>
        </w:tc>
        <w:tc>
          <w:tcPr>
            <w:tcW w:w="2268" w:type="dxa"/>
            <w:vAlign w:val="center"/>
          </w:tcPr>
          <w:p w14:paraId="534D85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三节点最小系统与开发工具链准备</w:t>
            </w:r>
          </w:p>
        </w:tc>
        <w:tc>
          <w:tcPr>
            <w:tcW w:w="4535" w:type="dxa"/>
            <w:vAlign w:val="center"/>
          </w:tcPr>
          <w:p w14:paraId="0D8EBE9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围绕 ESP32-C3 感知节点、ESP32-S3 中控、ESP32-C3 执行节点讨论最小闭环；准备 Arduino IDE/VSCode/PlatformIO/ClaudeCode 等工具。</w:t>
            </w:r>
          </w:p>
        </w:tc>
        <w:tc>
          <w:tcPr>
            <w:tcW w:w="3118" w:type="dxa"/>
            <w:vAlign w:val="center"/>
          </w:tcPr>
          <w:p w14:paraId="0C01331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完整商业系统不可一次完成；硬件材料未完全齐全。</w:t>
            </w:r>
          </w:p>
        </w:tc>
        <w:tc>
          <w:tcPr>
            <w:tcW w:w="3515" w:type="dxa"/>
            <w:vAlign w:val="center"/>
          </w:tcPr>
          <w:p w14:paraId="3A9D0B2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先写假数据和通信骨架；LVGL 不从零做，WebUI 先做单页；优先让三节点通信和控制跑通。</w:t>
            </w:r>
          </w:p>
        </w:tc>
        <w:tc>
          <w:tcPr>
            <w:tcW w:w="3118" w:type="dxa"/>
            <w:vAlign w:val="center"/>
          </w:tcPr>
          <w:p w14:paraId="6221B42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形成三节点分布式架构和“先骨架后完善”的开发策略。</w:t>
            </w:r>
          </w:p>
        </w:tc>
      </w:tr>
      <w:tr w14:paraId="57DBC84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6C4C1A8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2026-05-06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436B5BC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板卡烧录、串口与 MAC 信息测试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066AAE3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使用 Arduino 环境测试 ESP32-C3/ESP32-S3 板卡烧录和串口输出；记录感知层 C3 等设备 MAC。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50541E7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开发板进入下载模式、串口启动信息难以判断。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772581B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区分下载日志和错误日志；按板卡逐个烧录、重启、记录 STA MAC。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2CC36C2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完成基础烧录与板卡识别，为 ESP-NOW/节点通信准备硬件信息。</w:t>
            </w:r>
          </w:p>
        </w:tc>
      </w:tr>
      <w:tr w14:paraId="7DD992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749228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2026-05-11</w:t>
            </w:r>
          </w:p>
        </w:tc>
        <w:tc>
          <w:tcPr>
            <w:tcW w:w="2268" w:type="dxa"/>
            <w:vAlign w:val="center"/>
          </w:tcPr>
          <w:p w14:paraId="514B89E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中控语音链路与状态逻辑修正</w:t>
            </w:r>
          </w:p>
        </w:tc>
        <w:tc>
          <w:tcPr>
            <w:tcW w:w="4535" w:type="dxa"/>
            <w:vAlign w:val="center"/>
          </w:tcPr>
          <w:p w14:paraId="3DCE243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完成 ES8311 扬声器/I2S 播放链路调试；处理 WAV 解析、I2S 引脚、SD 语音包、WebUI/语音调度；发现窗帘、电视等状态播报与显示跳变问题。</w:t>
            </w:r>
          </w:p>
        </w:tc>
        <w:tc>
          <w:tcPr>
            <w:tcW w:w="3118" w:type="dxa"/>
            <w:vAlign w:val="center"/>
          </w:tcPr>
          <w:p w14:paraId="513A770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TTS/WAV 播放失败；设备状态被执行层旧回传覆盖；播报与 WebUI 状态不一致。</w:t>
            </w:r>
          </w:p>
        </w:tc>
        <w:tc>
          <w:tcPr>
            <w:tcW w:w="3515" w:type="dxa"/>
            <w:vAlign w:val="center"/>
          </w:tcPr>
          <w:p w14:paraId="4DB0B64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修正 I2S 方向和 WAV data chunk 问题；冻结 V3.4.4 语音出声能力；提出 V3.4.5 Logic Patch，先修状态再做配网。</w:t>
            </w:r>
          </w:p>
        </w:tc>
        <w:tc>
          <w:tcPr>
            <w:tcW w:w="3118" w:type="dxa"/>
            <w:vAlign w:val="center"/>
          </w:tcPr>
          <w:p w14:paraId="220A016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中控本机播放链路打通，形成状态一致性问题清单。</w:t>
            </w:r>
          </w:p>
        </w:tc>
      </w:tr>
      <w:tr w14:paraId="30CE5C1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0191706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2026-05-12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044FF4A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PCB GND、供电与布线方案检查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73A8AD0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检查感知层 PCB 的 GND 铺铜、金属化孔、万用表通断、电源短路风险；讨论板子放置、排线、亚克力模型走线。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4DECE0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担心删掉 GND 过孔后 GND 不通；模块直接插板与模型空间冲突；杜邦线接触不稳。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753774E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用万用表蜂鸣档/电压档验证；将 PCB 定位为感知层 Hub/转接板；传感器通过排线外接，正式板贴在亚克力背面。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43CA521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 PCB 测试板/答辩正式板/备用板分工和供电检查流程。</w:t>
            </w:r>
          </w:p>
        </w:tc>
      </w:tr>
    </w:tbl>
    <w:p w14:paraId="617A610F">
      <w:pPr>
        <w:rPr>
          <w:rFonts w:hint="eastAsia" w:ascii="楷体" w:hAnsi="楷体" w:eastAsia="楷体" w:cs="楷体"/>
        </w:rPr>
      </w:pPr>
    </w:p>
    <w:p w14:paraId="1A31257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A5FB724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三、正式开发日志表（续）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696"/>
        <w:gridCol w:w="3647"/>
        <w:gridCol w:w="2227"/>
        <w:gridCol w:w="3178"/>
        <w:gridCol w:w="2733"/>
      </w:tblGrid>
      <w:tr w14:paraId="641E04D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2F69B87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日期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32DE0F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开发内容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6893B7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具体工作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7AC49B0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遇到问题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08443A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解决方法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6C286D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阶段成果</w:t>
            </w:r>
          </w:p>
        </w:tc>
      </w:tr>
      <w:tr w14:paraId="2965AB1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98A9E6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2026-05-14</w:t>
            </w:r>
          </w:p>
        </w:tc>
        <w:tc>
          <w:tcPr>
            <w:tcW w:w="2268" w:type="dxa"/>
            <w:vAlign w:val="center"/>
          </w:tcPr>
          <w:p w14:paraId="11D4630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体验版收官与正式版 V2 迭代</w:t>
            </w:r>
          </w:p>
        </w:tc>
        <w:tc>
          <w:tcPr>
            <w:tcW w:w="4535" w:type="dxa"/>
            <w:vAlign w:val="center"/>
          </w:tcPr>
          <w:p w14:paraId="779DDC8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从体验版 V1 进入正式版 V2；整理十页 WebUI、文字控制、自然聊天、麦克风录音、角色资源、SD 卡资源管理。</w:t>
            </w:r>
          </w:p>
        </w:tc>
        <w:tc>
          <w:tcPr>
            <w:tcW w:w="3118" w:type="dxa"/>
            <w:vAlign w:val="center"/>
          </w:tcPr>
          <w:p w14:paraId="4BCCA7D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体验版功能多但容易散，角色资源和语音资源需要统一管理。</w:t>
            </w:r>
          </w:p>
        </w:tc>
        <w:tc>
          <w:tcPr>
            <w:tcW w:w="3515" w:type="dxa"/>
            <w:vAlign w:val="center"/>
          </w:tcPr>
          <w:p w14:paraId="4482D6E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将 V1 作为体验版收官，V2 作为正式版阶段；推进 SD_RoleAssetManager_Foundation。</w:t>
            </w:r>
          </w:p>
        </w:tc>
        <w:tc>
          <w:tcPr>
            <w:tcW w:w="3118" w:type="dxa"/>
            <w:vAlign w:val="center"/>
          </w:tcPr>
          <w:p w14:paraId="35631A8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 Lingxi Official V2.2.4 角色资源管理基础。</w:t>
            </w:r>
          </w:p>
        </w:tc>
      </w:tr>
      <w:tr w14:paraId="49CF5F2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4A65C1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2026-05-15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26219BA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V3.0 节点注册基础与节点化开始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2BF1D11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在 V2 中控基础上加入 /api/node/register、/api/node/report、节点展示和运行状态基础，开始从单体中控转向分布式节点。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547FD92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已有静态三节点和设备配置页，但缺少真实注册/上报入口。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5ABDB39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以最小侵入方式加入节点注册、上报和展示，不重写中控。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240085B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生成 V3.0 NodeRegister_Foundation，为后续真实 C3 子节点适配打基础。</w:t>
            </w:r>
          </w:p>
        </w:tc>
      </w:tr>
      <w:tr w14:paraId="4054CD3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BC3CB0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2026-05-17</w:t>
            </w:r>
          </w:p>
        </w:tc>
        <w:tc>
          <w:tcPr>
            <w:tcW w:w="2268" w:type="dxa"/>
            <w:vAlign w:val="center"/>
          </w:tcPr>
          <w:p w14:paraId="371E96C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公测版工程化启动</w:t>
            </w:r>
          </w:p>
        </w:tc>
        <w:tc>
          <w:tcPr>
            <w:tcW w:w="4535" w:type="dxa"/>
            <w:vAlign w:val="center"/>
          </w:tcPr>
          <w:p w14:paraId="272DD0F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以 Lingxi_V5.ino、ActionNode_V3.ino、SensorNode_V3.ino 为稳定底座，进入“灵汐公测版 V1.0.0”工程化。</w:t>
            </w:r>
          </w:p>
        </w:tc>
        <w:tc>
          <w:tcPr>
            <w:tcW w:w="3118" w:type="dxa"/>
            <w:vAlign w:val="center"/>
          </w:tcPr>
          <w:p w14:paraId="331048A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中控单文件体量大，历史实验残留多；继续堆功能会失控。</w:t>
            </w:r>
          </w:p>
        </w:tc>
        <w:tc>
          <w:tcPr>
            <w:tcW w:w="3515" w:type="dxa"/>
            <w:vAlign w:val="center"/>
          </w:tcPr>
          <w:p w14:paraId="4E0C035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不走删代码瘦身，而走稳定底座、隔离实验残留、分区、外移模块、最后清理冗余的路线。</w:t>
            </w:r>
          </w:p>
        </w:tc>
        <w:tc>
          <w:tcPr>
            <w:tcW w:w="3118" w:type="dxa"/>
            <w:vAlign w:val="center"/>
          </w:tcPr>
          <w:p w14:paraId="5611665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项目从“功能原型”转向“可维护工程”。</w:t>
            </w:r>
          </w:p>
        </w:tc>
      </w:tr>
      <w:tr w14:paraId="59944EF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7BB5A6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2026-05-18~05-20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5A9F42C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中控、WebUI、语音、HTTP、MQTT 工程化整理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6B4D9E6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整理中控工程结构，处理 Web 服务、API、语音链路、MQTT、节点通信、日志诊断、远程服务配置等模块。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3F5FA57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中控、节点、语音、WebUI、远程端之间容易互相影响。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5A39B08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把中控定义为统一入口和统一出口：状态进入中控表，控制命令经中控调度，远程和语音不绕过本地规则。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6886004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形成公测版较稳定的中控网关结构，为 V7.3/V8/V9 归档做准备。</w:t>
            </w:r>
          </w:p>
        </w:tc>
      </w:tr>
      <w:tr w14:paraId="7E788ED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D4C4BF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2026-05-21</w:t>
            </w:r>
          </w:p>
        </w:tc>
        <w:tc>
          <w:tcPr>
            <w:tcW w:w="2268" w:type="dxa"/>
            <w:vAlign w:val="center"/>
          </w:tcPr>
          <w:p w14:paraId="0C21221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V9.2 静态测试、资料包与口径校准</w:t>
            </w:r>
          </w:p>
        </w:tc>
        <w:tc>
          <w:tcPr>
            <w:tcW w:w="4535" w:type="dxa"/>
            <w:vAlign w:val="center"/>
          </w:tcPr>
          <w:p w14:paraId="1FA2085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对 V9.2 资料包做离线全检：目录、源码结构、WebUI、接口、语音、节点链路、敏感信息风险；整理硬件实测清单。</w:t>
            </w:r>
          </w:p>
        </w:tc>
        <w:tc>
          <w:tcPr>
            <w:tcW w:w="3118" w:type="dxa"/>
            <w:vAlign w:val="center"/>
          </w:tcPr>
          <w:p w14:paraId="3795429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资料包里存在“18 个独立节点/19 个端点”等口径风险；温湿度拆分表述可能被追问。</w:t>
            </w:r>
          </w:p>
        </w:tc>
        <w:tc>
          <w:tcPr>
            <w:tcW w:w="3515" w:type="dxa"/>
            <w:vAlign w:val="center"/>
          </w:tcPr>
          <w:p w14:paraId="264EFB0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把 V9 定位为架构细节收口版，不是继续加功能；论文按端点模型和演示节点边界表达。</w:t>
            </w:r>
          </w:p>
        </w:tc>
        <w:tc>
          <w:tcPr>
            <w:tcW w:w="3118" w:type="dxa"/>
            <w:vAlign w:val="center"/>
          </w:tcPr>
          <w:p w14:paraId="0715D9D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形成自动化静态检查思路和论文/答辩口径校准清单。</w:t>
            </w:r>
          </w:p>
        </w:tc>
      </w:tr>
      <w:tr w14:paraId="78B6800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77828D7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2026-05-22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5BFEEEE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冻结中控 V1.4.2 与感知节点真拆分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1F4D96F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明确中控已冻结，不再修改；工程名 Lingxi_PublicBeta_V1_4_2；对感知层 A/B 做真拆分，热点名使用中文，密码 999999999。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36381D3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第一次拆分容易变成宏裁剪，不是真正删除无关传感器逻辑。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4CC4E92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只沿用对应传感器的 GPIO、初始化、采集和上报逻辑；A/B 节点各自保留自己的配网、注册、上报。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764356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生成感知 A 环境监测、感知 B 人体安防两套 C3 固件，适配冻结中控。</w:t>
            </w:r>
          </w:p>
        </w:tc>
      </w:tr>
      <w:tr w14:paraId="2F7C659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990DC2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2026-05-23</w:t>
            </w:r>
          </w:p>
        </w:tc>
        <w:tc>
          <w:tcPr>
            <w:tcW w:w="2268" w:type="dxa"/>
            <w:vAlign w:val="center"/>
          </w:tcPr>
          <w:p w14:paraId="289CE9E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执行节点 A/B 与配网恢复机制整理</w:t>
            </w:r>
          </w:p>
        </w:tc>
        <w:tc>
          <w:tcPr>
            <w:tcW w:w="4535" w:type="dxa"/>
            <w:vAlign w:val="center"/>
          </w:tcPr>
          <w:p w14:paraId="617A25A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围绕灯光家电节点和门窗伴侣节点整理执行设备：客厅灯、卧室灯、四路继电器、窗帘步进电机、窗户舵机；保留配网页、WiFi 保存、断线重连、RGB 状态灯。</w:t>
            </w:r>
          </w:p>
        </w:tc>
        <w:tc>
          <w:tcPr>
            <w:tcW w:w="3118" w:type="dxa"/>
            <w:vAlign w:val="center"/>
          </w:tcPr>
          <w:p w14:paraId="399CE97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执行器控制容易受供电、共地、相序、状态反馈影响；不能只看程序。</w:t>
            </w:r>
          </w:p>
        </w:tc>
        <w:tc>
          <w:tcPr>
            <w:tcW w:w="3515" w:type="dxa"/>
            <w:vAlign w:val="center"/>
          </w:tcPr>
          <w:p w14:paraId="68D2686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节点按照注册、上报、命令接口对接中控；执行反馈只作为命令闭环，不夸大为物理闭环。</w:t>
            </w:r>
          </w:p>
        </w:tc>
        <w:tc>
          <w:tcPr>
            <w:tcW w:w="3118" w:type="dxa"/>
            <w:vAlign w:val="center"/>
          </w:tcPr>
          <w:p w14:paraId="2ED964B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形成执行 A 灯光家电、执行 B 门窗伴侣两套 C3 固件。</w:t>
            </w:r>
          </w:p>
        </w:tc>
      </w:tr>
      <w:tr w14:paraId="2D21B3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7FAFD"/>
            <w:vAlign w:val="center"/>
          </w:tcPr>
          <w:p w14:paraId="7D6AE2A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2026-05-24</w:t>
            </w:r>
          </w:p>
        </w:tc>
        <w:tc>
          <w:tcPr>
            <w:tcW w:w="2268" w:type="dxa"/>
            <w:shd w:val="clear" w:color="auto" w:fill="F7FAFD"/>
            <w:vAlign w:val="center"/>
          </w:tcPr>
          <w:p w14:paraId="7BDD44F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本地 WebUI、远程 WebUI、WebView 与资料整理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3769D22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整理本地 WebUI、远程 WebUI、Android WebView 入口与最终代码包；确认各入口的功能边界。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0285BA8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远程端和 App 容易被写成完整商业系统，导致夸大。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7E6346B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将本地 WebUI 定义为主入口；远程 WebUI 定义为 MQTT 扩展入口；WebView 定义为移动端网页封装。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14354A7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形成最终交付代码包的多端入口结构。</w:t>
            </w:r>
          </w:p>
        </w:tc>
      </w:tr>
      <w:tr w14:paraId="1DF7EB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412DAE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2026-05-25</w:t>
            </w:r>
          </w:p>
        </w:tc>
        <w:tc>
          <w:tcPr>
            <w:tcW w:w="2268" w:type="dxa"/>
            <w:vAlign w:val="center"/>
          </w:tcPr>
          <w:p w14:paraId="46D9BBB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论文前复盘与聊天记录归档</w:t>
            </w:r>
          </w:p>
        </w:tc>
        <w:tc>
          <w:tcPr>
            <w:tcW w:w="4535" w:type="dxa"/>
            <w:vAlign w:val="center"/>
          </w:tcPr>
          <w:p w14:paraId="1EBCB72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停止直接硬改论文，转而整理聊天记录、代码包、开发日志、问题表、论文映射和答辩材料。</w:t>
            </w:r>
          </w:p>
        </w:tc>
        <w:tc>
          <w:tcPr>
            <w:tcW w:w="3118" w:type="dxa"/>
            <w:vAlign w:val="center"/>
          </w:tcPr>
          <w:p w14:paraId="04E43C0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记忆断层严重，不知道“做了什么、为什么这么做”。</w:t>
            </w:r>
          </w:p>
        </w:tc>
        <w:tc>
          <w:tcPr>
            <w:tcW w:w="3515" w:type="dxa"/>
            <w:vAlign w:val="center"/>
          </w:tcPr>
          <w:p w14:paraId="3A14A44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使用聊天记录反向复原开发过程；先建立系统事实，再写论文。</w:t>
            </w:r>
          </w:p>
        </w:tc>
        <w:tc>
          <w:tcPr>
            <w:tcW w:w="3118" w:type="dxa"/>
            <w:vAlign w:val="center"/>
          </w:tcPr>
          <w:p w14:paraId="286AD30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5"/>
              </w:rPr>
              <w:t>进入论文整理与答辩准备阶段。</w:t>
            </w:r>
          </w:p>
        </w:tc>
      </w:tr>
    </w:tbl>
    <w:p w14:paraId="3DF2571C">
      <w:pPr>
        <w:rPr>
          <w:rFonts w:hint="eastAsia" w:ascii="楷体" w:hAnsi="楷体" w:eastAsia="楷体" w:cs="楷体"/>
        </w:rPr>
      </w:pPr>
    </w:p>
    <w:p w14:paraId="00522F0F">
      <w:pPr>
        <w:rPr>
          <w:rFonts w:hint="eastAsia" w:ascii="楷体" w:hAnsi="楷体" w:eastAsia="楷体" w:cs="楷体"/>
        </w:rPr>
        <w:sectPr>
          <w:pgSz w:w="15840" w:h="12240" w:orient="landscape"/>
          <w:pgMar w:top="850" w:right="737" w:bottom="794" w:left="737" w:header="720" w:footer="720" w:gutter="0"/>
          <w:cols w:space="720" w:num="1"/>
          <w:docGrid w:linePitch="360" w:charSpace="0"/>
        </w:sectPr>
      </w:pPr>
    </w:p>
    <w:p w14:paraId="4A6822F6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四、关键问题与解决结果汇总</w:t>
      </w:r>
    </w:p>
    <w:p w14:paraId="72CB99A7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1"/>
        </w:rPr>
        <w:t>这一部分可直接作为论文第八章“系统测试与优化分析”的素材。写论文时不必全部展开，可优先选择 HTTP/ESP-NOW 取舍、语音链路、状态一致性、PCB/供电、节点真拆分、WebUI 边界等重点。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036"/>
        <w:gridCol w:w="3167"/>
        <w:gridCol w:w="1805"/>
      </w:tblGrid>
      <w:tr w14:paraId="216653B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393AE5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问题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1AAFBF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表现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5C4A3A7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处理方式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5EF2AE1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论文使用位置</w:t>
            </w:r>
          </w:p>
        </w:tc>
      </w:tr>
      <w:tr w14:paraId="620EBF6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2F7D9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功能范围过大</w:t>
            </w:r>
          </w:p>
        </w:tc>
        <w:tc>
          <w:tcPr>
            <w:tcW w:w="3118" w:type="dxa"/>
            <w:vAlign w:val="center"/>
          </w:tcPr>
          <w:p w14:paraId="1B22E5D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开题报告包含 ESP-NOW、MQTT、AI、触控屏、语音、全屋智能等过多内容。</w:t>
            </w:r>
          </w:p>
        </w:tc>
        <w:tc>
          <w:tcPr>
            <w:tcW w:w="3288" w:type="dxa"/>
            <w:vAlign w:val="center"/>
          </w:tcPr>
          <w:p w14:paraId="499C0A1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按“本地闭环优先，云端/AI 增强”的原则降范围。</w:t>
            </w:r>
          </w:p>
        </w:tc>
        <w:tc>
          <w:tcPr>
            <w:tcW w:w="1871" w:type="dxa"/>
            <w:vAlign w:val="center"/>
          </w:tcPr>
          <w:p w14:paraId="02BF1B7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写在需求分析、实现范围、不足与展望。</w:t>
            </w:r>
          </w:p>
        </w:tc>
      </w:tr>
      <w:tr w14:paraId="5894A7D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9C8711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技术路线混乱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51B9044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早期同时考虑 ESP-NOW、MQTT、HTTP、LVGL、WebUI、App。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5ED8C2C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最终本地子节点主线采用 WiFi + HTTP；MQTT 用于远程 WebUI；WebUI 作为主交互。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26A30A0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写在方案选型和通信方案比较。</w:t>
            </w:r>
          </w:p>
        </w:tc>
      </w:tr>
      <w:tr w14:paraId="406D007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1C1BA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光照/显示异常</w:t>
            </w:r>
          </w:p>
        </w:tc>
        <w:tc>
          <w:tcPr>
            <w:tcW w:w="3118" w:type="dxa"/>
            <w:vAlign w:val="center"/>
          </w:tcPr>
          <w:p w14:paraId="1F51C98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早期 BH1750 或光照读取异常导致界面显示 Error。</w:t>
            </w:r>
          </w:p>
        </w:tc>
        <w:tc>
          <w:tcPr>
            <w:tcW w:w="3288" w:type="dxa"/>
            <w:vAlign w:val="center"/>
          </w:tcPr>
          <w:p w14:paraId="75F6B41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演示层统一为百分比显示，读取失败给默认值，不影响展示。</w:t>
            </w:r>
          </w:p>
        </w:tc>
        <w:tc>
          <w:tcPr>
            <w:tcW w:w="1871" w:type="dxa"/>
            <w:vAlign w:val="center"/>
          </w:tcPr>
          <w:p w14:paraId="1E9A6F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写在早期调试记录或可略写。</w:t>
            </w:r>
          </w:p>
        </w:tc>
      </w:tr>
      <w:tr w14:paraId="5E2B926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407CA70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中控本机语音播放失败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7D8DEFB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WAV data chunk 解析异常，I2S 输入/输出引脚方向错误。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03471A7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修正 WAV 解析和 ES8311/I2S 引脚，形成 V3.4.4。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14785FC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写在语音链路与优化分析。</w:t>
            </w:r>
          </w:p>
        </w:tc>
      </w:tr>
      <w:tr w14:paraId="58B3ECA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0585E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设备状态播报与 UI 不一致</w:t>
            </w:r>
          </w:p>
        </w:tc>
        <w:tc>
          <w:tcPr>
            <w:tcW w:w="3118" w:type="dxa"/>
            <w:vAlign w:val="center"/>
          </w:tcPr>
          <w:p w14:paraId="66DC064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窗帘/电视等设备出现点击后播报和状态跳变。</w:t>
            </w:r>
          </w:p>
        </w:tc>
        <w:tc>
          <w:tcPr>
            <w:tcW w:w="3288" w:type="dxa"/>
            <w:vAlign w:val="center"/>
          </w:tcPr>
          <w:p w14:paraId="3BEEE2A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区分中控缓存状态、执行节点反馈和真实物理状态；先做 Logic Patch 再配网。</w:t>
            </w:r>
          </w:p>
        </w:tc>
        <w:tc>
          <w:tcPr>
            <w:tcW w:w="1871" w:type="dxa"/>
            <w:vAlign w:val="center"/>
          </w:tcPr>
          <w:p w14:paraId="7C23A1A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写在状态一致性和控制命令调度。</w:t>
            </w:r>
          </w:p>
        </w:tc>
      </w:tr>
      <w:tr w14:paraId="4622C9B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249B060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PCB GND 风险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69F1297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担心删除 GND 过孔导致地线不通。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7C5C751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判断金属化通孔和 GND 铺铜关系，并使用万用表通断/电压检查。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423C08F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写在硬件调试与 PCB 设计。</w:t>
            </w:r>
          </w:p>
        </w:tc>
      </w:tr>
      <w:tr w14:paraId="6482330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DDD0C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模型空间与 PCB 冲突</w:t>
            </w:r>
          </w:p>
        </w:tc>
        <w:tc>
          <w:tcPr>
            <w:tcW w:w="3118" w:type="dxa"/>
            <w:vAlign w:val="center"/>
          </w:tcPr>
          <w:p w14:paraId="46C61FB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传感器直插板导致高度和走线不适合小房子模型。</w:t>
            </w:r>
          </w:p>
        </w:tc>
        <w:tc>
          <w:tcPr>
            <w:tcW w:w="3288" w:type="dxa"/>
            <w:vAlign w:val="center"/>
          </w:tcPr>
          <w:p w14:paraId="59335B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PCB 改为 Hub/转接板，传感器用排线外接，板子贴亚克力背面。</w:t>
            </w:r>
          </w:p>
        </w:tc>
        <w:tc>
          <w:tcPr>
            <w:tcW w:w="1871" w:type="dxa"/>
            <w:vAlign w:val="center"/>
          </w:tcPr>
          <w:p w14:paraId="2CADD07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 PCB 设计目的和工程优化。</w:t>
            </w:r>
          </w:p>
        </w:tc>
      </w:tr>
      <w:tr w14:paraId="462DD9B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E36B0E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节点拆分不彻底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1105BB7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第一次拆分可能只是保留全集成代码再用宏屏蔽。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5C2A975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重做真拆分，只保留各节点对应传感器/执行器逻辑。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13E5505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写在第六章节点设计或第八章优化。</w:t>
            </w:r>
          </w:p>
        </w:tc>
      </w:tr>
      <w:tr w14:paraId="606E8F4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098F2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V9.2 口径风险</w:t>
            </w:r>
          </w:p>
        </w:tc>
        <w:tc>
          <w:tcPr>
            <w:tcW w:w="3118" w:type="dxa"/>
            <w:vAlign w:val="center"/>
          </w:tcPr>
          <w:p w14:paraId="31BDF9A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资料中“18 独立节点”“19 端点”等表达容易和最终演示不一致。</w:t>
            </w:r>
          </w:p>
        </w:tc>
        <w:tc>
          <w:tcPr>
            <w:tcW w:w="3288" w:type="dxa"/>
            <w:vAlign w:val="center"/>
          </w:tcPr>
          <w:p w14:paraId="47A574D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论文按“端点模型 + 当前小规模节点 + 后续动态扩展”表述。</w:t>
            </w:r>
          </w:p>
        </w:tc>
        <w:tc>
          <w:tcPr>
            <w:tcW w:w="1871" w:type="dxa"/>
            <w:vAlign w:val="center"/>
          </w:tcPr>
          <w:p w14:paraId="4D89AD9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写在系统边界和展望。</w:t>
            </w:r>
          </w:p>
        </w:tc>
      </w:tr>
      <w:tr w14:paraId="04A82A7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F472F2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敏感信息风险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232C824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ASR/TTS/Chat/MQTT 等外部服务涉及 Key、Token、WiFi 密码。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79AAF80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源码和论文中不写真实密钥，均作为用户设置项或空配置处理。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6BF6D12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写在安全性需求和配置管理。</w:t>
            </w:r>
          </w:p>
        </w:tc>
      </w:tr>
      <w:tr w14:paraId="47CE2DA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03AE1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WebUI 固定模板与动态节点共存</w:t>
            </w:r>
          </w:p>
        </w:tc>
        <w:tc>
          <w:tcPr>
            <w:tcW w:w="3118" w:type="dxa"/>
            <w:vAlign w:val="center"/>
          </w:tcPr>
          <w:p w14:paraId="1715054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前端部分页面仍有固定模板，真实节点状态来自注册表。</w:t>
            </w:r>
          </w:p>
        </w:tc>
        <w:tc>
          <w:tcPr>
            <w:tcW w:w="3288" w:type="dxa"/>
            <w:vAlign w:val="center"/>
          </w:tcPr>
          <w:p w14:paraId="365C9D6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如实说明当前边界，后续改进为端点驱动动态渲染。</w:t>
            </w:r>
          </w:p>
        </w:tc>
        <w:tc>
          <w:tcPr>
            <w:tcW w:w="1871" w:type="dxa"/>
            <w:vAlign w:val="center"/>
          </w:tcPr>
          <w:p w14:paraId="737CC42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 WebUI 设计与不足。</w:t>
            </w:r>
          </w:p>
        </w:tc>
      </w:tr>
      <w:tr w14:paraId="082315B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630EF67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执行器供电与共地</w:t>
            </w:r>
          </w:p>
        </w:tc>
        <w:tc>
          <w:tcPr>
            <w:tcW w:w="3118" w:type="dxa"/>
            <w:shd w:val="clear" w:color="auto" w:fill="F7FAFD"/>
            <w:vAlign w:val="center"/>
          </w:tcPr>
          <w:p w14:paraId="76D38F9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步进电机、舵机、继电器可能因电流、共地、相序造成异常。</w:t>
            </w:r>
          </w:p>
        </w:tc>
        <w:tc>
          <w:tcPr>
            <w:tcW w:w="3288" w:type="dxa"/>
            <w:shd w:val="clear" w:color="auto" w:fill="F7FAFD"/>
            <w:vAlign w:val="center"/>
          </w:tcPr>
          <w:p w14:paraId="0D07A19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外部 5V 供电、共地、低风险负载分步测试；不直接指导高压负载。</w:t>
            </w:r>
          </w:p>
        </w:tc>
        <w:tc>
          <w:tcPr>
            <w:tcW w:w="1871" w:type="dxa"/>
            <w:shd w:val="clear" w:color="auto" w:fill="F7FAFD"/>
            <w:vAlign w:val="center"/>
          </w:tcPr>
          <w:p w14:paraId="7D2E197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写在执行层硬件和测试优化。</w:t>
            </w:r>
          </w:p>
        </w:tc>
      </w:tr>
    </w:tbl>
    <w:p w14:paraId="21552668">
      <w:pPr>
        <w:rPr>
          <w:rFonts w:hint="eastAsia" w:ascii="楷体" w:hAnsi="楷体" w:eastAsia="楷体" w:cs="楷体"/>
        </w:rPr>
      </w:pPr>
    </w:p>
    <w:p w14:paraId="5E048346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五、论文映射表</w:t>
      </w:r>
    </w:p>
    <w:p w14:paraId="21AFBC9A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1"/>
        </w:rPr>
        <w:t>开发日志整理完成后，论文不应再凭记忆硬写，而应把开发事实分别放入对应章节。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515"/>
      </w:tblGrid>
      <w:tr w14:paraId="7030CCA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6C1579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论文章节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DBB5AF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可使用的开发材料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D44AD7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写作重点</w:t>
            </w:r>
          </w:p>
        </w:tc>
      </w:tr>
      <w:tr w14:paraId="6C844D1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596D1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1 章 绪论</w:t>
            </w:r>
          </w:p>
        </w:tc>
        <w:tc>
          <w:tcPr>
            <w:tcW w:w="3969" w:type="dxa"/>
            <w:vAlign w:val="center"/>
          </w:tcPr>
          <w:p w14:paraId="0D286F4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4/24~4/30 范围收敛、项目定位、研究意义。</w:t>
            </w:r>
          </w:p>
        </w:tc>
        <w:tc>
          <w:tcPr>
            <w:tcW w:w="3515" w:type="dxa"/>
            <w:vAlign w:val="center"/>
          </w:tcPr>
          <w:p w14:paraId="0991461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从商业全屋智能成本/封闭，引出低成本 ESP32 工程原型。</w:t>
            </w:r>
          </w:p>
        </w:tc>
      </w:tr>
      <w:tr w14:paraId="359B000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C115C3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2 章 需求分析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65566ED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需求边界、功能范围、配网、可维护、可演示、安全性。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75477E8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强调本地控制、节点管理、日志诊断、外部服务边界。</w:t>
            </w:r>
          </w:p>
        </w:tc>
      </w:tr>
      <w:tr w14:paraId="550A9FF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47D7B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3 章 总体设计</w:t>
            </w:r>
          </w:p>
        </w:tc>
        <w:tc>
          <w:tcPr>
            <w:tcW w:w="3969" w:type="dxa"/>
            <w:vAlign w:val="center"/>
          </w:tcPr>
          <w:p w14:paraId="014B762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中控 + 感知/执行节点 + 多端入口 + 云端扩展。</w:t>
            </w:r>
          </w:p>
        </w:tc>
        <w:tc>
          <w:tcPr>
            <w:tcW w:w="3515" w:type="dxa"/>
            <w:vAlign w:val="center"/>
          </w:tcPr>
          <w:p w14:paraId="7D89D2B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画总体架构图、分层图、数据流/控制流图。</w:t>
            </w:r>
          </w:p>
        </w:tc>
      </w:tr>
      <w:tr w14:paraId="65D4D2F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7270092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4 章 硬件设计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71541DD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传感器、执行器、PCB、供电、共地、排线和亚克力模型走线。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58D764D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突出模块选型和工程连接，不夸大电路创新。</w:t>
            </w:r>
          </w:p>
        </w:tc>
      </w:tr>
      <w:tr w14:paraId="6548EDB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24E8A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5 章 中控网关软件</w:t>
            </w:r>
          </w:p>
        </w:tc>
        <w:tc>
          <w:tcPr>
            <w:tcW w:w="3969" w:type="dxa"/>
            <w:vAlign w:val="center"/>
          </w:tcPr>
          <w:p w14:paraId="700A0C2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Lingxi_PublicBeta_V1_4_2 与 00~14 模块。</w:t>
            </w:r>
          </w:p>
        </w:tc>
        <w:tc>
          <w:tcPr>
            <w:tcW w:w="3515" w:type="dxa"/>
            <w:vAlign w:val="center"/>
          </w:tcPr>
          <w:p w14:paraId="7F9E2FC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写配置、状态模型、API、语音、MQTT、规则、日志、setup/loop。</w:t>
            </w:r>
          </w:p>
        </w:tc>
      </w:tr>
      <w:tr w14:paraId="57D08BB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78623A7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6 章 节点通信与设备控制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4AFD1FE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感知 A/B、执行 A/B、注册、上报、命令接口、配网、RGB。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50DB9B8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重点写 HTTP 通信机制和节点端点模型。</w:t>
            </w:r>
          </w:p>
        </w:tc>
      </w:tr>
      <w:tr w14:paraId="3682875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CD1F5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7 章 人机交互与多端访问</w:t>
            </w:r>
          </w:p>
        </w:tc>
        <w:tc>
          <w:tcPr>
            <w:tcW w:w="3969" w:type="dxa"/>
            <w:vAlign w:val="center"/>
          </w:tcPr>
          <w:p w14:paraId="6C7576D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本地 WebUI、远程 WebUI、Android WebView、语音交互。</w:t>
            </w:r>
          </w:p>
        </w:tc>
        <w:tc>
          <w:tcPr>
            <w:tcW w:w="3515" w:type="dxa"/>
            <w:vAlign w:val="center"/>
          </w:tcPr>
          <w:p w14:paraId="5BE84E9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区分主入口、扩展入口、封装入口和外部 AI 服务。</w:t>
            </w:r>
          </w:p>
        </w:tc>
      </w:tr>
      <w:tr w14:paraId="278DB01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639E61D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8 章 系统测试与优化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3D7C025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V9.2 测试、语音、状态一致性、PCB、供电、配网恢复等问题。</w:t>
            </w:r>
          </w:p>
        </w:tc>
        <w:tc>
          <w:tcPr>
            <w:tcW w:w="3515" w:type="dxa"/>
            <w:shd w:val="clear" w:color="auto" w:fill="F7FAFD"/>
            <w:vAlign w:val="center"/>
          </w:tcPr>
          <w:p w14:paraId="225F7DF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用“测试项目—问题—解决方法—结果”结构写。</w:t>
            </w:r>
          </w:p>
        </w:tc>
      </w:tr>
      <w:tr w14:paraId="431BED7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0BDF7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第 9 章 总结与展望</w:t>
            </w:r>
          </w:p>
        </w:tc>
        <w:tc>
          <w:tcPr>
            <w:tcW w:w="3969" w:type="dxa"/>
            <w:vAlign w:val="center"/>
          </w:tcPr>
          <w:p w14:paraId="54D2B04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系统特点、边界、不足、后续动态渲染、物理闭环、更多节点。</w:t>
            </w:r>
          </w:p>
        </w:tc>
        <w:tc>
          <w:tcPr>
            <w:tcW w:w="3515" w:type="dxa"/>
            <w:vAlign w:val="center"/>
          </w:tcPr>
          <w:p w14:paraId="4EC84BC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承认原型边界，避免商业级夸大。</w:t>
            </w:r>
          </w:p>
        </w:tc>
      </w:tr>
    </w:tbl>
    <w:p w14:paraId="696670F1">
      <w:pPr>
        <w:rPr>
          <w:rFonts w:hint="eastAsia" w:ascii="楷体" w:hAnsi="楷体" w:eastAsia="楷体" w:cs="楷体"/>
        </w:rPr>
      </w:pPr>
    </w:p>
    <w:p w14:paraId="15E3EC12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六、答辩高频问题口径</w:t>
      </w:r>
    </w:p>
    <w:p w14:paraId="58F634EC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1"/>
        </w:rPr>
        <w:t>以下内容用于防止答辩时被追问后口径混乱。每个回答都应坚持“工程原型、边界清楚、方案取舍合理”的表达。</w:t>
      </w:r>
    </w:p>
    <w:tbl>
      <w:tblPr>
        <w:tblStyle w:val="33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1FF7621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AAF52E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问题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7AB4F9F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17"/>
              </w:rPr>
              <w:t>建议回答</w:t>
            </w:r>
          </w:p>
        </w:tc>
      </w:tr>
      <w:tr w14:paraId="57D00DE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DEFE9F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为什么用 HTTP 而不是 ESP-NOW？</w:t>
            </w:r>
          </w:p>
        </w:tc>
        <w:tc>
          <w:tcPr>
            <w:tcW w:w="6803" w:type="dxa"/>
            <w:vAlign w:val="center"/>
          </w:tcPr>
          <w:p w14:paraId="1A3F7FD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ESP-NOW 适合点对点低延迟，但中控还要运行 WebUI、WiFi、HTTP API 和云服务。HTTP 更便于浏览器测试、接口说明、日志排查和论文表达，因此最终作为本地子节点主线。</w:t>
            </w:r>
          </w:p>
        </w:tc>
      </w:tr>
      <w:tr w14:paraId="6DB1D1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AFD"/>
            <w:vAlign w:val="center"/>
          </w:tcPr>
          <w:p w14:paraId="73FC491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为什么中控要冻结 V1.4.2？</w:t>
            </w:r>
          </w:p>
        </w:tc>
        <w:tc>
          <w:tcPr>
            <w:tcW w:w="6803" w:type="dxa"/>
            <w:shd w:val="clear" w:color="auto" w:fill="F7FAFD"/>
            <w:vAlign w:val="center"/>
          </w:tcPr>
          <w:p w14:paraId="64B4C7A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系统模块多，中控频繁改动会导致节点、WebUI、语音和远程端一起受影响。冻结 V1.4.2 后，子节点围绕稳定接口适配，降低回退风险。</w:t>
            </w:r>
          </w:p>
        </w:tc>
      </w:tr>
      <w:tr w14:paraId="5E003EC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05EA0A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你的 App 是不是完整原生 App？</w:t>
            </w:r>
          </w:p>
        </w:tc>
        <w:tc>
          <w:tcPr>
            <w:tcW w:w="6803" w:type="dxa"/>
            <w:vAlign w:val="center"/>
          </w:tcPr>
          <w:p w14:paraId="2CF91AC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不是。Android 端是 WebView 移动端入口，主要封装本地 WebUI 和远程 WebUI，改善移动端访问与权限体验。业务逻辑仍在中控和网页端。</w:t>
            </w:r>
          </w:p>
        </w:tc>
      </w:tr>
      <w:tr w14:paraId="4A5BD75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AFD"/>
            <w:vAlign w:val="center"/>
          </w:tcPr>
          <w:p w14:paraId="1AFFD1D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语音和 AI 是不是自研模型？</w:t>
            </w:r>
          </w:p>
        </w:tc>
        <w:tc>
          <w:tcPr>
            <w:tcW w:w="6803" w:type="dxa"/>
            <w:shd w:val="clear" w:color="auto" w:fill="F7FAFD"/>
            <w:vAlign w:val="center"/>
          </w:tcPr>
          <w:p w14:paraId="2900A4C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不是自研模型。系统集成外部 ASR/TTS/Chat API，重点在语音链路接入、命令解析、安全边界和设备控制调度。</w:t>
            </w:r>
          </w:p>
        </w:tc>
      </w:tr>
      <w:tr w14:paraId="6ADF782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83C21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执行反馈是不是等于物理闭环？</w:t>
            </w:r>
          </w:p>
        </w:tc>
        <w:tc>
          <w:tcPr>
            <w:tcW w:w="6803" w:type="dxa"/>
            <w:vAlign w:val="center"/>
          </w:tcPr>
          <w:p w14:paraId="383447D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不是。当前反馈主要说明节点收到命令并更新状态，不能完全证明外部负载物理动作成功。后续可加入限位、电流检测或位置反馈形成严格物理闭环。</w:t>
            </w:r>
          </w:p>
        </w:tc>
      </w:tr>
      <w:tr w14:paraId="68C46AE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AFD"/>
            <w:vAlign w:val="center"/>
          </w:tcPr>
          <w:p w14:paraId="29C08D2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WebUI 为什么有固定模板和动态节点共存？</w:t>
            </w:r>
          </w:p>
        </w:tc>
        <w:tc>
          <w:tcPr>
            <w:tcW w:w="6803" w:type="dxa"/>
            <w:shd w:val="clear" w:color="auto" w:fill="F7FAFD"/>
            <w:vAlign w:val="center"/>
          </w:tcPr>
          <w:p w14:paraId="16F66E8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16"/>
              </w:rPr>
              <w:t>固定模板来自早期快速演示，动态节点注册是后期扩展。当前真实在线状态应看中控节点注册表，后续可改为端点模型驱动的动态渲染。</w:t>
            </w:r>
          </w:p>
        </w:tc>
      </w:tr>
    </w:tbl>
    <w:p w14:paraId="4B20B529">
      <w:pPr>
        <w:rPr>
          <w:rFonts w:hint="eastAsia" w:ascii="楷体" w:hAnsi="楷体" w:eastAsia="楷体" w:cs="楷体"/>
        </w:rPr>
      </w:pPr>
    </w:p>
    <w:p w14:paraId="4D4365A4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1F4E79"/>
          <w:sz w:val="32"/>
        </w:rPr>
        <w:t>七、后续使用建议</w:t>
      </w:r>
    </w:p>
    <w:p w14:paraId="7CE8DD06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0"/>
        </w:rPr>
        <w:t>1. 写论文前，先把本文档中的“最终代码包盘点”转成论文第 5~7 章的小节导语。</w:t>
      </w:r>
    </w:p>
    <w:p w14:paraId="601C9DE2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0"/>
        </w:rPr>
        <w:t>2. 第八章不要写成情绪化开发日记，应使用“测试项目—问题—原因—解决方法—结果”的格式。</w:t>
      </w:r>
    </w:p>
    <w:p w14:paraId="7DA195DB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0"/>
        </w:rPr>
        <w:t>3. 论文中所有能力都要按边界表达：WebView 是移动端入口，远程 WebUI 是扩展入口，ASR/TTS/Chat 是外部服务接入，执行反馈不是严格物理闭环。</w:t>
      </w:r>
    </w:p>
    <w:p w14:paraId="7E839E8A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0"/>
        </w:rPr>
        <w:t>4. 答辩时重点强调系统完整性：中控、节点、通信、多端交互、语音、配网、诊断和工程归档，而不是强调单个传感器或某个页面。</w:t>
      </w:r>
    </w:p>
    <w:p w14:paraId="3AA66FED">
      <w:pPr>
        <w:spacing w:after="80" w:line="283" w:lineRule="auto"/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0"/>
        </w:rPr>
        <w:t>5. 如果后续继续补材料，优先补充：接口截图、节点注册表截图、配网页截图、RGB 状态灯说明、测试记录表和实物照片。</w:t>
      </w:r>
    </w:p>
    <w:sectPr>
      <w:pgSz w:w="12240" w:h="15840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961</Words>
  <Characters>1384</Characters>
  <Lines>0</Lines>
  <Paragraphs>0</Paragraphs>
  <TotalTime>3</TotalTime>
  <ScaleCrop>false</ScaleCrop>
  <LinksUpToDate>false</LinksUpToDate>
  <CharactersWithSpaces>1446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基于聊天记录和代码包整理生成</dc:description>
  <cp:lastModifiedBy>冷凰霁雪</cp:lastModifiedBy>
  <dcterms:modified xsi:type="dcterms:W3CDTF">2026-05-30T16:12:32Z</dcterms:modified>
  <dc:subject>毕业设计开发日志</dc:subject>
  <dc:title>灵汐全屋智能控制中心开发日志与工程复盘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A07B5CF2576F4ACF9A1C0003F3452557_12</vt:lpwstr>
  </property>
</Properties>
</file>