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AICA LEVEL 2 – CAPSTONE PROJECT</w:t>
      </w:r>
    </w:p>
    <w:p>
      <w:pPr>
        <w:pBdr>
          <w:bottom w:val="single" w:color="C9A227" w:sz="16" w:space="6"/>
        </w:pBdr>
        <w:spacing w:after="200"/>
      </w:pPr>
      <w:r>
        <w:rPr>
          <w:rFonts w:ascii="Arial" w:cs="Arial" w:eastAsia="Arial" w:hAnsi="Arial"/>
          <w:b/>
          <w:bCs/>
          <w:color w:val="14284B"/>
          <w:sz w:val="44"/>
          <w:szCs w:val="44"/>
        </w:rPr>
        <w:t xml:space="preserve">Test Results – Dummy Statements</w:t>
      </w:r>
    </w:p>
    <w:p>
      <w:pPr>
        <w:spacing w:after="100" w:line="280"/>
      </w:pPr>
      <w:r>
        <w:rPr>
          <w:rFonts w:ascii="Arial" w:cs="Arial" w:eastAsia="Arial" w:hAnsi="Arial"/>
          <w:sz w:val="20"/>
          <w:szCs w:val="20"/>
        </w:rPr>
        <w:t xml:space="preserve">Bank Statement Analyser PRO – by CA Vinod H Dandwani. All statements used here are dummy data created for testing; none contains real customer information. Statement files are in the Dummy_Statements folder, the tool's Excel outputs in Sample_Outputs, and dashboard screenshots in Screenshots.</w:t>
      </w:r>
    </w:p>
    <w:p>
      <w:pPr>
        <w:pStyle w:val="Heading1"/>
      </w:pPr>
      <w:r>
        <w:t xml:space="preserve">1.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4006"/>
      </w:tblGrid>
      <w:tr>
        <w:trPr>
          <w:tblHeader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/ file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tested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01_…_TextPDF.pdf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PDF, 6 months, current account: salary, EMIs, one EMI bounce, one cheque bounce, stock-market, legal and liquor entries, loan disbursal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Credits ₹39,75,000 and debits ₹28,43,910, equal to the source data. 1 cheque bounce and 1 EMI bounce found. Risk score 13 (Low).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02_….csv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statement as CSV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figures to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03_….xlsx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statement as Excel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figures to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04_Monthly_Set (Apr, May, Jul)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monthly PDFs uploaded in shuffled order; June not supplied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one account. June flagged as a MISSING PERIOD (balances do not reconcile) with a balance discontinuity and a month with no transactions.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05_…TAMPERED.pdf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debit of ₹50,000 that does not change the balance; PDF created with an editing tool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flagged as debit with no balance change. Risk score 38 (Medium).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06_…CC_Overdrawn.pdf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Cash-credit account, drawing power ₹50,00,000, balances with Dr suffix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type, limit and drawing power filled in automatically. Utilisation 105% shown as OVERDRAWN. Available limit used for ABB.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07_…Scanned.pdf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Image-only (scanned) PDF, one month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with OCR. Credits ₹5,33,500 and debits ₹2,59,518, equal to the source data.</w:t>
            </w:r>
          </w:p>
        </w:tc>
      </w:tr>
    </w:tbl>
    <w:p>
      <w:pPr>
        <w:pStyle w:val="Heading1"/>
      </w:pPr>
      <w:r>
        <w:t xml:space="preserve">2. Observations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The same statement gave identical results in PDF, CSV and Excel formats (A, B, C).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The tool detected missing months, edited entries and overdrawn accounts as designed.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OCR was tested on a clean computer-made scan. Phone photos and skewed pages may be less accurate, and rows with balance breaks should be checked against the original.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 weakness found during testing and fixed: a debit that does not change the balance was scoring too low (Low risk). It now carries a higher weight (25 points each), so scenario E rates Medium.</w:t>
      </w:r>
    </w:p>
    <w:p>
      <w:pPr>
        <w:pStyle w:val="Heading1"/>
      </w:pPr>
      <w:r>
        <w:t xml:space="preserve">3. Pilot Results</w:t>
      </w:r>
    </w:p>
    <w:p>
      <w:pPr>
        <w:spacing w:after="100" w:line="280"/>
      </w:pPr>
      <w:r>
        <w:rPr>
          <w:rFonts w:ascii="Arial" w:cs="Arial" w:eastAsia="Arial" w:hAnsi="Arial"/>
          <w:sz w:val="20"/>
          <w:szCs w:val="20"/>
        </w:rPr>
        <w:t xml:space="preserve">Pilot results from staff testing on anonymised statements are recorded in Section 12.2 of the Project Summary.</w:t>
      </w:r>
    </w:p>
    <w:sectPr>
      <w:footerReference w:type="default" r:id="rId7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Test Results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2"/>
      </w:pBdr>
      <w:spacing w:after="120" w:before="260"/>
      <w:outlineLvl w:val="0"/>
    </w:pPr>
    <w:rPr>
      <w:rFonts w:ascii="Arial" w:cs="Arial" w:eastAsia="Arial" w:hAnsi="Arial"/>
      <w:b/>
      <w:bCs/>
      <w:color w:val="1428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Results</dc:title>
  <dc:creator>CA Vinod H Dandwani</dc:creator>
  <cp:lastModifiedBy>Un-named</cp:lastModifiedBy>
  <cp:revision>1</cp:revision>
  <dcterms:created xsi:type="dcterms:W3CDTF">2026-10-19T03:22:18.037Z</dcterms:created>
  <dcterms:modified xsi:type="dcterms:W3CDTF">2026-10-19T03:22:18.037Z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