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Online Retail II — Data Processing &amp; Analysis Report</w:t>
      </w:r>
    </w:p>
    <w:p>
      <w:pPr>
        <w:jc w:val="center"/>
      </w:pPr>
      <w:r>
        <w:rPr>
          <w:b/>
        </w:rPr>
        <w:t>Carl &amp; Anders  |  CSP 571 — Spring 2026</w:t>
      </w:r>
    </w:p>
    <w:p>
      <w:pPr>
        <w:jc w:val="center"/>
      </w:pPr>
      <w:r>
        <w:t>April 2026</w:t>
      </w:r>
    </w:p>
    <w:p>
      <w:r>
        <w:br w:type="page"/>
      </w:r>
    </w:p>
    <w:p>
      <w:pPr>
        <w:pStyle w:val="Heading1"/>
        <w:jc w:val="left"/>
      </w:pPr>
      <w:r>
        <w:t>1. Abstract</w:t>
      </w:r>
    </w:p>
    <w:p>
      <w:pPr/>
      <w:r>
        <w:t>This report documents the full data processing and exploratory analysis pipeline applied to the UCI Online Retail II dataset, covering transactions from a UK-based non-store online retailer between December 2009 and December 2011. The dataset comprises 1,067,371 raw transaction records spanning eight fields. Our work proceeds in three phases: (1) metadata validation of raw source fields to identify structural anomalies and format inconsistencies, (2) split-decision exploratory data analysis to classify records into semantically distinct transaction types, and (3) computation of summary statistics, data visualizations, and feature extraction in preparation for downstream modelling. Key findings include that approximately 22.8% of records lack a CustomerID, that InvoiceNo and StockCode encode multiple transaction types (sales, cancellations, accounting adjustments, free promotions), and that a structured seven-category split is required before any customer-level or product-level analysis can be conducted reliably.</w:t>
      </w:r>
    </w:p>
    <w:p>
      <w:r>
        <w:br w:type="page"/>
      </w:r>
    </w:p>
    <w:p>
      <w:pPr>
        <w:pStyle w:val="Heading1"/>
        <w:jc w:val="left"/>
      </w:pPr>
      <w:r>
        <w:t>2. Overview</w:t>
      </w:r>
    </w:p>
    <w:p>
      <w:pPr>
        <w:pStyle w:val="Heading2"/>
        <w:jc w:val="left"/>
      </w:pPr>
      <w:r>
        <w:t>2.1 Problem Statement</w:t>
      </w:r>
    </w:p>
    <w:p>
      <w:pPr/>
      <w:r>
        <w:t>E-commerce retailers accumulate vast volumes of transactional data whose raw form is rarely suitable for direct analysis. The Online Retail II dataset presents several challenges representative of real-world retail data: mixed transaction semantics encoded within shared fields (sales, returns, administrative adjustments, and free promotions all reside in the same table), pervasive missing values in the CustomerID field, non-standard StockCode identifiers for service and operational entries, and naming inconsistencies in geographic fields.</w:t>
      </w:r>
    </w:p>
    <w:p>
      <w:pPr/>
      <w:r>
        <w:t>The primary objective of this project is to design and implement a reproducible data processing pipeline that: (a) validates the structural integrity of raw source fields, (b) identifies and separates semantically distinct record types, (c) applies principled cleaning and transformation rules with explicit assumptions, and (d) extracts analytic features that support downstream customer segmentation and purchase-pattern modelling.</w:t>
      </w:r>
    </w:p>
    <w:p>
      <w:pPr>
        <w:pStyle w:val="Heading2"/>
        <w:jc w:val="left"/>
      </w:pPr>
      <w:r>
        <w:t>2.2 Related Work / Literature Review</w:t>
      </w:r>
    </w:p>
    <w:p>
      <w:pPr/>
      <w:r>
        <w:t>Retail transaction datasets have been extensively studied in the data mining literature. RFM (Recency, Frequency, Monetary) analysis, introduced by Bult and Wansbeek (1995) and popularised by Hughes (1994), remains one of the most widely applied frameworks for customer value segmentation and is directly applicable to invoice-level data such as the Online Retail II dataset.</w:t>
      </w:r>
    </w:p>
    <w:p>
      <w:pPr/>
      <w:r>
        <w:t>Chen et al. (2012) used an earlier version of this dataset (Online Retail I) to demonstrate data mining techniques for customer segmentation using K-Means clustering on RFM features, establishing a widely cited baseline for this source. Daqing Chen's original UCI submission noted that the dataset contains a mix of wholesale and retail customers, which has implications for any per-unit price analysis.</w:t>
      </w:r>
    </w:p>
    <w:p>
      <w:pPr/>
      <w:r>
        <w:t>More recent work has extended transaction-level analysis to sequence modelling and collaborative filtering. Hidasi et al. (2016) demonstrated session-based recurrent neural networks for next-item recommendation, while Devooght and Bersini (2017) compared collaborative filtering approaches on transactional purchase histories. These downstream applications all share the upstream requirement of clean, well-typed transaction records, motivating the careful data processing approach documented in this report.</w:t>
      </w:r>
    </w:p>
    <w:p>
      <w:pPr/>
      <w:r>
        <w:t>Data cleaning practices for retail datasets are discussed by Rahm and Do (2000), who classify data quality problems into single-source and multi-source issues. The challenges encountered in this project — missing identifiers, mixed semantics within a single column, and implicit coding conventions (C-prefixed cancellation invoices, A-prefixed accounting entries) — are consistent with their taxonomy of schema-level and instance-level anomalies.</w:t>
      </w:r>
    </w:p>
    <w:p>
      <w:pPr>
        <w:pStyle w:val="Heading2"/>
        <w:jc w:val="left"/>
      </w:pPr>
      <w:r>
        <w:t>2.3 Proposed Methodology</w:t>
      </w:r>
    </w:p>
    <w:p>
      <w:pPr/>
      <w:r>
        <w:t>Our methodology follows a sequential, script-driven pipeline with one Python script per logical stage, each operating on the shared SQLite database. This design keeps each stage independently reproducible and auditable.</w:t>
      </w:r>
    </w:p>
    <w:p>
      <w:pPr>
        <w:pStyle w:val="ListBullet"/>
      </w:pPr>
      <w:r>
        <w:t>Stage 0 — Data Ingestion (setup_db.py): Load both Excel sheets from the raw source file into a single SQLite table.</w:t>
      </w:r>
    </w:p>
    <w:p>
      <w:pPr>
        <w:pStyle w:val="ListBullet"/>
      </w:pPr>
      <w:r>
        <w:t>Stage 1 — Metadata Validation (00_validate_source_metadata.py): Validate each raw field for format conformance, value ranges, and missingness. Document all anomalies with counts and representative examples.</w:t>
      </w:r>
    </w:p>
    <w:p>
      <w:pPr>
        <w:pStyle w:val="ListBullet"/>
      </w:pPr>
      <w:r>
        <w:t>Stage 2 — Split-Decision EDA (01_split_decision_eda.py): Classify records into transaction types (sales, cancellations, admin adjustments, free items, gift vouchers, DCGS codes) using cross-tabulation and overlap analysis.</w:t>
      </w:r>
    </w:p>
    <w:p>
      <w:pPr>
        <w:pStyle w:val="ListBullet"/>
      </w:pPr>
      <w:r>
        <w:t>Stage 3 — Cleaning &amp; Transformation: Apply the split decisions to produce a filtered, typed, and enriched table ready for analysis.</w:t>
      </w:r>
    </w:p>
    <w:p>
      <w:pPr>
        <w:pStyle w:val="ListBullet"/>
      </w:pPr>
      <w:r>
        <w:t>Stage 4 — Analysis: Compute summary statistics, generate visualizations, and extract modelling features.</w:t>
      </w:r>
    </w:p>
    <w:p>
      <w:r>
        <w:br w:type="page"/>
      </w:r>
    </w:p>
    <w:p>
      <w:pPr>
        <w:pStyle w:val="Heading1"/>
        <w:jc w:val="left"/>
      </w:pPr>
      <w:r>
        <w:t>3. Data Processing</w:t>
      </w:r>
    </w:p>
    <w:p>
      <w:pPr>
        <w:pStyle w:val="Heading2"/>
        <w:jc w:val="left"/>
      </w:pPr>
      <w:r>
        <w:t>3.1 Data Description</w:t>
      </w:r>
    </w:p>
    <w:p>
      <w:pPr/>
      <w:r>
        <w:t>The Online Retail II dataset (UCI Machine Learning Repository, donated by Daqing Chen, London South Bank University) covers transactions of a UK-based online retailer that primarily sells unique all-occasion gift-ware to wholesale customers. The data spans two consecutive fiscal years delivered as two Excel sheets.</w:t>
      </w:r>
    </w:p>
    <w:p>
      <w:r>
        <w:rPr>
          <w:b/>
        </w:rPr>
        <w:t>Table 1 — Dataset overview</w:t>
      </w:r>
    </w:p>
    <w:tbl>
      <w:tblPr>
        <w:tblStyle w:val="TableGrid"/>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Source</w:t>
            </w:r>
          </w:p>
        </w:tc>
        <w:tc>
          <w:tcPr>
            <w:tcW w:type="dxa" w:w="4320"/>
          </w:tcPr>
          <w:p>
            <w:r>
              <w:t>UCI Machine Learning Repository — Online Retail II</w:t>
            </w:r>
          </w:p>
        </w:tc>
      </w:tr>
      <w:tr>
        <w:tc>
          <w:tcPr>
            <w:tcW w:type="dxa" w:w="4320"/>
          </w:tcPr>
          <w:p>
            <w:r>
              <w:t>Format</w:t>
            </w:r>
          </w:p>
        </w:tc>
        <w:tc>
          <w:tcPr>
            <w:tcW w:type="dxa" w:w="4320"/>
          </w:tcPr>
          <w:p>
            <w:r>
              <w:t>Microsoft Excel (.xlsx)</w:t>
            </w:r>
          </w:p>
        </w:tc>
      </w:tr>
      <w:tr>
        <w:tc>
          <w:tcPr>
            <w:tcW w:type="dxa" w:w="4320"/>
          </w:tcPr>
          <w:p>
            <w:r>
              <w:t>Sheets</w:t>
            </w:r>
          </w:p>
        </w:tc>
        <w:tc>
          <w:tcPr>
            <w:tcW w:type="dxa" w:w="4320"/>
          </w:tcPr>
          <w:p>
            <w:r>
              <w:t>Year 2009-2010 (525,461 rows), Year 2010-2011 (541,910 rows)</w:t>
            </w:r>
          </w:p>
        </w:tc>
      </w:tr>
      <w:tr>
        <w:tc>
          <w:tcPr>
            <w:tcW w:type="dxa" w:w="4320"/>
          </w:tcPr>
          <w:p>
            <w:r>
              <w:t>Date range</w:t>
            </w:r>
          </w:p>
        </w:tc>
        <w:tc>
          <w:tcPr>
            <w:tcW w:type="dxa" w:w="4320"/>
          </w:tcPr>
          <w:p>
            <w:r>
              <w:t>01 Dec 2009 – 09 Dec 2011</w:t>
            </w:r>
          </w:p>
        </w:tc>
      </w:tr>
      <w:tr>
        <w:tc>
          <w:tcPr>
            <w:tcW w:type="dxa" w:w="4320"/>
          </w:tcPr>
          <w:p>
            <w:r>
              <w:t>Total rows (combined)</w:t>
            </w:r>
          </w:p>
        </w:tc>
        <w:tc>
          <w:tcPr>
            <w:tcW w:type="dxa" w:w="4320"/>
          </w:tcPr>
          <w:p>
            <w:r>
              <w:t>1,067,371</w:t>
            </w:r>
          </w:p>
        </w:tc>
      </w:tr>
      <w:tr>
        <w:tc>
          <w:tcPr>
            <w:tcW w:type="dxa" w:w="4320"/>
          </w:tcPr>
          <w:p>
            <w:r>
              <w:t>Columns</w:t>
            </w:r>
          </w:p>
        </w:tc>
        <w:tc>
          <w:tcPr>
            <w:tcW w:type="dxa" w:w="4320"/>
          </w:tcPr>
          <w:p>
            <w:r>
              <w:t>8</w:t>
            </w:r>
          </w:p>
        </w:tc>
      </w:tr>
    </w:tbl>
    <w:p/>
    <w:p>
      <w:pPr/>
      <w:r>
        <w:t>The eight columns and their semantics are described below.</w:t>
      </w:r>
    </w:p>
    <w:p>
      <w:pPr/>
      <w:r>
        <w:t>Note: The raw Excel file and SQLite database store the unit price column as 'Price'. The official dataset description names this field 'UnitPrice'. Both refer to the same field; this report uses 'UnitPrice' to match the authoritative specification.</w:t>
      </w:r>
    </w:p>
    <w:p>
      <w:r>
        <w:rPr>
          <w:b/>
        </w:rPr>
        <w:t>Table 2 — Official column definitions and observed deviations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Official Name</w:t>
            </w:r>
          </w:p>
        </w:tc>
        <w:tc>
          <w:tcPr>
            <w:tcW w:type="dxa" w:w="1728"/>
          </w:tcPr>
          <w:p>
            <w:r>
              <w:rPr>
                <w:b/>
              </w:rPr>
              <w:t>DB Column</w:t>
            </w:r>
          </w:p>
        </w:tc>
        <w:tc>
          <w:tcPr>
            <w:tcW w:type="dxa" w:w="1728"/>
          </w:tcPr>
          <w:p>
            <w:r>
              <w:rPr>
                <w:b/>
              </w:rPr>
              <w:t>Type</w:t>
            </w:r>
          </w:p>
        </w:tc>
        <w:tc>
          <w:tcPr>
            <w:tcW w:type="dxa" w:w="1728"/>
          </w:tcPr>
          <w:p>
            <w:r>
              <w:rPr>
                <w:b/>
              </w:rPr>
              <w:t>Official Definition</w:t>
            </w:r>
          </w:p>
        </w:tc>
        <w:tc>
          <w:tcPr>
            <w:tcW w:type="dxa" w:w="1728"/>
          </w:tcPr>
          <w:p>
            <w:r>
              <w:rPr>
                <w:b/>
              </w:rPr>
              <w:t>Observed Deviations</w:t>
            </w:r>
          </w:p>
        </w:tc>
      </w:tr>
      <w:tr>
        <w:tc>
          <w:tcPr>
            <w:tcW w:type="dxa" w:w="1728"/>
          </w:tcPr>
          <w:p>
            <w:r>
              <w:t>InvoiceNo</w:t>
            </w:r>
          </w:p>
        </w:tc>
        <w:tc>
          <w:tcPr>
            <w:tcW w:type="dxa" w:w="1728"/>
          </w:tcPr>
          <w:p>
            <w:r>
              <w:t>Invoice → InvoiceNo</w:t>
            </w:r>
          </w:p>
        </w:tc>
        <w:tc>
          <w:tcPr>
            <w:tcW w:type="dxa" w:w="1728"/>
          </w:tcPr>
          <w:p>
            <w:r>
              <w:t>Nominal</w:t>
            </w:r>
          </w:p>
        </w:tc>
        <w:tc>
          <w:tcPr>
            <w:tcW w:type="dxa" w:w="1728"/>
          </w:tcPr>
          <w:p>
            <w:r>
              <w:t>6-digit integral number uniquely assigned to each transaction. 'C' prefix indicates a cancellation.</w:t>
            </w:r>
          </w:p>
        </w:tc>
        <w:tc>
          <w:tcPr>
            <w:tcW w:type="dxa" w:w="1728"/>
          </w:tcPr>
          <w:p>
            <w:r>
              <w:t>6 rows carry an 'A' prefix (accounting adjustments) — not in spec</w:t>
            </w:r>
          </w:p>
        </w:tc>
      </w:tr>
      <w:tr>
        <w:tc>
          <w:tcPr>
            <w:tcW w:type="dxa" w:w="1728"/>
          </w:tcPr>
          <w:p>
            <w:r>
              <w:t>StockCode</w:t>
            </w:r>
          </w:p>
        </w:tc>
        <w:tc>
          <w:tcPr>
            <w:tcW w:type="dxa" w:w="1728"/>
          </w:tcPr>
          <w:p>
            <w:r>
              <w:t>StockCode</w:t>
            </w:r>
          </w:p>
        </w:tc>
        <w:tc>
          <w:tcPr>
            <w:tcW w:type="dxa" w:w="1728"/>
          </w:tcPr>
          <w:p>
            <w:r>
              <w:t>Nominal</w:t>
            </w:r>
          </w:p>
        </w:tc>
        <w:tc>
          <w:tcPr>
            <w:tcW w:type="dxa" w:w="1728"/>
          </w:tcPr>
          <w:p>
            <w:r>
              <w:t>5-digit integral number uniquely assigned to each distinct product.</w:t>
            </w:r>
          </w:p>
        </w:tc>
        <w:tc>
          <w:tcPr>
            <w:tcW w:type="dxa" w:w="1728"/>
          </w:tcPr>
          <w:p>
            <w:r>
              <w:t>Many codes have letter suffixes (e.g. 85123A); special codes exist (POST, DOT, M…) — spec says 5-digit integral only</w:t>
            </w:r>
          </w:p>
        </w:tc>
      </w:tr>
      <w:tr>
        <w:tc>
          <w:tcPr>
            <w:tcW w:type="dxa" w:w="1728"/>
          </w:tcPr>
          <w:p>
            <w:r>
              <w:t>Description</w:t>
            </w:r>
          </w:p>
        </w:tc>
        <w:tc>
          <w:tcPr>
            <w:tcW w:type="dxa" w:w="1728"/>
          </w:tcPr>
          <w:p>
            <w:r>
              <w:t>Description</w:t>
            </w:r>
          </w:p>
        </w:tc>
        <w:tc>
          <w:tcPr>
            <w:tcW w:type="dxa" w:w="1728"/>
          </w:tcPr>
          <w:p>
            <w:r>
              <w:t>Nominal</w:t>
            </w:r>
          </w:p>
        </w:tc>
        <w:tc>
          <w:tcPr>
            <w:tcW w:type="dxa" w:w="1728"/>
          </w:tcPr>
          <w:p>
            <w:r>
              <w:t>Product (item) name.</w:t>
            </w:r>
          </w:p>
        </w:tc>
        <w:tc>
          <w:tcPr>
            <w:tcW w:type="dxa" w:w="1728"/>
          </w:tcPr>
          <w:p>
            <w:r>
              <w:t>~2 % of rows have missing descriptions</w:t>
            </w:r>
          </w:p>
        </w:tc>
      </w:tr>
      <w:tr>
        <w:tc>
          <w:tcPr>
            <w:tcW w:type="dxa" w:w="1728"/>
          </w:tcPr>
          <w:p>
            <w:r>
              <w:t>Quantity</w:t>
            </w:r>
          </w:p>
        </w:tc>
        <w:tc>
          <w:tcPr>
            <w:tcW w:type="dxa" w:w="1728"/>
          </w:tcPr>
          <w:p>
            <w:r>
              <w:t>Quantity</w:t>
            </w:r>
          </w:p>
        </w:tc>
        <w:tc>
          <w:tcPr>
            <w:tcW w:type="dxa" w:w="1728"/>
          </w:tcPr>
          <w:p>
            <w:r>
              <w:t>Numeric</w:t>
            </w:r>
          </w:p>
        </w:tc>
        <w:tc>
          <w:tcPr>
            <w:tcW w:type="dxa" w:w="1728"/>
          </w:tcPr>
          <w:p>
            <w:r>
              <w:t>Quantities of each product per transaction.</w:t>
            </w:r>
          </w:p>
        </w:tc>
        <w:tc>
          <w:tcPr>
            <w:tcW w:type="dxa" w:w="1728"/>
          </w:tcPr>
          <w:p>
            <w:r>
              <w:t>Negative values present (returns/adjustments)</w:t>
            </w:r>
          </w:p>
        </w:tc>
      </w:tr>
      <w:tr>
        <w:tc>
          <w:tcPr>
            <w:tcW w:type="dxa" w:w="1728"/>
          </w:tcPr>
          <w:p>
            <w:r>
              <w:t>InvoiceDate</w:t>
            </w:r>
          </w:p>
        </w:tc>
        <w:tc>
          <w:tcPr>
            <w:tcW w:type="dxa" w:w="1728"/>
          </w:tcPr>
          <w:p>
            <w:r>
              <w:t>InvoiceDate</w:t>
            </w:r>
          </w:p>
        </w:tc>
        <w:tc>
          <w:tcPr>
            <w:tcW w:type="dxa" w:w="1728"/>
          </w:tcPr>
          <w:p>
            <w:r>
              <w:t>Numeric</w:t>
            </w:r>
          </w:p>
        </w:tc>
        <w:tc>
          <w:tcPr>
            <w:tcW w:type="dxa" w:w="1728"/>
          </w:tcPr>
          <w:p>
            <w:r>
              <w:t>Day and time when the transaction was generated.</w:t>
            </w:r>
          </w:p>
        </w:tc>
        <w:tc>
          <w:tcPr>
            <w:tcW w:type="dxa" w:w="1728"/>
          </w:tcPr>
          <w:p>
            <w:r>
              <w:t>No deviations — all rows parse successfully</w:t>
            </w:r>
          </w:p>
        </w:tc>
      </w:tr>
      <w:tr>
        <w:tc>
          <w:tcPr>
            <w:tcW w:type="dxa" w:w="1728"/>
          </w:tcPr>
          <w:p>
            <w:r>
              <w:t>UnitPrice</w:t>
            </w:r>
          </w:p>
        </w:tc>
        <w:tc>
          <w:tcPr>
            <w:tcW w:type="dxa" w:w="1728"/>
          </w:tcPr>
          <w:p>
            <w:r>
              <w:t>Price</w:t>
            </w:r>
          </w:p>
        </w:tc>
        <w:tc>
          <w:tcPr>
            <w:tcW w:type="dxa" w:w="1728"/>
          </w:tcPr>
          <w:p>
            <w:r>
              <w:t>Numeric</w:t>
            </w:r>
          </w:p>
        </w:tc>
        <w:tc>
          <w:tcPr>
            <w:tcW w:type="dxa" w:w="1728"/>
          </w:tcPr>
          <w:p>
            <w:r>
              <w:t>Product price per unit in sterling (£).</w:t>
            </w:r>
          </w:p>
        </w:tc>
        <w:tc>
          <w:tcPr>
            <w:tcW w:type="dxa" w:w="1728"/>
          </w:tcPr>
          <w:p>
            <w:r>
              <w:t>Zero and negative values present; column stored as 'Price' in source file</w:t>
            </w:r>
          </w:p>
        </w:tc>
      </w:tr>
      <w:tr>
        <w:tc>
          <w:tcPr>
            <w:tcW w:type="dxa" w:w="1728"/>
          </w:tcPr>
          <w:p>
            <w:r>
              <w:t>CustomerID</w:t>
            </w:r>
          </w:p>
        </w:tc>
        <w:tc>
          <w:tcPr>
            <w:tcW w:type="dxa" w:w="1728"/>
          </w:tcPr>
          <w:p>
            <w:r>
              <w:t>Customer ID → CustomerID</w:t>
            </w:r>
          </w:p>
        </w:tc>
        <w:tc>
          <w:tcPr>
            <w:tcW w:type="dxa" w:w="1728"/>
          </w:tcPr>
          <w:p>
            <w:r>
              <w:t>Nominal</w:t>
            </w:r>
          </w:p>
        </w:tc>
        <w:tc>
          <w:tcPr>
            <w:tcW w:type="dxa" w:w="1728"/>
          </w:tcPr>
          <w:p>
            <w:r>
              <w:t>5-digit integral number uniquely assigned to each customer.</w:t>
            </w:r>
          </w:p>
        </w:tc>
        <w:tc>
          <w:tcPr>
            <w:tcW w:type="dxa" w:w="1728"/>
          </w:tcPr>
          <w:p>
            <w:r>
              <w:t>~25 % of rows have no CustomerID</w:t>
            </w:r>
          </w:p>
        </w:tc>
      </w:tr>
      <w:tr>
        <w:tc>
          <w:tcPr>
            <w:tcW w:type="dxa" w:w="1728"/>
          </w:tcPr>
          <w:p>
            <w:r>
              <w:t>Country</w:t>
            </w:r>
          </w:p>
        </w:tc>
        <w:tc>
          <w:tcPr>
            <w:tcW w:type="dxa" w:w="1728"/>
          </w:tcPr>
          <w:p>
            <w:r>
              <w:t>Country</w:t>
            </w:r>
          </w:p>
        </w:tc>
        <w:tc>
          <w:tcPr>
            <w:tcW w:type="dxa" w:w="1728"/>
          </w:tcPr>
          <w:p>
            <w:r>
              <w:t>Nominal</w:t>
            </w:r>
          </w:p>
        </w:tc>
        <w:tc>
          <w:tcPr>
            <w:tcW w:type="dxa" w:w="1728"/>
          </w:tcPr>
          <w:p>
            <w:r>
              <w:t>Name of the country where the customer resides.</w:t>
            </w:r>
          </w:p>
        </w:tc>
        <w:tc>
          <w:tcPr>
            <w:tcW w:type="dxa" w:w="1728"/>
          </w:tcPr>
          <w:p>
            <w:r>
              <w:t>'Unspecified' used for unknown origin; naming inconsistencies (e.g. EIRE vs Ireland)</w:t>
            </w:r>
          </w:p>
        </w:tc>
      </w:tr>
    </w:tbl>
    <w:p/>
    <w:p>
      <w:pPr>
        <w:pStyle w:val="Heading2"/>
        <w:jc w:val="left"/>
      </w:pPr>
      <w:r>
        <w:t>3.2 Data Cleaning</w:t>
      </w:r>
    </w:p>
    <w:p>
      <w:pPr/>
      <w:r>
        <w:t>Cleaning decisions were derived from the metadata validation output of 00_validate_source_metadata.py. The following subsections document each field.</w:t>
      </w:r>
    </w:p>
    <w:p>
      <w:pPr>
        <w:pStyle w:val="Heading3"/>
        <w:jc w:val="left"/>
      </w:pPr>
      <w:r>
        <w:t>InvoiceNo</w:t>
      </w:r>
    </w:p>
    <w:p>
      <w:pPr/>
      <w:r>
        <w:t>The official specification defines InvoiceNo as a 6-digit integral number, with a 'C' prefix (case-insensitive in the data) indicating a cancellation. No other prefixes are documented in the spec.</w:t>
      </w:r>
    </w:p>
    <w:p>
      <w:pPr/>
      <w:r>
        <w:t>Of 1,067,371 rows, 1,067,365 conform to the spec (6-digit integer, optionally prefixed with 'C'). The remaining 6 rows carry an 'A' prefix and represent bad-debt accounting adjustment entries — an undocumented transaction type not described in the official field definition. These rows are excluded from all downstream analysis.</w:t>
      </w:r>
    </w:p>
    <w:p>
      <w:r>
        <w:rPr>
          <w:b/>
        </w:rPr>
        <w:t>Table 3 — InvoiceNo validation against official spec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Action</w:t>
            </w:r>
          </w:p>
        </w:tc>
      </w:tr>
      <w:tr>
        <w:tc>
          <w:tcPr>
            <w:tcW w:type="dxa" w:w="2880"/>
          </w:tcPr>
          <w:p>
            <w:r>
              <w:t>Standard sale (######)  ← spec-compliant</w:t>
            </w:r>
          </w:p>
        </w:tc>
        <w:tc>
          <w:tcPr>
            <w:tcW w:type="dxa" w:w="2880"/>
          </w:tcPr>
          <w:p>
            <w:r>
              <w:t>1,047,871</w:t>
            </w:r>
          </w:p>
        </w:tc>
        <w:tc>
          <w:tcPr>
            <w:tcW w:type="dxa" w:w="2880"/>
          </w:tcPr>
          <w:p>
            <w:r>
              <w:t>Retain — classify as sale</w:t>
            </w:r>
          </w:p>
        </w:tc>
      </w:tr>
      <w:tr>
        <w:tc>
          <w:tcPr>
            <w:tcW w:type="dxa" w:w="2880"/>
          </w:tcPr>
          <w:p>
            <w:r>
              <w:t>Cancellation (C######)  ← spec-compliant</w:t>
            </w:r>
          </w:p>
        </w:tc>
        <w:tc>
          <w:tcPr>
            <w:tcW w:type="dxa" w:w="2880"/>
          </w:tcPr>
          <w:p>
            <w:r>
              <w:t>19,494</w:t>
            </w:r>
          </w:p>
        </w:tc>
        <w:tc>
          <w:tcPr>
            <w:tcW w:type="dxa" w:w="2880"/>
          </w:tcPr>
          <w:p>
            <w:r>
              <w:t>Retain — classify as return</w:t>
            </w:r>
          </w:p>
        </w:tc>
      </w:tr>
      <w:tr>
        <w:tc>
          <w:tcPr>
            <w:tcW w:type="dxa" w:w="2880"/>
          </w:tcPr>
          <w:p>
            <w:r>
              <w:t>Accounting adjustment (A######)  ← undocumented deviation</w:t>
            </w:r>
          </w:p>
        </w:tc>
        <w:tc>
          <w:tcPr>
            <w:tcW w:type="dxa" w:w="2880"/>
          </w:tcPr>
          <w:p>
            <w:r>
              <w:t>6</w:t>
            </w:r>
          </w:p>
        </w:tc>
        <w:tc>
          <w:tcPr>
            <w:tcW w:type="dxa" w:w="2880"/>
          </w:tcPr>
          <w:p>
            <w:r>
              <w:t>Exclude</w:t>
            </w:r>
          </w:p>
        </w:tc>
      </w:tr>
      <w:tr>
        <w:tc>
          <w:tcPr>
            <w:tcW w:type="dxa" w:w="2880"/>
          </w:tcPr>
          <w:p>
            <w:r>
              <w:t>Total</w:t>
            </w:r>
          </w:p>
        </w:tc>
        <w:tc>
          <w:tcPr>
            <w:tcW w:type="dxa" w:w="2880"/>
          </w:tcPr>
          <w:p>
            <w:r>
              <w:t>1,067,371</w:t>
            </w:r>
          </w:p>
        </w:tc>
        <w:tc>
          <w:tcPr>
            <w:tcW w:type="dxa" w:w="2880"/>
          </w:tcPr>
          <w:p>
            <w:r>
              <w:t>—</w:t>
            </w:r>
          </w:p>
        </w:tc>
      </w:tr>
    </w:tbl>
    <w:p/>
    <w:p>
      <w:pPr>
        <w:pStyle w:val="Heading3"/>
        <w:jc w:val="left"/>
      </w:pPr>
      <w:r>
        <w:t>CustomerID</w:t>
      </w:r>
    </w:p>
    <w:p>
      <w:pPr/>
      <w:r>
        <w:t>CustomerID is missing for 243,007 rows (22.8% of the dataset). All 824,364 non-missing values conform to the 5-digit format; no format violations were found. Missing CustomerIDs are retained in non-customer analyses (e.g., product-level aggregations) but excluded from any customer-level modelling.</w:t>
      </w:r>
    </w:p>
    <w:p>
      <w:pPr>
        <w:pStyle w:val="Heading3"/>
        <w:jc w:val="left"/>
      </w:pPr>
      <w:r>
        <w:t>Quantity</w:t>
      </w:r>
    </w:p>
    <w:p>
      <w:r>
        <w:rPr>
          <w:b/>
        </w:rPr>
        <w:t>Table 4 — Quantity value breakdown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Bucket</w:t>
            </w:r>
          </w:p>
        </w:tc>
        <w:tc>
          <w:tcPr>
            <w:tcW w:type="dxa" w:w="2880"/>
          </w:tcPr>
          <w:p>
            <w:r>
              <w:rPr>
                <w:b/>
              </w:rPr>
              <w:t>Count</w:t>
            </w:r>
          </w:p>
        </w:tc>
        <w:tc>
          <w:tcPr>
            <w:tcW w:type="dxa" w:w="2880"/>
          </w:tcPr>
          <w:p>
            <w:r>
              <w:rPr>
                <w:b/>
              </w:rPr>
              <w:t>Interpretation</w:t>
            </w:r>
          </w:p>
        </w:tc>
      </w:tr>
      <w:tr>
        <w:tc>
          <w:tcPr>
            <w:tcW w:type="dxa" w:w="2880"/>
          </w:tcPr>
          <w:p>
            <w:r>
              <w:t>Quantity &gt; 0</w:t>
            </w:r>
          </w:p>
        </w:tc>
        <w:tc>
          <w:tcPr>
            <w:tcW w:type="dxa" w:w="2880"/>
          </w:tcPr>
          <w:p>
            <w:r>
              <w:t>1,044,421</w:t>
            </w:r>
          </w:p>
        </w:tc>
        <w:tc>
          <w:tcPr>
            <w:tcW w:type="dxa" w:w="2880"/>
          </w:tcPr>
          <w:p>
            <w:r>
              <w:t>Standard sale or free promotional item</w:t>
            </w:r>
          </w:p>
        </w:tc>
      </w:tr>
      <w:tr>
        <w:tc>
          <w:tcPr>
            <w:tcW w:type="dxa" w:w="2880"/>
          </w:tcPr>
          <w:p>
            <w:r>
              <w:t>Quantity = 0</w:t>
            </w:r>
          </w:p>
        </w:tc>
        <w:tc>
          <w:tcPr>
            <w:tcW w:type="dxa" w:w="2880"/>
          </w:tcPr>
          <w:p>
            <w:r>
              <w:t>0</w:t>
            </w:r>
          </w:p>
        </w:tc>
        <w:tc>
          <w:tcPr>
            <w:tcW w:type="dxa" w:w="2880"/>
          </w:tcPr>
          <w:p>
            <w:r>
              <w:t>Data anomaly — reviewed case by case</w:t>
            </w:r>
          </w:p>
        </w:tc>
      </w:tr>
      <w:tr>
        <w:tc>
          <w:tcPr>
            <w:tcW w:type="dxa" w:w="2880"/>
          </w:tcPr>
          <w:p>
            <w:r>
              <w:t>Quantity &lt; 0</w:t>
            </w:r>
          </w:p>
        </w:tc>
        <w:tc>
          <w:tcPr>
            <w:tcW w:type="dxa" w:w="2880"/>
          </w:tcPr>
          <w:p>
            <w:r>
              <w:t>22,950</w:t>
            </w:r>
          </w:p>
        </w:tc>
        <w:tc>
          <w:tcPr>
            <w:tcW w:type="dxa" w:w="2880"/>
          </w:tcPr>
          <w:p>
            <w:r>
              <w:t>Return / cancellation or internal adjustment</w:t>
            </w:r>
          </w:p>
        </w:tc>
      </w:tr>
    </w:tbl>
    <w:p/>
    <w:p>
      <w:pPr>
        <w:pStyle w:val="Heading3"/>
        <w:jc w:val="left"/>
      </w:pPr>
      <w:r>
        <w:t>Price</w:t>
      </w:r>
    </w:p>
    <w:p>
      <w:r>
        <w:rPr>
          <w:b/>
        </w:rPr>
        <w:t>Table 5 — Price value breakdown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Bucket</w:t>
            </w:r>
          </w:p>
        </w:tc>
        <w:tc>
          <w:tcPr>
            <w:tcW w:type="dxa" w:w="2880"/>
          </w:tcPr>
          <w:p>
            <w:r>
              <w:rPr>
                <w:b/>
              </w:rPr>
              <w:t>Count</w:t>
            </w:r>
          </w:p>
        </w:tc>
        <w:tc>
          <w:tcPr>
            <w:tcW w:type="dxa" w:w="2880"/>
          </w:tcPr>
          <w:p>
            <w:r>
              <w:rPr>
                <w:b/>
              </w:rPr>
              <w:t>Interpretation</w:t>
            </w:r>
          </w:p>
        </w:tc>
      </w:tr>
      <w:tr>
        <w:tc>
          <w:tcPr>
            <w:tcW w:type="dxa" w:w="2880"/>
          </w:tcPr>
          <w:p>
            <w:r>
              <w:t>Price &gt; 0</w:t>
            </w:r>
          </w:p>
        </w:tc>
        <w:tc>
          <w:tcPr>
            <w:tcW w:type="dxa" w:w="2880"/>
          </w:tcPr>
          <w:p>
            <w:r>
              <w:t>1,061,164</w:t>
            </w:r>
          </w:p>
        </w:tc>
        <w:tc>
          <w:tcPr>
            <w:tcW w:type="dxa" w:w="2880"/>
          </w:tcPr>
          <w:p>
            <w:r>
              <w:t>Revenue-generating transaction</w:t>
            </w:r>
          </w:p>
        </w:tc>
      </w:tr>
      <w:tr>
        <w:tc>
          <w:tcPr>
            <w:tcW w:type="dxa" w:w="2880"/>
          </w:tcPr>
          <w:p>
            <w:r>
              <w:t>Price = 0</w:t>
            </w:r>
          </w:p>
        </w:tc>
        <w:tc>
          <w:tcPr>
            <w:tcW w:type="dxa" w:w="2880"/>
          </w:tcPr>
          <w:p>
            <w:r>
              <w:t>6,202</w:t>
            </w:r>
          </w:p>
        </w:tc>
        <w:tc>
          <w:tcPr>
            <w:tcW w:type="dxa" w:w="2880"/>
          </w:tcPr>
          <w:p>
            <w:r>
              <w:t>Free item or non-revenue system entry</w:t>
            </w:r>
          </w:p>
        </w:tc>
      </w:tr>
      <w:tr>
        <w:tc>
          <w:tcPr>
            <w:tcW w:type="dxa" w:w="2880"/>
          </w:tcPr>
          <w:p>
            <w:r>
              <w:t>Price &lt; 0</w:t>
            </w:r>
          </w:p>
        </w:tc>
        <w:tc>
          <w:tcPr>
            <w:tcW w:type="dxa" w:w="2880"/>
          </w:tcPr>
          <w:p>
            <w:r>
              <w:t>5</w:t>
            </w:r>
          </w:p>
        </w:tc>
        <w:tc>
          <w:tcPr>
            <w:tcW w:type="dxa" w:w="2880"/>
          </w:tcPr>
          <w:p>
            <w:r>
              <w:t>Bad-debt accounting adjustment — exclude</w:t>
            </w:r>
          </w:p>
        </w:tc>
      </w:tr>
    </w:tbl>
    <w:p/>
    <w:p>
      <w:pPr>
        <w:pStyle w:val="Heading3"/>
        <w:jc w:val="left"/>
      </w:pPr>
      <w:r>
        <w:t>InvoiceDate</w:t>
      </w:r>
    </w:p>
    <w:p>
      <w:pPr/>
      <w:r>
        <w:t>All 1,067,371 InvoiceDate values parsed successfully. No unparseable dates were found. The dataset spans 01 December 2009 to 09 December 2011.</w:t>
      </w:r>
    </w:p>
    <w:p>
      <w:pPr>
        <w:pStyle w:val="Heading3"/>
        <w:jc w:val="left"/>
      </w:pPr>
      <w:r>
        <w:t>StockCode</w:t>
      </w:r>
    </w:p>
    <w:p>
      <w:pPr/>
      <w:r>
        <w:t>The official specification defines StockCode as a 5-digit integral number. Validation reveals two classes of deviation from this definition:</w:t>
      </w:r>
    </w:p>
    <w:p>
      <w:r>
        <w:rPr>
          <w:b/>
        </w:rPr>
        <w:t>Table 6 — StockCode validation against official spec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Pattern</w:t>
            </w:r>
          </w:p>
        </w:tc>
        <w:tc>
          <w:tcPr>
            <w:tcW w:type="dxa" w:w="2160"/>
          </w:tcPr>
          <w:p>
            <w:r>
              <w:rPr>
                <w:b/>
              </w:rPr>
              <w:t>Rows</w:t>
            </w:r>
          </w:p>
        </w:tc>
        <w:tc>
          <w:tcPr>
            <w:tcW w:type="dxa" w:w="2160"/>
          </w:tcPr>
          <w:p>
            <w:r>
              <w:rPr>
                <w:b/>
              </w:rPr>
              <w:t>Unique codes</w:t>
            </w:r>
          </w:p>
        </w:tc>
        <w:tc>
          <w:tcPr>
            <w:tcW w:type="dxa" w:w="2160"/>
          </w:tcPr>
          <w:p>
            <w:r>
              <w:rPr>
                <w:b/>
              </w:rPr>
              <w:t>Treatment</w:t>
            </w:r>
          </w:p>
        </w:tc>
      </w:tr>
      <w:tr>
        <w:tc>
          <w:tcPr>
            <w:tcW w:type="dxa" w:w="2160"/>
          </w:tcPr>
          <w:p>
            <w:r>
              <w:t>5-digit numeric (e.g. 85123)  ← spec-compliant</w:t>
            </w:r>
          </w:p>
        </w:tc>
        <w:tc>
          <w:tcPr>
            <w:tcW w:type="dxa" w:w="2160"/>
          </w:tcPr>
          <w:p>
            <w:r>
              <w:t>932,385</w:t>
            </w:r>
          </w:p>
        </w:tc>
        <w:tc>
          <w:tcPr>
            <w:tcW w:type="dxa" w:w="2160"/>
          </w:tcPr>
          <w:p>
            <w:r>
              <w:t>3,590</w:t>
            </w:r>
          </w:p>
        </w:tc>
        <w:tc>
          <w:tcPr>
            <w:tcW w:type="dxa" w:w="2160"/>
          </w:tcPr>
          <w:p>
            <w:r>
              <w:t>Standard product SKU — included in product analyses</w:t>
            </w:r>
          </w:p>
        </w:tc>
      </w:tr>
      <w:tr>
        <w:tc>
          <w:tcPr>
            <w:tcW w:type="dxa" w:w="2160"/>
          </w:tcPr>
          <w:p>
            <w:r>
              <w:t>5-digit + letter suffix (e.g. 85123A)  ← deviation from spec</w:t>
            </w:r>
          </w:p>
        </w:tc>
        <w:tc>
          <w:tcPr>
            <w:tcW w:type="dxa" w:w="2160"/>
          </w:tcPr>
          <w:p>
            <w:r>
              <w:t>128,893</w:t>
            </w:r>
          </w:p>
        </w:tc>
        <w:tc>
          <w:tcPr>
            <w:tcW w:type="dxa" w:w="2160"/>
          </w:tcPr>
          <w:p>
            <w:r>
              <w:t>1,652</w:t>
            </w:r>
          </w:p>
        </w:tc>
        <w:tc>
          <w:tcPr>
            <w:tcW w:type="dxa" w:w="2160"/>
          </w:tcPr>
          <w:p>
            <w:r>
              <w:t>Treated as product variant; included in product analyses with spec caveat noted</w:t>
            </w:r>
          </w:p>
        </w:tc>
      </w:tr>
      <w:tr>
        <w:tc>
          <w:tcPr>
            <w:tcW w:type="dxa" w:w="2160"/>
          </w:tcPr>
          <w:p>
            <w:r>
              <w:t>Fully non-standard (e.g. POST, DOT, M, DCGS, gift)  ← deviation from spec</w:t>
            </w:r>
          </w:p>
        </w:tc>
        <w:tc>
          <w:tcPr>
            <w:tcW w:type="dxa" w:w="2160"/>
          </w:tcPr>
          <w:p>
            <w:r>
              <w:t>6,093</w:t>
            </w:r>
          </w:p>
        </w:tc>
        <w:tc>
          <w:tcPr>
            <w:tcW w:type="dxa" w:w="2160"/>
          </w:tcPr>
          <w:p>
            <w:r>
              <w:t>62</w:t>
            </w:r>
          </w:p>
        </w:tc>
        <w:tc>
          <w:tcPr>
            <w:tcW w:type="dxa" w:w="2160"/>
          </w:tcPr>
          <w:p>
            <w:r>
              <w:t>Service, discount, postage, or adjustment entry — separated or excluded</w:t>
            </w:r>
          </w:p>
        </w:tc>
      </w:tr>
    </w:tbl>
    <w:p/>
    <w:p>
      <w:pPr/>
      <w:r>
        <w:t>Non-standard special codes include POST (postage), DOT (dotcom), M (manual entry), BANK CHARGES, ADJUST, AMAZONFEE, and the DCGS and gift code families. These fall outside the 5-digit integral definition in the official spec and are treated as separate categories rather than product SKUs.</w:t>
      </w:r>
    </w:p>
    <w:p>
      <w:pPr>
        <w:pStyle w:val="Heading3"/>
        <w:jc w:val="left"/>
      </w:pPr>
      <w:r>
        <w:t>Country</w:t>
      </w:r>
    </w:p>
    <w:p>
      <w:pPr/>
      <w:r>
        <w:t>Country has no missing or blank values across all 1,067,371 rows. There are 43 unique country labels. 756 rows (0.07%) carry the value 'Unspecified', representing transactions with no recorded geographic origin. Naming inconsistencies (e.g. 'EIRE' instead of 'Ireland') are noted and will be standardised in the transformation stage.</w:t>
      </w:r>
    </w:p>
    <w:p>
      <w:r>
        <w:rPr>
          <w:b/>
        </w:rPr>
        <w:t>Table 7 — Top 10 countries by row count</w:t>
      </w:r>
    </w:p>
    <w:tbl>
      <w:tblPr>
        <w:tblStyle w:val="TableGrid"/>
        <w:tblW w:type="auto" w:w="0"/>
        <w:tblLook w:firstColumn="1" w:firstRow="1" w:lastColumn="0" w:lastRow="0" w:noHBand="0" w:noVBand="1" w:val="04A0"/>
      </w:tblPr>
      <w:tblGrid>
        <w:gridCol w:w="4320"/>
        <w:gridCol w:w="4320"/>
      </w:tblGrid>
      <w:tr>
        <w:tc>
          <w:tcPr>
            <w:tcW w:type="dxa" w:w="4320"/>
          </w:tcPr>
          <w:p>
            <w:r>
              <w:rPr>
                <w:b/>
              </w:rPr>
              <w:t>Country</w:t>
            </w:r>
          </w:p>
        </w:tc>
        <w:tc>
          <w:tcPr>
            <w:tcW w:type="dxa" w:w="4320"/>
          </w:tcPr>
          <w:p>
            <w:r>
              <w:rPr>
                <w:b/>
              </w:rPr>
              <w:t>Row Count</w:t>
            </w:r>
          </w:p>
        </w:tc>
      </w:tr>
      <w:tr>
        <w:tc>
          <w:tcPr>
            <w:tcW w:type="dxa" w:w="4320"/>
          </w:tcPr>
          <w:p>
            <w:r>
              <w:t>United Kingdom</w:t>
            </w:r>
          </w:p>
        </w:tc>
        <w:tc>
          <w:tcPr>
            <w:tcW w:type="dxa" w:w="4320"/>
          </w:tcPr>
          <w:p>
            <w:r>
              <w:t>981330</w:t>
            </w:r>
          </w:p>
        </w:tc>
      </w:tr>
      <w:tr>
        <w:tc>
          <w:tcPr>
            <w:tcW w:type="dxa" w:w="4320"/>
          </w:tcPr>
          <w:p>
            <w:r>
              <w:t>EIRE</w:t>
            </w:r>
          </w:p>
        </w:tc>
        <w:tc>
          <w:tcPr>
            <w:tcW w:type="dxa" w:w="4320"/>
          </w:tcPr>
          <w:p>
            <w:r>
              <w:t>17866</w:t>
            </w:r>
          </w:p>
        </w:tc>
      </w:tr>
      <w:tr>
        <w:tc>
          <w:tcPr>
            <w:tcW w:type="dxa" w:w="4320"/>
          </w:tcPr>
          <w:p>
            <w:r>
              <w:t>Germany</w:t>
            </w:r>
          </w:p>
        </w:tc>
        <w:tc>
          <w:tcPr>
            <w:tcW w:type="dxa" w:w="4320"/>
          </w:tcPr>
          <w:p>
            <w:r>
              <w:t>17624</w:t>
            </w:r>
          </w:p>
        </w:tc>
      </w:tr>
      <w:tr>
        <w:tc>
          <w:tcPr>
            <w:tcW w:type="dxa" w:w="4320"/>
          </w:tcPr>
          <w:p>
            <w:r>
              <w:t>France</w:t>
            </w:r>
          </w:p>
        </w:tc>
        <w:tc>
          <w:tcPr>
            <w:tcW w:type="dxa" w:w="4320"/>
          </w:tcPr>
          <w:p>
            <w:r>
              <w:t>14330</w:t>
            </w:r>
          </w:p>
        </w:tc>
      </w:tr>
      <w:tr>
        <w:tc>
          <w:tcPr>
            <w:tcW w:type="dxa" w:w="4320"/>
          </w:tcPr>
          <w:p>
            <w:r>
              <w:t>Netherlands</w:t>
            </w:r>
          </w:p>
        </w:tc>
        <w:tc>
          <w:tcPr>
            <w:tcW w:type="dxa" w:w="4320"/>
          </w:tcPr>
          <w:p>
            <w:r>
              <w:t>5140</w:t>
            </w:r>
          </w:p>
        </w:tc>
      </w:tr>
      <w:tr>
        <w:tc>
          <w:tcPr>
            <w:tcW w:type="dxa" w:w="4320"/>
          </w:tcPr>
          <w:p>
            <w:r>
              <w:t>Spain</w:t>
            </w:r>
          </w:p>
        </w:tc>
        <w:tc>
          <w:tcPr>
            <w:tcW w:type="dxa" w:w="4320"/>
          </w:tcPr>
          <w:p>
            <w:r>
              <w:t>3811</w:t>
            </w:r>
          </w:p>
        </w:tc>
      </w:tr>
      <w:tr>
        <w:tc>
          <w:tcPr>
            <w:tcW w:type="dxa" w:w="4320"/>
          </w:tcPr>
          <w:p>
            <w:r>
              <w:t>Switzerland</w:t>
            </w:r>
          </w:p>
        </w:tc>
        <w:tc>
          <w:tcPr>
            <w:tcW w:type="dxa" w:w="4320"/>
          </w:tcPr>
          <w:p>
            <w:r>
              <w:t>3189</w:t>
            </w:r>
          </w:p>
        </w:tc>
      </w:tr>
      <w:tr>
        <w:tc>
          <w:tcPr>
            <w:tcW w:type="dxa" w:w="4320"/>
          </w:tcPr>
          <w:p>
            <w:r>
              <w:t>Belgium</w:t>
            </w:r>
          </w:p>
        </w:tc>
        <w:tc>
          <w:tcPr>
            <w:tcW w:type="dxa" w:w="4320"/>
          </w:tcPr>
          <w:p>
            <w:r>
              <w:t>3123</w:t>
            </w:r>
          </w:p>
        </w:tc>
      </w:tr>
      <w:tr>
        <w:tc>
          <w:tcPr>
            <w:tcW w:type="dxa" w:w="4320"/>
          </w:tcPr>
          <w:p>
            <w:r>
              <w:t>Portugal</w:t>
            </w:r>
          </w:p>
        </w:tc>
        <w:tc>
          <w:tcPr>
            <w:tcW w:type="dxa" w:w="4320"/>
          </w:tcPr>
          <w:p>
            <w:r>
              <w:t>2620</w:t>
            </w:r>
          </w:p>
        </w:tc>
      </w:tr>
      <w:tr>
        <w:tc>
          <w:tcPr>
            <w:tcW w:type="dxa" w:w="4320"/>
          </w:tcPr>
          <w:p>
            <w:r>
              <w:t>Australia</w:t>
            </w:r>
          </w:p>
        </w:tc>
        <w:tc>
          <w:tcPr>
            <w:tcW w:type="dxa" w:w="4320"/>
          </w:tcPr>
          <w:p>
            <w:r>
              <w:t>1913</w:t>
            </w:r>
          </w:p>
        </w:tc>
      </w:tr>
    </w:tbl>
    <w:p/>
    <w:p>
      <w:pPr>
        <w:pStyle w:val="Heading3"/>
        <w:jc w:val="left"/>
      </w:pPr>
      <w:r>
        <w:t>Description</w:t>
      </w:r>
    </w:p>
    <w:p>
      <w:pPr/>
      <w:r>
        <w:t>Description is missing for 4,382 rows (0.41%). Description is treated as a supplementary text field rather than a primary identifier. Missing values are filled from the most common description associated with each StockCode in the downstream transformation stage.</w:t>
      </w:r>
    </w:p>
    <w:p>
      <w:pPr>
        <w:pStyle w:val="Heading2"/>
        <w:jc w:val="left"/>
      </w:pPr>
      <w:r>
        <w:t>3.3 Data Transformation &amp; Assumptions</w:t>
      </w:r>
    </w:p>
    <w:p>
      <w:pPr/>
      <w:r>
        <w:t>Following the split-decision EDA (01_split_decision_eda.py), records are assigned to one of seven mutually exclusive categories. The assignment logic and assumptions are documented in the table below.</w:t>
      </w:r>
    </w:p>
    <w:p>
      <w:r>
        <w:rPr>
          <w:b/>
        </w:rPr>
        <w:t>Table 8 — Transaction type split decisions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Rule</w:t>
            </w:r>
          </w:p>
        </w:tc>
        <w:tc>
          <w:tcPr>
            <w:tcW w:type="dxa" w:w="2160"/>
          </w:tcPr>
          <w:p>
            <w:r>
              <w:rPr>
                <w:b/>
              </w:rPr>
              <w:t>Count</w:t>
            </w:r>
          </w:p>
        </w:tc>
        <w:tc>
          <w:tcPr>
            <w:tcW w:type="dxa" w:w="2160"/>
          </w:tcPr>
          <w:p>
            <w:r>
              <w:rPr>
                <w:b/>
              </w:rPr>
              <w:t>Disposition</w:t>
            </w:r>
          </w:p>
        </w:tc>
      </w:tr>
      <w:tr>
        <w:tc>
          <w:tcPr>
            <w:tcW w:type="dxa" w:w="2160"/>
          </w:tcPr>
          <w:p>
            <w:r>
              <w:t>Admin / accounting adjustments</w:t>
            </w:r>
          </w:p>
        </w:tc>
        <w:tc>
          <w:tcPr>
            <w:tcW w:type="dxa" w:w="2160"/>
          </w:tcPr>
          <w:p>
            <w:r>
              <w:t>InvoiceNo starts with 'A'</w:t>
            </w:r>
          </w:p>
        </w:tc>
        <w:tc>
          <w:tcPr>
            <w:tcW w:type="dxa" w:w="2160"/>
          </w:tcPr>
          <w:p>
            <w:r>
              <w:t>6</w:t>
            </w:r>
          </w:p>
        </w:tc>
        <w:tc>
          <w:tcPr>
            <w:tcW w:type="dxa" w:w="2160"/>
          </w:tcPr>
          <w:p>
            <w:r>
              <w:t>Exclude from all analyses</w:t>
            </w:r>
          </w:p>
        </w:tc>
      </w:tr>
      <w:tr>
        <w:tc>
          <w:tcPr>
            <w:tcW w:type="dxa" w:w="2160"/>
          </w:tcPr>
          <w:p>
            <w:r>
              <w:t>Cancellation invoices</w:t>
            </w:r>
          </w:p>
        </w:tc>
        <w:tc>
          <w:tcPr>
            <w:tcW w:type="dxa" w:w="2160"/>
          </w:tcPr>
          <w:p>
            <w:r>
              <w:t>InvoiceNo starts with 'C'</w:t>
            </w:r>
          </w:p>
        </w:tc>
        <w:tc>
          <w:tcPr>
            <w:tcW w:type="dxa" w:w="2160"/>
          </w:tcPr>
          <w:p>
            <w:r>
              <w:t>19,494</w:t>
            </w:r>
          </w:p>
        </w:tc>
        <w:tc>
          <w:tcPr>
            <w:tcW w:type="dxa" w:w="2160"/>
          </w:tcPr>
          <w:p>
            <w:r>
              <w:t>Separate returns analysis</w:t>
            </w:r>
          </w:p>
        </w:tc>
      </w:tr>
      <w:tr>
        <w:tc>
          <w:tcPr>
            <w:tcW w:type="dxa" w:w="2160"/>
          </w:tcPr>
          <w:p>
            <w:r>
              <w:t>Internal inventory adjustments</w:t>
            </w:r>
          </w:p>
        </w:tc>
        <w:tc>
          <w:tcPr>
            <w:tcW w:type="dxa" w:w="2160"/>
          </w:tcPr>
          <w:p>
            <w:r>
              <w:t>Qty &lt; 0 AND Price = 0 AND not C/A-invoice</w:t>
            </w:r>
          </w:p>
        </w:tc>
        <w:tc>
          <w:tcPr>
            <w:tcW w:type="dxa" w:w="2160"/>
          </w:tcPr>
          <w:p>
            <w:r>
              <w:t>3,457</w:t>
            </w:r>
          </w:p>
        </w:tc>
        <w:tc>
          <w:tcPr>
            <w:tcW w:type="dxa" w:w="2160"/>
          </w:tcPr>
          <w:p>
            <w:r>
              <w:t>Exclude from sales analyses</w:t>
            </w:r>
          </w:p>
        </w:tc>
      </w:tr>
      <w:tr>
        <w:tc>
          <w:tcPr>
            <w:tcW w:type="dxa" w:w="2160"/>
          </w:tcPr>
          <w:p>
            <w:r>
              <w:t>Free items / promotions</w:t>
            </w:r>
          </w:p>
        </w:tc>
        <w:tc>
          <w:tcPr>
            <w:tcW w:type="dxa" w:w="2160"/>
          </w:tcPr>
          <w:p>
            <w:r>
              <w:t>Qty &gt; 0 AND Price = 0 AND not C/A-invoice</w:t>
            </w:r>
          </w:p>
        </w:tc>
        <w:tc>
          <w:tcPr>
            <w:tcW w:type="dxa" w:w="2160"/>
          </w:tcPr>
          <w:p>
            <w:r>
              <w:t>2,745</w:t>
            </w:r>
          </w:p>
        </w:tc>
        <w:tc>
          <w:tcPr>
            <w:tcW w:type="dxa" w:w="2160"/>
          </w:tcPr>
          <w:p>
            <w:r>
              <w:t>Separate promotions analysis</w:t>
            </w:r>
          </w:p>
        </w:tc>
      </w:tr>
      <w:tr>
        <w:tc>
          <w:tcPr>
            <w:tcW w:type="dxa" w:w="2160"/>
          </w:tcPr>
          <w:p>
            <w:r>
              <w:t>Gift vouchers</w:t>
            </w:r>
          </w:p>
        </w:tc>
        <w:tc>
          <w:tcPr>
            <w:tcW w:type="dxa" w:w="2160"/>
          </w:tcPr>
          <w:p>
            <w:r>
              <w:t>StockCode contains 'gift'</w:t>
            </w:r>
          </w:p>
        </w:tc>
        <w:tc>
          <w:tcPr>
            <w:tcW w:type="dxa" w:w="2160"/>
          </w:tcPr>
          <w:p>
            <w:r>
              <w:t>101</w:t>
            </w:r>
          </w:p>
        </w:tc>
        <w:tc>
          <w:tcPr>
            <w:tcW w:type="dxa" w:w="2160"/>
          </w:tcPr>
          <w:p>
            <w:r>
              <w:t>Separate voucher analysis</w:t>
            </w:r>
          </w:p>
        </w:tc>
      </w:tr>
      <w:tr>
        <w:tc>
          <w:tcPr>
            <w:tcW w:type="dxa" w:w="2160"/>
          </w:tcPr>
          <w:p>
            <w:r>
              <w:t>DCGS codes</w:t>
            </w:r>
          </w:p>
        </w:tc>
        <w:tc>
          <w:tcPr>
            <w:tcW w:type="dxa" w:w="2160"/>
          </w:tcPr>
          <w:p>
            <w:r>
              <w:t>StockCode contains 'DCGS'</w:t>
            </w:r>
          </w:p>
        </w:tc>
        <w:tc>
          <w:tcPr>
            <w:tcW w:type="dxa" w:w="2160"/>
          </w:tcPr>
          <w:p>
            <w:r>
              <w:t>158</w:t>
            </w:r>
          </w:p>
        </w:tc>
        <w:tc>
          <w:tcPr>
            <w:tcW w:type="dxa" w:w="2160"/>
          </w:tcPr>
          <w:p>
            <w:r>
              <w:t>Separate channel analysis</w:t>
            </w:r>
          </w:p>
        </w:tc>
      </w:tr>
      <w:tr>
        <w:tc>
          <w:tcPr>
            <w:tcW w:type="dxa" w:w="2160"/>
          </w:tcPr>
          <w:p>
            <w:r>
              <w:t>Clean sales</w:t>
            </w:r>
          </w:p>
        </w:tc>
        <w:tc>
          <w:tcPr>
            <w:tcW w:type="dxa" w:w="2160"/>
          </w:tcPr>
          <w:p>
            <w:r>
              <w:t>Qty &gt; 0, Price &gt; 0, not C/A-invoice, not gift/DCGS</w:t>
            </w:r>
          </w:p>
        </w:tc>
        <w:tc>
          <w:tcPr>
            <w:tcW w:type="dxa" w:w="2160"/>
          </w:tcPr>
          <w:p>
            <w:r>
              <w:t>1,041,669</w:t>
            </w:r>
          </w:p>
        </w:tc>
        <w:tc>
          <w:tcPr>
            <w:tcW w:type="dxa" w:w="2160"/>
          </w:tcPr>
          <w:p>
            <w:r>
              <w:t>Primary analysis dataset</w:t>
            </w:r>
          </w:p>
        </w:tc>
      </w:tr>
    </w:tbl>
    <w:p/>
    <w:p>
      <w:pPr/>
      <w:r>
        <w:t>Key assumptions underpinning these decisions:</w:t>
      </w:r>
    </w:p>
    <w:p>
      <w:pPr>
        <w:pStyle w:val="ListBullet"/>
      </w:pPr>
      <w:r>
        <w:t>A C-prefixed invoice always represents a cancellation regardless of Quantity sign. One exception (1 row with positive Quantity on a C-invoice) has been identified and is excluded from both the returns and clean-sales datasets.</w:t>
      </w:r>
    </w:p>
    <w:p>
      <w:pPr>
        <w:pStyle w:val="ListBullet"/>
      </w:pPr>
      <w:r>
        <w:t>Rows with negative Quantity but no C-prefix (3,457 rows) are primarily administrative adjustments and are excluded from sales analysis.</w:t>
      </w:r>
    </w:p>
    <w:p>
      <w:pPr>
        <w:pStyle w:val="ListBullet"/>
      </w:pPr>
      <w:r>
        <w:t>Zero-price rows with positive Quantity are treated as promotional/free items and are not counted as revenue-generating sales.</w:t>
      </w:r>
    </w:p>
    <w:p>
      <w:pPr>
        <w:pStyle w:val="ListBullet"/>
      </w:pPr>
      <w:r>
        <w:t>DCGS and gift StockCode families are treated as separate channels because their price and description patterns differ systematically from standard product SKUs.</w:t>
      </w:r>
    </w:p>
    <w:p>
      <w:pPr>
        <w:pStyle w:val="ListBullet"/>
      </w:pPr>
      <w:r>
        <w:t>Missing CustomerID is retained in product-level and geographic analyses but excluded from customer-level cohort and segmentation analyses.</w:t>
      </w:r>
    </w:p>
    <w:p>
      <w:r>
        <w:br w:type="page"/>
      </w:r>
    </w:p>
    <w:p>
      <w:pPr>
        <w:pStyle w:val="Heading1"/>
        <w:jc w:val="left"/>
      </w:pPr>
      <w:r>
        <w:t>4. Data Analysis</w:t>
      </w:r>
    </w:p>
    <w:p>
      <w:pPr>
        <w:pStyle w:val="Heading2"/>
        <w:jc w:val="left"/>
      </w:pPr>
      <w:r>
        <w:t>4.1 Summary Statistics</w:t>
      </w:r>
    </w:p>
    <w:p>
      <w:pPr/>
      <w:r>
        <w:t>Summary statistics are computed on the clean-sales subset (Quantity &gt; 0, Price &gt; 0, not C/A-invoice, not gift/DCGS special codes) unless otherwise noted.</w:t>
      </w:r>
    </w:p>
    <w:p>
      <w:r>
        <w:rPr>
          <w:b/>
        </w:rPr>
        <w:t>Table 9 — Clean-sales summary statistics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Clean sale rows</w:t>
            </w:r>
          </w:p>
        </w:tc>
        <w:tc>
          <w:tcPr>
            <w:tcW w:type="dxa" w:w="4320"/>
          </w:tcPr>
          <w:p>
            <w:r>
              <w:t>1,041,669</w:t>
            </w:r>
          </w:p>
        </w:tc>
      </w:tr>
      <w:tr>
        <w:tc>
          <w:tcPr>
            <w:tcW w:type="dxa" w:w="4320"/>
          </w:tcPr>
          <w:p>
            <w:r>
              <w:t>Unique invoices</w:t>
            </w:r>
          </w:p>
        </w:tc>
        <w:tc>
          <w:tcPr>
            <w:tcW w:type="dxa" w:w="4320"/>
          </w:tcPr>
          <w:p>
            <w:r>
              <w:t>40,076</w:t>
            </w:r>
          </w:p>
        </w:tc>
      </w:tr>
      <w:tr>
        <w:tc>
          <w:tcPr>
            <w:tcW w:type="dxa" w:w="4320"/>
          </w:tcPr>
          <w:p>
            <w:r>
              <w:t>Unique customers (with CustomerID)</w:t>
            </w:r>
          </w:p>
        </w:tc>
        <w:tc>
          <w:tcPr>
            <w:tcW w:type="dxa" w:w="4320"/>
          </w:tcPr>
          <w:p>
            <w:r>
              <w:t>5,878</w:t>
            </w:r>
          </w:p>
        </w:tc>
      </w:tr>
      <w:tr>
        <w:tc>
          <w:tcPr>
            <w:tcW w:type="dxa" w:w="4320"/>
          </w:tcPr>
          <w:p>
            <w:r>
              <w:t>Unique products (StockCode)</w:t>
            </w:r>
          </w:p>
        </w:tc>
        <w:tc>
          <w:tcPr>
            <w:tcW w:type="dxa" w:w="4320"/>
          </w:tcPr>
          <w:p>
            <w:r>
              <w:t>4,915</w:t>
            </w:r>
          </w:p>
        </w:tc>
      </w:tr>
      <w:tr>
        <w:tc>
          <w:tcPr>
            <w:tcW w:type="dxa" w:w="4320"/>
          </w:tcPr>
          <w:p>
            <w:r>
              <w:t>Total revenue (GBP)</w:t>
            </w:r>
          </w:p>
        </w:tc>
        <w:tc>
          <w:tcPr>
            <w:tcW w:type="dxa" w:w="4320"/>
          </w:tcPr>
          <w:p>
            <w:r>
              <w:t>£20,961,532.51</w:t>
            </w:r>
          </w:p>
        </w:tc>
      </w:tr>
      <w:tr>
        <w:tc>
          <w:tcPr>
            <w:tcW w:type="dxa" w:w="4320"/>
          </w:tcPr>
          <w:p>
            <w:r>
              <w:t>Avg revenue per invoice (GBP)</w:t>
            </w:r>
          </w:p>
        </w:tc>
        <w:tc>
          <w:tcPr>
            <w:tcW w:type="dxa" w:w="4320"/>
          </w:tcPr>
          <w:p>
            <w:r>
              <w:t>£523.04</w:t>
            </w:r>
          </w:p>
        </w:tc>
      </w:tr>
      <w:tr>
        <w:tc>
          <w:tcPr>
            <w:tcW w:type="dxa" w:w="4320"/>
          </w:tcPr>
          <w:p>
            <w:r>
              <w:t>Avg UnitPrice (GBP)</w:t>
            </w:r>
          </w:p>
        </w:tc>
        <w:tc>
          <w:tcPr>
            <w:tcW w:type="dxa" w:w="4320"/>
          </w:tcPr>
          <w:p>
            <w:r>
              <w:t>£4.07</w:t>
            </w:r>
          </w:p>
        </w:tc>
      </w:tr>
      <w:tr>
        <w:tc>
          <w:tcPr>
            <w:tcW w:type="dxa" w:w="4320"/>
          </w:tcPr>
          <w:p>
            <w:r>
              <w:t>Avg quantity per line</w:t>
            </w:r>
          </w:p>
        </w:tc>
        <w:tc>
          <w:tcPr>
            <w:tcW w:type="dxa" w:w="4320"/>
          </w:tcPr>
          <w:p>
            <w:r>
              <w:t>11.0</w:t>
            </w:r>
          </w:p>
        </w:tc>
      </w:tr>
      <w:tr>
        <w:tc>
          <w:tcPr>
            <w:tcW w:type="dxa" w:w="4320"/>
          </w:tcPr>
          <w:p>
            <w:r>
              <w:t>Date range</w:t>
            </w:r>
          </w:p>
        </w:tc>
        <w:tc>
          <w:tcPr>
            <w:tcW w:type="dxa" w:w="4320"/>
          </w:tcPr>
          <w:p>
            <w:r>
              <w:t>01 Dec 2009 – 09 Dec 2011</w:t>
            </w:r>
          </w:p>
        </w:tc>
      </w:tr>
    </w:tbl>
    <w:p/>
    <w:p>
      <w:r>
        <w:rPr>
          <w:b/>
        </w:rPr>
        <w:t>Table 10 — Top 10 products by total quantity sold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StockCode</w:t>
            </w:r>
          </w:p>
        </w:tc>
        <w:tc>
          <w:tcPr>
            <w:tcW w:type="dxa" w:w="2880"/>
          </w:tcPr>
          <w:p>
            <w:r>
              <w:rPr>
                <w:b/>
              </w:rPr>
              <w:t>Description</w:t>
            </w:r>
          </w:p>
        </w:tc>
        <w:tc>
          <w:tcPr>
            <w:tcW w:type="dxa" w:w="2880"/>
          </w:tcPr>
          <w:p>
            <w:r>
              <w:rPr>
                <w:b/>
              </w:rPr>
              <w:t>Total Qty Sold</w:t>
            </w:r>
          </w:p>
        </w:tc>
      </w:tr>
      <w:tr>
        <w:tc>
          <w:tcPr>
            <w:tcW w:type="dxa" w:w="2880"/>
          </w:tcPr>
          <w:p>
            <w:r>
              <w:t>84077</w:t>
            </w:r>
          </w:p>
        </w:tc>
        <w:tc>
          <w:tcPr>
            <w:tcW w:type="dxa" w:w="2880"/>
          </w:tcPr>
          <w:p>
            <w:r>
              <w:t>WORLD WAR 2 GLIDERS ASSTD DESIGNS</w:t>
            </w:r>
          </w:p>
        </w:tc>
        <w:tc>
          <w:tcPr>
            <w:tcW w:type="dxa" w:w="2880"/>
          </w:tcPr>
          <w:p>
            <w:r>
              <w:t>110,138</w:t>
            </w:r>
          </w:p>
        </w:tc>
      </w:tr>
      <w:tr>
        <w:tc>
          <w:tcPr>
            <w:tcW w:type="dxa" w:w="2880"/>
          </w:tcPr>
          <w:p>
            <w:r>
              <w:t>85099B</w:t>
            </w:r>
          </w:p>
        </w:tc>
        <w:tc>
          <w:tcPr>
            <w:tcW w:type="dxa" w:w="2880"/>
          </w:tcPr>
          <w:p>
            <w:r>
              <w:t>JUMBO BAG RED RETROSPOT</w:t>
            </w:r>
          </w:p>
        </w:tc>
        <w:tc>
          <w:tcPr>
            <w:tcW w:type="dxa" w:w="2880"/>
          </w:tcPr>
          <w:p>
            <w:r>
              <w:t>98,349</w:t>
            </w:r>
          </w:p>
        </w:tc>
      </w:tr>
      <w:tr>
        <w:tc>
          <w:tcPr>
            <w:tcW w:type="dxa" w:w="2880"/>
          </w:tcPr>
          <w:p>
            <w:r>
              <w:t>21212</w:t>
            </w:r>
          </w:p>
        </w:tc>
        <w:tc>
          <w:tcPr>
            <w:tcW w:type="dxa" w:w="2880"/>
          </w:tcPr>
          <w:p>
            <w:r>
              <w:t>PACK OF 72 RETROSPOT CAKE CASES</w:t>
            </w:r>
          </w:p>
        </w:tc>
        <w:tc>
          <w:tcPr>
            <w:tcW w:type="dxa" w:w="2880"/>
          </w:tcPr>
          <w:p>
            <w:r>
              <w:t>96,560</w:t>
            </w:r>
          </w:p>
        </w:tc>
      </w:tr>
      <w:tr>
        <w:tc>
          <w:tcPr>
            <w:tcW w:type="dxa" w:w="2880"/>
          </w:tcPr>
          <w:p>
            <w:r>
              <w:t>85123A</w:t>
            </w:r>
          </w:p>
        </w:tc>
        <w:tc>
          <w:tcPr>
            <w:tcW w:type="dxa" w:w="2880"/>
          </w:tcPr>
          <w:p>
            <w:r>
              <w:t>WHITE HANGING HEART T-LIGHT HOLDER</w:t>
            </w:r>
          </w:p>
        </w:tc>
        <w:tc>
          <w:tcPr>
            <w:tcW w:type="dxa" w:w="2880"/>
          </w:tcPr>
          <w:p>
            <w:r>
              <w:t>96,147</w:t>
            </w:r>
          </w:p>
        </w:tc>
      </w:tr>
      <w:tr>
        <w:tc>
          <w:tcPr>
            <w:tcW w:type="dxa" w:w="2880"/>
          </w:tcPr>
          <w:p>
            <w:r>
              <w:t>22197</w:t>
            </w:r>
          </w:p>
        </w:tc>
        <w:tc>
          <w:tcPr>
            <w:tcW w:type="dxa" w:w="2880"/>
          </w:tcPr>
          <w:p>
            <w:r>
              <w:t>SMALL POPCORN HOLDER</w:t>
            </w:r>
          </w:p>
        </w:tc>
        <w:tc>
          <w:tcPr>
            <w:tcW w:type="dxa" w:w="2880"/>
          </w:tcPr>
          <w:p>
            <w:r>
              <w:t>89,898</w:t>
            </w:r>
          </w:p>
        </w:tc>
      </w:tr>
      <w:tr>
        <w:tc>
          <w:tcPr>
            <w:tcW w:type="dxa" w:w="2880"/>
          </w:tcPr>
          <w:p>
            <w:r>
              <w:t>84879</w:t>
            </w:r>
          </w:p>
        </w:tc>
        <w:tc>
          <w:tcPr>
            <w:tcW w:type="dxa" w:w="2880"/>
          </w:tcPr>
          <w:p>
            <w:r>
              <w:t>ASSORTED COLOUR BIRD ORNAMENT</w:t>
            </w:r>
          </w:p>
        </w:tc>
        <w:tc>
          <w:tcPr>
            <w:tcW w:type="dxa" w:w="2880"/>
          </w:tcPr>
          <w:p>
            <w:r>
              <w:t>81,809</w:t>
            </w:r>
          </w:p>
        </w:tc>
      </w:tr>
      <w:tr>
        <w:tc>
          <w:tcPr>
            <w:tcW w:type="dxa" w:w="2880"/>
          </w:tcPr>
          <w:p>
            <w:r>
              <w:t>23843</w:t>
            </w:r>
          </w:p>
        </w:tc>
        <w:tc>
          <w:tcPr>
            <w:tcW w:type="dxa" w:w="2880"/>
          </w:tcPr>
          <w:p>
            <w:r>
              <w:t>PAPER CRAFT , LITTLE BIRDIE</w:t>
            </w:r>
          </w:p>
        </w:tc>
        <w:tc>
          <w:tcPr>
            <w:tcW w:type="dxa" w:w="2880"/>
          </w:tcPr>
          <w:p>
            <w:r>
              <w:t>80,995</w:t>
            </w:r>
          </w:p>
        </w:tc>
      </w:tr>
      <w:tr>
        <w:tc>
          <w:tcPr>
            <w:tcW w:type="dxa" w:w="2880"/>
          </w:tcPr>
          <w:p>
            <w:r>
              <w:t>23166</w:t>
            </w:r>
          </w:p>
        </w:tc>
        <w:tc>
          <w:tcPr>
            <w:tcW w:type="dxa" w:w="2880"/>
          </w:tcPr>
          <w:p>
            <w:r>
              <w:t>MEDIUM CERAMIC TOP STORAGE JAR</w:t>
            </w:r>
          </w:p>
        </w:tc>
        <w:tc>
          <w:tcPr>
            <w:tcW w:type="dxa" w:w="2880"/>
          </w:tcPr>
          <w:p>
            <w:r>
              <w:t>78,033</w:t>
            </w:r>
          </w:p>
        </w:tc>
      </w:tr>
      <w:tr>
        <w:tc>
          <w:tcPr>
            <w:tcW w:type="dxa" w:w="2880"/>
          </w:tcPr>
          <w:p>
            <w:r>
              <w:t>17003</w:t>
            </w:r>
          </w:p>
        </w:tc>
        <w:tc>
          <w:tcPr>
            <w:tcW w:type="dxa" w:w="2880"/>
          </w:tcPr>
          <w:p>
            <w:r>
              <w:t xml:space="preserve">BROCADE RING PURSE </w:t>
            </w:r>
          </w:p>
        </w:tc>
        <w:tc>
          <w:tcPr>
            <w:tcW w:type="dxa" w:w="2880"/>
          </w:tcPr>
          <w:p>
            <w:r>
              <w:t>71,430</w:t>
            </w:r>
          </w:p>
        </w:tc>
      </w:tr>
      <w:tr>
        <w:tc>
          <w:tcPr>
            <w:tcW w:type="dxa" w:w="2880"/>
          </w:tcPr>
          <w:p>
            <w:r>
              <w:t>21977</w:t>
            </w:r>
          </w:p>
        </w:tc>
        <w:tc>
          <w:tcPr>
            <w:tcW w:type="dxa" w:w="2880"/>
          </w:tcPr>
          <w:p>
            <w:r>
              <w:t>PACK OF 60 PINK PAISLEY CAKE CASES</w:t>
            </w:r>
          </w:p>
        </w:tc>
        <w:tc>
          <w:tcPr>
            <w:tcW w:type="dxa" w:w="2880"/>
          </w:tcPr>
          <w:p>
            <w:r>
              <w:t>56,794</w:t>
            </w:r>
          </w:p>
        </w:tc>
      </w:tr>
    </w:tbl>
    <w:p/>
    <w:p>
      <w:pPr/>
      <w:r>
        <w:t>Returns (C-invoice rows) account for 19,494 records (1.83% of the raw dataset), confirming that cancellations are a material component of the data and must be modelled explicitly in any customer lifetime value or churn analysis.</w:t>
      </w:r>
    </w:p>
    <w:p>
      <w:r>
        <w:rPr>
          <w:b/>
        </w:rPr>
        <w:t>Table 11 — Top countries by missing CustomerID rate</w:t>
      </w:r>
    </w:p>
    <w:tbl>
      <w:tblPr>
        <w:tblStyle w:val="TableGrid"/>
        <w:tblW w:type="auto" w:w="0"/>
        <w:tblLook w:firstColumn="1" w:firstRow="1" w:lastColumn="0" w:lastRow="0" w:noHBand="0" w:noVBand="1" w:val="04A0"/>
      </w:tblPr>
      <w:tblGrid>
        <w:gridCol w:w="4320"/>
        <w:gridCol w:w="4320"/>
      </w:tblGrid>
      <w:tr>
        <w:tc>
          <w:tcPr>
            <w:tcW w:type="dxa" w:w="4320"/>
          </w:tcPr>
          <w:p>
            <w:r>
              <w:rPr>
                <w:b/>
              </w:rPr>
              <w:t>Country</w:t>
            </w:r>
          </w:p>
        </w:tc>
        <w:tc>
          <w:tcPr>
            <w:tcW w:type="dxa" w:w="4320"/>
          </w:tcPr>
          <w:p>
            <w:r>
              <w:rPr>
                <w:b/>
              </w:rPr>
              <w:t>Missing CustomerID Rate</w:t>
            </w:r>
          </w:p>
        </w:tc>
      </w:tr>
      <w:tr>
        <w:tc>
          <w:tcPr>
            <w:tcW w:type="dxa" w:w="4320"/>
          </w:tcPr>
          <w:p>
            <w:r>
              <w:t>Hong Kong</w:t>
            </w:r>
          </w:p>
        </w:tc>
        <w:tc>
          <w:tcPr>
            <w:tcW w:type="dxa" w:w="4320"/>
          </w:tcPr>
          <w:p>
            <w:r>
              <w:t>100.0%</w:t>
            </w:r>
          </w:p>
        </w:tc>
      </w:tr>
      <w:tr>
        <w:tc>
          <w:tcPr>
            <w:tcW w:type="dxa" w:w="4320"/>
          </w:tcPr>
          <w:p>
            <w:r>
              <w:t>Bermuda</w:t>
            </w:r>
          </w:p>
        </w:tc>
        <w:tc>
          <w:tcPr>
            <w:tcW w:type="dxa" w:w="4320"/>
          </w:tcPr>
          <w:p>
            <w:r>
              <w:t>100.0%</w:t>
            </w:r>
          </w:p>
        </w:tc>
      </w:tr>
      <w:tr>
        <w:tc>
          <w:tcPr>
            <w:tcW w:type="dxa" w:w="4320"/>
          </w:tcPr>
          <w:p>
            <w:r>
              <w:t>Bahrain</w:t>
            </w:r>
          </w:p>
        </w:tc>
        <w:tc>
          <w:tcPr>
            <w:tcW w:type="dxa" w:w="4320"/>
          </w:tcPr>
          <w:p>
            <w:r>
              <w:t>53.2%</w:t>
            </w:r>
          </w:p>
        </w:tc>
      </w:tr>
      <w:tr>
        <w:tc>
          <w:tcPr>
            <w:tcW w:type="dxa" w:w="4320"/>
          </w:tcPr>
          <w:p>
            <w:r>
              <w:t>Unspecified</w:t>
            </w:r>
          </w:p>
        </w:tc>
        <w:tc>
          <w:tcPr>
            <w:tcW w:type="dxa" w:w="4320"/>
          </w:tcPr>
          <w:p>
            <w:r>
              <w:t>30.7%</w:t>
            </w:r>
          </w:p>
        </w:tc>
      </w:tr>
      <w:tr>
        <w:tc>
          <w:tcPr>
            <w:tcW w:type="dxa" w:w="4320"/>
          </w:tcPr>
          <w:p>
            <w:r>
              <w:t>RSA</w:t>
            </w:r>
          </w:p>
        </w:tc>
        <w:tc>
          <w:tcPr>
            <w:tcW w:type="dxa" w:w="4320"/>
          </w:tcPr>
          <w:p>
            <w:r>
              <w:t>27.2%</w:t>
            </w:r>
          </w:p>
        </w:tc>
      </w:tr>
      <w:tr>
        <w:tc>
          <w:tcPr>
            <w:tcW w:type="dxa" w:w="4320"/>
          </w:tcPr>
          <w:p>
            <w:r>
              <w:t>United Kingdom</w:t>
            </w:r>
          </w:p>
        </w:tc>
        <w:tc>
          <w:tcPr>
            <w:tcW w:type="dxa" w:w="4320"/>
          </w:tcPr>
          <w:p>
            <w:r>
              <w:t>24.5%</w:t>
            </w:r>
          </w:p>
        </w:tc>
      </w:tr>
      <w:tr>
        <w:tc>
          <w:tcPr>
            <w:tcW w:type="dxa" w:w="4320"/>
          </w:tcPr>
          <w:p>
            <w:r>
              <w:t>United Arab Emirates</w:t>
            </w:r>
          </w:p>
        </w:tc>
        <w:tc>
          <w:tcPr>
            <w:tcW w:type="dxa" w:w="4320"/>
          </w:tcPr>
          <w:p>
            <w:r>
              <w:t>22.8%</w:t>
            </w:r>
          </w:p>
        </w:tc>
      </w:tr>
      <w:tr>
        <w:tc>
          <w:tcPr>
            <w:tcW w:type="dxa" w:w="4320"/>
          </w:tcPr>
          <w:p>
            <w:r>
              <w:t>Lebanon</w:t>
            </w:r>
          </w:p>
        </w:tc>
        <w:tc>
          <w:tcPr>
            <w:tcW w:type="dxa" w:w="4320"/>
          </w:tcPr>
          <w:p>
            <w:r>
              <w:t>22.4%</w:t>
            </w:r>
          </w:p>
        </w:tc>
      </w:tr>
    </w:tbl>
    <w:p/>
    <w:p>
      <w:pPr>
        <w:pStyle w:val="Heading2"/>
        <w:jc w:val="left"/>
      </w:pPr>
      <w:r>
        <w:t>4.2 Data Visualization</w:t>
      </w:r>
    </w:p>
    <w:p>
      <w:pPr/>
      <w:r>
        <w:t>Three visualizations were produced to support exploratory understanding of the dataset's revenue distribution, temporal patterns, and geographic composition.</w:t>
      </w:r>
    </w:p>
    <w:p>
      <w:pPr>
        <w:jc w:val="center"/>
      </w:pPr>
      <w:r>
        <w:drawing>
          <wp:inline xmlns:a="http://schemas.openxmlformats.org/drawingml/2006/main" xmlns:pic="http://schemas.openxmlformats.org/drawingml/2006/picture">
            <wp:extent cx="5029200" cy="1676400"/>
            <wp:docPr id="1" name="Picture 1"/>
            <wp:cNvGraphicFramePr>
              <a:graphicFrameLocks noChangeAspect="1"/>
            </wp:cNvGraphicFramePr>
            <a:graphic>
              <a:graphicData uri="http://schemas.openxmlformats.org/drawingml/2006/picture">
                <pic:pic>
                  <pic:nvPicPr>
                    <pic:cNvPr id="0" name="totalprice_distribution.png"/>
                    <pic:cNvPicPr/>
                  </pic:nvPicPr>
                  <pic:blipFill>
                    <a:blip r:embed="rId9"/>
                    <a:stretch>
                      <a:fillRect/>
                    </a:stretch>
                  </pic:blipFill>
                  <pic:spPr>
                    <a:xfrm>
                      <a:off x="0" y="0"/>
                      <a:ext cx="5029200" cy="1676400"/>
                    </a:xfrm>
                    <a:prstGeom prst="rect"/>
                  </pic:spPr>
                </pic:pic>
              </a:graphicData>
            </a:graphic>
          </wp:inline>
        </w:drawing>
      </w:r>
    </w:p>
    <w:p>
      <w:pPr>
        <w:jc w:val="center"/>
      </w:pPr>
      <w:r>
        <w:rPr>
          <w:i/>
        </w:rPr>
        <w:t>Figure 1 — Distribution of total line-item price (Quantity × Price) for clean sales. The distribution is heavily right-skewed, indicating that most transactions are small while a small number of bulk orders generate disproportionately high revenue.</w:t>
      </w:r>
    </w:p>
    <w:p>
      <w:pPr>
        <w:jc w:val="center"/>
      </w:pPr>
      <w:r>
        <w:drawing>
          <wp:inline xmlns:a="http://schemas.openxmlformats.org/drawingml/2006/main" xmlns:pic="http://schemas.openxmlformats.org/drawingml/2006/picture">
            <wp:extent cx="5029200" cy="1257300"/>
            <wp:docPr id="2" name="Picture 2"/>
            <wp:cNvGraphicFramePr>
              <a:graphicFrameLocks noChangeAspect="1"/>
            </wp:cNvGraphicFramePr>
            <a:graphic>
              <a:graphicData uri="http://schemas.openxmlformats.org/drawingml/2006/picture">
                <pic:pic>
                  <pic:nvPicPr>
                    <pic:cNvPr id="0" name="seasonality_timing.png"/>
                    <pic:cNvPicPr/>
                  </pic:nvPicPr>
                  <pic:blipFill>
                    <a:blip r:embed="rId10"/>
                    <a:stretch>
                      <a:fillRect/>
                    </a:stretch>
                  </pic:blipFill>
                  <pic:spPr>
                    <a:xfrm>
                      <a:off x="0" y="0"/>
                      <a:ext cx="5029200" cy="1257300"/>
                    </a:xfrm>
                    <a:prstGeom prst="rect"/>
                  </pic:spPr>
                </pic:pic>
              </a:graphicData>
            </a:graphic>
          </wp:inline>
        </w:drawing>
      </w:r>
    </w:p>
    <w:p>
      <w:pPr>
        <w:jc w:val="center"/>
      </w:pPr>
      <w:r>
        <w:rPr>
          <w:i/>
        </w:rPr>
        <w:t>Figure 2 — Seasonality and intra-day timing patterns. Monthly aggregation reveals a pronounced sales peak in the fourth quarter (October–November), consistent with pre-Christmas gift-ware demand. Hour-of-day patterns show peak activity during UK business hours (10:00–14:00).</w:t>
      </w:r>
    </w:p>
    <w:p>
      <w:pPr>
        <w:jc w:val="center"/>
      </w:pPr>
      <w:r>
        <w:drawing>
          <wp:inline xmlns:a="http://schemas.openxmlformats.org/drawingml/2006/main" xmlns:pic="http://schemas.openxmlformats.org/drawingml/2006/picture">
            <wp:extent cx="5029200" cy="1796143"/>
            <wp:docPr id="3" name="Picture 3"/>
            <wp:cNvGraphicFramePr>
              <a:graphicFrameLocks noChangeAspect="1"/>
            </wp:cNvGraphicFramePr>
            <a:graphic>
              <a:graphicData uri="http://schemas.openxmlformats.org/drawingml/2006/picture">
                <pic:pic>
                  <pic:nvPicPr>
                    <pic:cNvPr id="0" name="geographic_insights.png"/>
                    <pic:cNvPicPr/>
                  </pic:nvPicPr>
                  <pic:blipFill>
                    <a:blip r:embed="rId11"/>
                    <a:stretch>
                      <a:fillRect/>
                    </a:stretch>
                  </pic:blipFill>
                  <pic:spPr>
                    <a:xfrm>
                      <a:off x="0" y="0"/>
                      <a:ext cx="5029200" cy="1796143"/>
                    </a:xfrm>
                    <a:prstGeom prst="rect"/>
                  </pic:spPr>
                </pic:pic>
              </a:graphicData>
            </a:graphic>
          </wp:inline>
        </w:drawing>
      </w:r>
    </w:p>
    <w:p>
      <w:pPr>
        <w:jc w:val="center"/>
      </w:pPr>
      <w:r>
        <w:rPr>
          <w:i/>
        </w:rPr>
        <w:t>Figure 3 — Geographic revenue distribution. The United Kingdom accounts for the substantial majority of transactions. European markets (Netherlands, Germany, France, EIRE) are the most significant international segments.</w:t>
      </w:r>
    </w:p>
    <w:p>
      <w:pPr>
        <w:pStyle w:val="Heading2"/>
        <w:jc w:val="left"/>
      </w:pPr>
      <w:r>
        <w:t>4.3 Feature Extraction</w:t>
      </w:r>
    </w:p>
    <w:p>
      <w:pPr/>
      <w:r>
        <w:t>Feature extraction targets two downstream modelling objectives: (a) customer-level segmentation via RFM analysis, and (b) product-level demand characterisation. Features are derived exclusively from the clean-sales subset to avoid contamination from returns, adjustments, or promotional rows.</w:t>
      </w:r>
    </w:p>
    <w:p>
      <w:pPr>
        <w:pStyle w:val="Heading3"/>
        <w:jc w:val="left"/>
      </w:pPr>
      <w:r>
        <w:t>RFM Features (customer level)</w:t>
      </w:r>
    </w:p>
    <w:p>
      <w:r>
        <w:rPr>
          <w:b/>
        </w:rPr>
        <w:t>Table 12 — RFM feature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Definition</w:t>
            </w:r>
          </w:p>
        </w:tc>
        <w:tc>
          <w:tcPr>
            <w:tcW w:type="dxa" w:w="2880"/>
          </w:tcPr>
          <w:p>
            <w:r>
              <w:rPr>
                <w:b/>
              </w:rPr>
              <w:t>Notes</w:t>
            </w:r>
          </w:p>
        </w:tc>
      </w:tr>
      <w:tr>
        <w:tc>
          <w:tcPr>
            <w:tcW w:type="dxa" w:w="2880"/>
          </w:tcPr>
          <w:p>
            <w:r>
              <w:t>Recency</w:t>
            </w:r>
          </w:p>
        </w:tc>
        <w:tc>
          <w:tcPr>
            <w:tcW w:type="dxa" w:w="2880"/>
          </w:tcPr>
          <w:p>
            <w:r>
              <w:t>Days since the customer's most recent purchase (relative to dataset end date)</w:t>
            </w:r>
          </w:p>
        </w:tc>
        <w:tc>
          <w:tcPr>
            <w:tcW w:type="dxa" w:w="2880"/>
          </w:tcPr>
          <w:p>
            <w:r>
              <w:t>Computed per CustomerID; rows with missing CustomerID excluded</w:t>
            </w:r>
          </w:p>
        </w:tc>
      </w:tr>
      <w:tr>
        <w:tc>
          <w:tcPr>
            <w:tcW w:type="dxa" w:w="2880"/>
          </w:tcPr>
          <w:p>
            <w:r>
              <w:t>Frequency</w:t>
            </w:r>
          </w:p>
        </w:tc>
        <w:tc>
          <w:tcPr>
            <w:tcW w:type="dxa" w:w="2880"/>
          </w:tcPr>
          <w:p>
            <w:r>
              <w:t>Total number of distinct invoices associated with the customer</w:t>
            </w:r>
          </w:p>
        </w:tc>
        <w:tc>
          <w:tcPr>
            <w:tcW w:type="dxa" w:w="2880"/>
          </w:tcPr>
          <w:p>
            <w:r>
              <w:t>Invoice-level count; each InvoiceNo counted once per customer</w:t>
            </w:r>
          </w:p>
        </w:tc>
      </w:tr>
      <w:tr>
        <w:tc>
          <w:tcPr>
            <w:tcW w:type="dxa" w:w="2880"/>
          </w:tcPr>
          <w:p>
            <w:r>
              <w:t>Monetary</w:t>
            </w:r>
          </w:p>
        </w:tc>
        <w:tc>
          <w:tcPr>
            <w:tcW w:type="dxa" w:w="2880"/>
          </w:tcPr>
          <w:p>
            <w:r>
              <w:t>Total revenue (sum of Quantity × Price) attributed to the customer</w:t>
            </w:r>
          </w:p>
        </w:tc>
        <w:tc>
          <w:tcPr>
            <w:tcW w:type="dxa" w:w="2880"/>
          </w:tcPr>
          <w:p>
            <w:r>
              <w:t>Gross sales only; returns not netted at this stage</w:t>
            </w:r>
          </w:p>
        </w:tc>
      </w:tr>
    </w:tbl>
    <w:p/>
    <w:p>
      <w:pPr>
        <w:pStyle w:val="Heading3"/>
        <w:jc w:val="left"/>
      </w:pPr>
      <w:r>
        <w:t>Transaction-level Features</w:t>
      </w:r>
    </w:p>
    <w:p>
      <w:r>
        <w:rPr>
          <w:b/>
        </w:rPr>
        <w:t>Table 13 — Transaction-level derived features</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Definition</w:t>
            </w:r>
          </w:p>
        </w:tc>
      </w:tr>
      <w:tr>
        <w:tc>
          <w:tcPr>
            <w:tcW w:type="dxa" w:w="4320"/>
          </w:tcPr>
          <w:p>
            <w:r>
              <w:t>TotalPrice (= Quantity × UnitPrice)</w:t>
            </w:r>
          </w:p>
        </w:tc>
        <w:tc>
          <w:tcPr>
            <w:tcW w:type="dxa" w:w="4320"/>
          </w:tcPr>
          <w:p>
            <w:r>
              <w:t>Quantity × UnitPrice per line item</w:t>
            </w:r>
          </w:p>
        </w:tc>
      </w:tr>
      <w:tr>
        <w:tc>
          <w:tcPr>
            <w:tcW w:type="dxa" w:w="4320"/>
          </w:tcPr>
          <w:p>
            <w:r>
              <w:t>Month</w:t>
            </w:r>
          </w:p>
        </w:tc>
        <w:tc>
          <w:tcPr>
            <w:tcW w:type="dxa" w:w="4320"/>
          </w:tcPr>
          <w:p>
            <w:r>
              <w:t>Calendar month of InvoiceDate (1–12)</w:t>
            </w:r>
          </w:p>
        </w:tc>
      </w:tr>
      <w:tr>
        <w:tc>
          <w:tcPr>
            <w:tcW w:type="dxa" w:w="4320"/>
          </w:tcPr>
          <w:p>
            <w:r>
              <w:t>DayOfWeek</w:t>
            </w:r>
          </w:p>
        </w:tc>
        <w:tc>
          <w:tcPr>
            <w:tcW w:type="dxa" w:w="4320"/>
          </w:tcPr>
          <w:p>
            <w:r>
              <w:t>Day of week of InvoiceDate (0 = Monday)</w:t>
            </w:r>
          </w:p>
        </w:tc>
      </w:tr>
      <w:tr>
        <w:tc>
          <w:tcPr>
            <w:tcW w:type="dxa" w:w="4320"/>
          </w:tcPr>
          <w:p>
            <w:r>
              <w:t>Hour</w:t>
            </w:r>
          </w:p>
        </w:tc>
        <w:tc>
          <w:tcPr>
            <w:tcW w:type="dxa" w:w="4320"/>
          </w:tcPr>
          <w:p>
            <w:r>
              <w:t>Hour of InvoiceDate (0–23)</w:t>
            </w:r>
          </w:p>
        </w:tc>
      </w:tr>
      <w:tr>
        <w:tc>
          <w:tcPr>
            <w:tcW w:type="dxa" w:w="4320"/>
          </w:tcPr>
          <w:p>
            <w:r>
              <w:t>IsUK</w:t>
            </w:r>
          </w:p>
        </w:tc>
        <w:tc>
          <w:tcPr>
            <w:tcW w:type="dxa" w:w="4320"/>
          </w:tcPr>
          <w:p>
            <w:r>
              <w:t>Binary indicator: Country == 'United Kingdom'</w:t>
            </w:r>
          </w:p>
        </w:tc>
      </w:tr>
      <w:tr>
        <w:tc>
          <w:tcPr>
            <w:tcW w:type="dxa" w:w="4320"/>
          </w:tcPr>
          <w:p>
            <w:r>
              <w:t>HasCustomerID</w:t>
            </w:r>
          </w:p>
        </w:tc>
        <w:tc>
          <w:tcPr>
            <w:tcW w:type="dxa" w:w="4320"/>
          </w:tcPr>
          <w:p>
            <w:r>
              <w:t>Binary indicator: CustomerID is not missing</w:t>
            </w:r>
          </w:p>
        </w:tc>
      </w:tr>
    </w:tbl>
    <w:p/>
    <w:p>
      <w:pPr>
        <w:pStyle w:val="Heading3"/>
        <w:jc w:val="left"/>
      </w:pPr>
      <w:r>
        <w:t>Product-level Features</w:t>
      </w:r>
    </w:p>
    <w:p>
      <w:pPr/>
      <w:r>
        <w:t>For each StockCode in the clean-sales subset, the following aggregate features are computed across the full observation window:</w:t>
      </w:r>
    </w:p>
    <w:p>
      <w:r>
        <w:rPr>
          <w:b/>
        </w:rPr>
        <w:t>Table 14 — Product-level aggregate features</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Definition</w:t>
            </w:r>
          </w:p>
        </w:tc>
      </w:tr>
      <w:tr>
        <w:tc>
          <w:tcPr>
            <w:tcW w:type="dxa" w:w="4320"/>
          </w:tcPr>
          <w:p>
            <w:r>
              <w:t>TotalQuantitySold</w:t>
            </w:r>
          </w:p>
        </w:tc>
        <w:tc>
          <w:tcPr>
            <w:tcW w:type="dxa" w:w="4320"/>
          </w:tcPr>
          <w:p>
            <w:r>
              <w:t>Sum of Quantity across all clean-sale line items for the product</w:t>
            </w:r>
          </w:p>
        </w:tc>
      </w:tr>
      <w:tr>
        <w:tc>
          <w:tcPr>
            <w:tcW w:type="dxa" w:w="4320"/>
          </w:tcPr>
          <w:p>
            <w:r>
              <w:t>UniqueCustomers</w:t>
            </w:r>
          </w:p>
        </w:tc>
        <w:tc>
          <w:tcPr>
            <w:tcW w:type="dxa" w:w="4320"/>
          </w:tcPr>
          <w:p>
            <w:r>
              <w:t>Count of distinct CustomerIDs that purchased the product</w:t>
            </w:r>
          </w:p>
        </w:tc>
      </w:tr>
      <w:tr>
        <w:tc>
          <w:tcPr>
            <w:tcW w:type="dxa" w:w="4320"/>
          </w:tcPr>
          <w:p>
            <w:r>
              <w:t>UniqueInvoices</w:t>
            </w:r>
          </w:p>
        </w:tc>
        <w:tc>
          <w:tcPr>
            <w:tcW w:type="dxa" w:w="4320"/>
          </w:tcPr>
          <w:p>
            <w:r>
              <w:t>Count of distinct InvoiceNos containing the product</w:t>
            </w:r>
          </w:p>
        </w:tc>
      </w:tr>
      <w:tr>
        <w:tc>
          <w:tcPr>
            <w:tcW w:type="dxa" w:w="4320"/>
          </w:tcPr>
          <w:p>
            <w:r>
              <w:t>AvgUnitPrice (official field name)</w:t>
            </w:r>
          </w:p>
        </w:tc>
        <w:tc>
          <w:tcPr>
            <w:tcW w:type="dxa" w:w="4320"/>
          </w:tcPr>
          <w:p>
            <w:r>
              <w:t>Mean UnitPrice across all clean-sale line items for the product</w:t>
            </w:r>
          </w:p>
        </w:tc>
      </w:tr>
      <w:tr>
        <w:tc>
          <w:tcPr>
            <w:tcW w:type="dxa" w:w="4320"/>
          </w:tcPr>
          <w:p>
            <w:r>
              <w:t>RevenueContribution</w:t>
            </w:r>
          </w:p>
        </w:tc>
        <w:tc>
          <w:tcPr>
            <w:tcW w:type="dxa" w:w="4320"/>
          </w:tcPr>
          <w:p>
            <w:r>
              <w:t>Product's share of total clean-sales revenue (%)</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