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letterhead_name %}{{ letterhead_name }}{% endif %}</w:t>
      </w:r>
    </w:p>
    <w:p>
      <w:r>
        <w:t>{% if letterhead_address %}{{ letterhead_address }}{% endif %}</w:t>
      </w:r>
    </w:p>
    <w:p>
      <w:pPr>
        <w:pStyle w:val="Heading1"/>
        <w:jc w:val="center"/>
      </w:pPr>
      <w:r>
        <w:t>FORM No. MR-3 — SECRETARIAL AUDIT REPORT (skeleton)</w:t>
      </w:r>
    </w:p>
    <w:p>
      <w:r>
        <w:t>For the financial year ended {{ period_ended }}</w:t>
      </w:r>
    </w:p>
    <w:p/>
    <w:p>
      <w:r>
        <w:t>To,</w:t>
      </w:r>
    </w:p>
    <w:p>
      <w:r>
        <w:t>The Members,</w:t>
      </w:r>
    </w:p>
    <w:p>
      <w:r>
        <w:t>{{ company_name }} (CIN: {{ cin }})</w:t>
      </w:r>
    </w:p>
    <w:p>
      <w:r>
        <w:t>{{ registered_address }}</w:t>
      </w:r>
    </w:p>
    <w:p/>
    <w:p>
      <w:r>
        <w:t>We have conducted the secretarial audit of the compliance of applicable statutory provisions and the adherence to good corporate practices by {{ company_name }} (hereinafter called "the Company"). The audit was conducted in a manner that provided us a reasonable basis for evaluating the corporate conducts / statutory compliances and expressing our opinion thereon.</w:t>
      </w:r>
    </w:p>
    <w:p/>
    <w:p>
      <w:r>
        <w:t>Based on our verification of the Company's books, papers, minute books, forms and returns filed and other records maintained by the Company, we hereby report that in our opinion, during the audit period covering the financial year ended {{ period_ended }}, the Company has complied with the statutory provisions listed hereunder:</w:t>
      </w:r>
    </w:p>
    <w:p/>
    <w:p>
      <w:r>
        <w:t>(i) The Companies Act, 2013 and the rules made thereunder;</w:t>
      </w:r>
    </w:p>
    <w:p>
      <w:r>
        <w:t>(ii) The Securities Contracts (Regulation) Act, 1956 and rules;</w:t>
      </w:r>
    </w:p>
    <w:p>
      <w:r>
        <w:t>(iii) The Depositories Act, 1996 and regulations;</w:t>
      </w:r>
    </w:p>
    <w:p>
      <w:r>
        <w:t>(iv) The Foreign Exchange Management Act, 1999 to the extent applicable;</w:t>
      </w:r>
    </w:p>
    <w:p>
      <w:r>
        <w:t>(v) Other laws specifically applicable to the Company as identified by the management: {{ other_applicable_laws }}</w:t>
      </w:r>
    </w:p>
    <w:p/>
    <w:p>
      <w:r>
        <w:t>OBSERVATIONS / QUALIFICATIONS:</w:t>
      </w:r>
    </w:p>
    <w:p>
      <w:r>
        <w:t>{{ observations }}</w:t>
      </w:r>
    </w:p>
    <w:p/>
    <w:p>
      <w:r>
        <w:t>_______________________</w:t>
      </w:r>
    </w:p>
    <w:p>
      <w:r>
        <w:t>{{ pcs_name }}</w:t>
      </w:r>
    </w:p>
    <w:p>
      <w:r>
        <w:t>Practising Company Secretary</w:t>
      </w:r>
    </w:p>
    <w:p>
      <w:r>
        <w:t>Membership No.: {{ pcs_membership_no }} · COP No.: {{ pcs_cop_no }}</w:t>
      </w:r>
    </w:p>
    <w:p>
      <w:r>
        <w:t>Date: {{ document_date }}</w:t>
      </w:r>
    </w:p>
    <w:p>
      <w:r>
        <w:t>Place: {{ place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