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>
          <w:rFonts w:ascii="Arial" w:hAnsi="Arial"/>
          <w:b/>
          <w:bCs/>
          <w:sz w:val="24"/>
          <w:szCs w:val="24"/>
          <w:u w:val="single"/>
        </w:rPr>
        <w:t>Formative 1-</w:t>
      </w:r>
      <w:r>
        <w:rPr>
          <w:rStyle w:val="Strong"/>
          <w:rFonts w:ascii="Arial" w:hAnsi="Arial"/>
          <w:b/>
          <w:bCs/>
          <w:sz w:val="24"/>
          <w:szCs w:val="24"/>
          <w:u w:val="single"/>
        </w:rPr>
        <w:t>Data quality and performance in action</w:t>
      </w:r>
      <w:r>
        <w:rPr>
          <w:rFonts w:ascii="Arial" w:hAnsi="Arial"/>
          <w:b/>
          <w:bCs/>
          <w:sz w:val="24"/>
          <w:szCs w:val="24"/>
          <w:u w:val="single"/>
        </w:rPr>
        <w:t xml:space="preserve"> 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Part 1 – </w:t>
      </w:r>
      <w:r>
        <w:rPr>
          <w:rStyle w:val="Strong"/>
          <w:rFonts w:ascii="Arial" w:hAnsi="Arial"/>
          <w:b/>
          <w:bCs/>
          <w:sz w:val="24"/>
          <w:szCs w:val="24"/>
        </w:rPr>
        <w:t>Data Quality Assessment and Improvement: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The purpose of this report is to conduct a data quality assessment on a dataset consisting of 770 student records, including demographics, gaming habits, and academic performance. The evaluation focused on five core data quality dimensions: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accuracy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completeness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consistency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timeliness</w:t>
      </w:r>
      <w:r>
        <w:rPr>
          <w:rFonts w:ascii="Arial" w:hAnsi="Arial"/>
          <w:b w:val="false"/>
          <w:bCs w:val="false"/>
          <w:sz w:val="24"/>
          <w:szCs w:val="24"/>
        </w:rPr>
        <w:t xml:space="preserve">, and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uniqueness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A major goal of this task was to identify and resolve any issues in data formatting and structure, particularly in the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percentage</w:t>
      </w:r>
      <w:r>
        <w:rPr>
          <w:rFonts w:ascii="Arial" w:hAnsi="Arial"/>
          <w:b w:val="false"/>
          <w:bCs w:val="false"/>
          <w:sz w:val="24"/>
          <w:szCs w:val="24"/>
        </w:rPr>
        <w:t xml:space="preserve"> and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Grade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columns, to ensure the dataset is suitable for analysis or modelling.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As part of the cleaning process, several steps were taken:</w:t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Step 1: Convert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numbered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v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alues in ‘Sex’ Column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The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Sex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column was encoded as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0</w:t>
      </w:r>
      <w:r>
        <w:rPr>
          <w:rFonts w:ascii="Arial" w:hAnsi="Arial"/>
          <w:b w:val="false"/>
          <w:bCs w:val="false"/>
          <w:sz w:val="24"/>
          <w:szCs w:val="24"/>
        </w:rPr>
        <w:t xml:space="preserve"> and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1</w:t>
      </w:r>
      <w:r>
        <w:rPr>
          <w:rFonts w:ascii="Arial" w:hAnsi="Arial"/>
          <w:b w:val="false"/>
          <w:bCs w:val="false"/>
          <w:sz w:val="24"/>
          <w:szCs w:val="24"/>
        </w:rPr>
        <w:t xml:space="preserve">. These values were mapped to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"Female"</w:t>
      </w:r>
      <w:r>
        <w:rPr>
          <w:rFonts w:ascii="Arial" w:hAnsi="Arial"/>
          <w:b w:val="false"/>
          <w:bCs w:val="false"/>
          <w:sz w:val="24"/>
          <w:szCs w:val="24"/>
        </w:rPr>
        <w:t xml:space="preserve"> and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"Male"</w:t>
      </w:r>
      <w:r>
        <w:rPr>
          <w:rFonts w:ascii="Arial" w:hAnsi="Arial"/>
          <w:b w:val="false"/>
          <w:bCs w:val="false"/>
          <w:sz w:val="24"/>
          <w:szCs w:val="24"/>
        </w:rPr>
        <w:t xml:space="preserve"> respectively, assuming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1</w:t>
      </w:r>
      <w:r>
        <w:rPr>
          <w:rFonts w:ascii="Arial" w:hAnsi="Arial"/>
          <w:b w:val="false"/>
          <w:bCs w:val="false"/>
          <w:sz w:val="24"/>
          <w:szCs w:val="24"/>
        </w:rPr>
        <w:t xml:space="preserve"> = Male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0</w:t>
      </w:r>
      <w:r>
        <w:rPr>
          <w:rFonts w:ascii="Arial" w:hAnsi="Arial"/>
          <w:b w:val="false"/>
          <w:bCs w:val="false"/>
          <w:sz w:val="24"/>
          <w:szCs w:val="24"/>
        </w:rPr>
        <w:t xml:space="preserve"> = Female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spacing w:before="0" w:after="283"/>
        <w:ind w:hanging="0" w:left="0"/>
        <w:jc w:val="center"/>
        <w:rPr/>
      </w:pPr>
      <w:r>
        <w:rPr>
          <w:rStyle w:val="SourceText"/>
          <w:rFonts w:ascii="Arial" w:hAnsi="Arial"/>
          <w:b w:val="false"/>
          <w:bCs w:val="false"/>
          <w:i/>
          <w:iCs/>
          <w:color w:val="auto"/>
          <w:kern w:val="2"/>
          <w:sz w:val="24"/>
          <w:szCs w:val="24"/>
          <w:lang w:val="en-GB" w:eastAsia="zh-CN" w:bidi="hi-IN"/>
        </w:rPr>
        <w:t>=IF(A2=1,"Male",IF(A2=0,"Female","Check Value"))</w:t>
      </w:r>
    </w:p>
    <w:p>
      <w:pPr>
        <w:pStyle w:val="Normal"/>
        <w:tabs>
          <w:tab w:val="left" w:pos="709" w:leader="none"/>
        </w:tabs>
        <w:bidi w:val="0"/>
        <w:ind w:hanging="283" w:left="709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rong"/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Step 2: Percentage Column Cleaning: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ind w:hanging="283" w:left="709"/>
        <w:jc w:val="left"/>
        <w:rPr>
          <w:rFonts w:ascii="Arial" w:hAnsi="Arial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A new column was created to detect formatting errors: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SourceText"/>
          <w:rFonts w:ascii="Arial" w:hAnsi="Arial"/>
          <w:b w:val="false"/>
          <w:bCs w:val="false"/>
          <w:i/>
          <w:iCs/>
          <w:sz w:val="24"/>
          <w:szCs w:val="24"/>
        </w:rPr>
        <w:t>=IF(ISERROR(VALUE(SUBSTITUTE(SUBSTITUTE(K2;",";".");"%";""))), "ERROR", "OK")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ind w:hanging="283" w:left="709"/>
        <w:jc w:val="left"/>
        <w:rPr>
          <w:rFonts w:ascii="Arial" w:hAnsi="Arial" w:eastAsia="NSimSun" w:cs="Lucida Sans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A second formula was applied to clean and normalize the values: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jc w:val="center"/>
        <w:rPr/>
      </w:pPr>
      <w:r>
        <w:rPr>
          <w:rStyle w:val="SourceText"/>
          <w:rFonts w:ascii="Arial" w:hAnsi="Arial"/>
          <w:b w:val="false"/>
          <w:bCs w:val="false"/>
          <w:i/>
          <w:iCs/>
          <w:sz w:val="24"/>
          <w:szCs w:val="24"/>
        </w:rPr>
        <w:t>=IF(L2="ERROR", IF(ISNUMBER(SEARCH("..",J2)), VALUE(SUBSTITUTE(SUBSTITUTE(SUBSTITUTE(J2,"..","."),",","."),"%",""))/100, "CHECK MANUALLY"), VALUE(SUBSTITUTE(SUBSTITUTE(J2,",","."),"%",""))/100)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This formula checks if cell L2 contains "ERROR"; if so, it further checks if cell J2 contains a double dot, and if it does, cleans and converts J2 to a percentage, otherwise flags it for manual check; if L2 is not "ERROR", it cleans and converts J2 to a percentage.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left="0"/>
        <w:jc w:val="left"/>
        <w:rPr/>
      </w:pPr>
      <w:r>
        <w:rPr>
          <w:rStyle w:val="Strong"/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Step 3: Missing Value Detection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Using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Find &amp; Replace</w:t>
      </w:r>
      <w:r>
        <w:rPr>
          <w:rFonts w:ascii="Arial" w:hAnsi="Arial"/>
          <w:b w:val="false"/>
          <w:bCs w:val="false"/>
          <w:sz w:val="24"/>
          <w:szCs w:val="24"/>
        </w:rPr>
        <w:t xml:space="preserve"> with regular expressions (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^$</w:t>
      </w:r>
      <w:r>
        <w:rPr>
          <w:rFonts w:ascii="Arial" w:hAnsi="Arial"/>
          <w:b w:val="false"/>
          <w:bCs w:val="false"/>
          <w:sz w:val="24"/>
          <w:szCs w:val="24"/>
        </w:rPr>
        <w:t>), empty cells were searched across the dataset. No missing values were found in the clean data.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Through these steps, data types were corrected, formatting inconsistencies were resolved, and the dataset was verified for completeness and uniqueness. While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timeliness</w:t>
      </w:r>
      <w:r>
        <w:rPr>
          <w:rFonts w:ascii="Arial" w:hAnsi="Arial"/>
          <w:b w:val="false"/>
          <w:bCs w:val="false"/>
          <w:sz w:val="24"/>
          <w:szCs w:val="24"/>
        </w:rPr>
        <w:t xml:space="preserve"> and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accuracy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could not be fully assessed due to limited metadata, the dataset is now well-structured and ready for use.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Before: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5570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During Clean: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38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Error: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34290</wp:posOffset>
            </wp:positionV>
            <wp:extent cx="6120130" cy="2228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Clean: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59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 xml:space="preserve">Part 2 – </w:t>
      </w:r>
      <w:r>
        <w:rPr>
          <w:rStyle w:val="Strong"/>
          <w:rFonts w:ascii="Arial" w:hAnsi="Arial"/>
          <w:b/>
          <w:bCs/>
          <w:sz w:val="24"/>
          <w:szCs w:val="24"/>
        </w:rPr>
        <w:t>Database Schema Design with SQL as a DDL</w:t>
      </w: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This schema is designed to analyse the relationship between students' gaming habits and their academic performance. It uses a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star schema</w:t>
      </w:r>
      <w:r>
        <w:rPr>
          <w:rFonts w:ascii="Arial" w:hAnsi="Arial"/>
          <w:b w:val="false"/>
          <w:bCs w:val="false"/>
          <w:sz w:val="24"/>
          <w:szCs w:val="24"/>
        </w:rPr>
        <w:t>, which is optimized for analytical queries, with one central fact table linked to multiple dimension tables.</w:t>
      </w:r>
    </w:p>
    <w:p>
      <w:pPr>
        <w:pStyle w:val="Heading2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Fact Table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fact_grades</w:t>
      </w:r>
      <w:r>
        <w:rPr>
          <w:rFonts w:ascii="Arial" w:hAnsi="Arial"/>
          <w:b w:val="false"/>
          <w:bCs w:val="false"/>
          <w:sz w:val="24"/>
          <w:szCs w:val="24"/>
        </w:rPr>
        <w:t>: Stores academic performance data (grades and percentages) along with foreign keys to all dimensions.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Fields</w:t>
      </w:r>
      <w:r>
        <w:rPr>
          <w:rFonts w:ascii="Arial" w:hAnsi="Arial"/>
          <w:b w:val="false"/>
          <w:bCs w:val="false"/>
          <w:sz w:val="24"/>
          <w:szCs w:val="24"/>
        </w:rPr>
        <w:t xml:space="preserve">: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grade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percentage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error_flag</w:t>
      </w:r>
      <w:r>
        <w:rPr>
          <w:rFonts w:ascii="Arial" w:hAnsi="Arial"/>
          <w:b w:val="false"/>
          <w:bCs w:val="false"/>
          <w:sz w:val="24"/>
          <w:szCs w:val="24"/>
        </w:rPr>
        <w:t xml:space="preserve"> (data validation).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Connections</w:t>
      </w:r>
      <w:r>
        <w:rPr>
          <w:rFonts w:ascii="Arial" w:hAnsi="Arial"/>
          <w:b w:val="false"/>
          <w:bCs w:val="false"/>
          <w:sz w:val="24"/>
          <w:szCs w:val="24"/>
        </w:rPr>
        <w:t>: Links to student, school, parent background, and gaming habits.</w:t>
      </w:r>
    </w:p>
    <w:p>
      <w:pPr>
        <w:pStyle w:val="Heading2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Dimension Tables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dim_student</w:t>
      </w:r>
      <w:r>
        <w:rPr>
          <w:rFonts w:ascii="Arial" w:hAnsi="Arial"/>
          <w:b w:val="false"/>
          <w:bCs w:val="false"/>
          <w:sz w:val="24"/>
          <w:szCs w:val="24"/>
        </w:rPr>
        <w:t>: Contains student demographics (sex).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dim_school</w:t>
      </w:r>
      <w:r>
        <w:rPr>
          <w:rFonts w:ascii="Arial" w:hAnsi="Arial"/>
          <w:b w:val="false"/>
          <w:bCs w:val="false"/>
          <w:sz w:val="24"/>
          <w:szCs w:val="24"/>
        </w:rPr>
        <w:t>: Lists schools (only school codes in the dataset).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dim_parent_background</w:t>
      </w:r>
      <w:r>
        <w:rPr>
          <w:rFonts w:ascii="Arial" w:hAnsi="Arial"/>
          <w:b w:val="false"/>
          <w:bCs w:val="false"/>
          <w:sz w:val="24"/>
          <w:szCs w:val="24"/>
        </w:rPr>
        <w:t>: Tracks parental education (0-10 scale) and income (1-4 scale).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dim_gaming_habits</w:t>
      </w:r>
      <w:r>
        <w:rPr>
          <w:rFonts w:ascii="Arial" w:hAnsi="Arial"/>
          <w:b w:val="false"/>
          <w:bCs w:val="false"/>
          <w:sz w:val="24"/>
          <w:szCs w:val="24"/>
        </w:rPr>
        <w:t>: Records gaming behavior: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playing_years</w:t>
      </w:r>
      <w:r>
        <w:rPr>
          <w:rFonts w:ascii="Arial" w:hAnsi="Arial"/>
          <w:b w:val="false"/>
          <w:bCs w:val="false"/>
          <w:sz w:val="24"/>
          <w:szCs w:val="24"/>
        </w:rPr>
        <w:t xml:space="preserve"> (0-4 years),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playing_often</w:t>
      </w:r>
      <w:r>
        <w:rPr>
          <w:rFonts w:ascii="Arial" w:hAnsi="Arial"/>
          <w:b w:val="false"/>
          <w:bCs w:val="false"/>
          <w:sz w:val="24"/>
          <w:szCs w:val="24"/>
        </w:rPr>
        <w:t xml:space="preserve"> (0-5 frequency scale),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playing_hours</w:t>
      </w:r>
      <w:r>
        <w:rPr>
          <w:rFonts w:ascii="Arial" w:hAnsi="Arial"/>
          <w:b w:val="false"/>
          <w:bCs w:val="false"/>
          <w:sz w:val="24"/>
          <w:szCs w:val="24"/>
        </w:rPr>
        <w:t xml:space="preserve"> (0-5 session length scale).</w:t>
      </w:r>
    </w:p>
    <w:p>
      <w:pPr>
        <w:pStyle w:val="Heading2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This schema allows for analysis of how gaming habits (frequency, duration) affect grades while controlling for factors like parental education and school differences.</w:t>
      </w:r>
    </w:p>
    <w:p>
      <w:pPr>
        <w:pStyle w:val="Heading2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Key Features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Star schema</w:t>
      </w:r>
      <w:r>
        <w:rPr>
          <w:rFonts w:ascii="Arial" w:hAnsi="Arial"/>
          <w:b w:val="false"/>
          <w:bCs w:val="false"/>
          <w:sz w:val="24"/>
          <w:szCs w:val="24"/>
        </w:rPr>
        <w:t xml:space="preserve"> for faster queries.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Constraints</w:t>
      </w:r>
      <w:r>
        <w:rPr>
          <w:rFonts w:ascii="Arial" w:hAnsi="Arial"/>
          <w:b w:val="false"/>
          <w:bCs w:val="false"/>
          <w:sz w:val="24"/>
          <w:szCs w:val="24"/>
        </w:rPr>
        <w:t>: Ensures data validity (e.g., parental education between 0-10).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Indexes</w:t>
      </w:r>
      <w:r>
        <w:rPr>
          <w:rFonts w:ascii="Arial" w:hAnsi="Arial"/>
          <w:b w:val="false"/>
          <w:bCs w:val="false"/>
          <w:sz w:val="24"/>
          <w:szCs w:val="24"/>
        </w:rPr>
        <w:t>: Improves query performance on joins.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During query execution, an unresolved error was identified in column 365. Due to the isolated nature of this instance, a manual correction was implemented. However, upon review, it is acknowledged that this issue should have been addressed during the data cleansing phase, particularly considering developing proficiencies in SQL.</w:t>
      </w:r>
    </w:p>
    <w:p>
      <w:pPr>
        <w:pStyle w:val="BodyTex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SQLite Steps:</w:t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/>
      </w:pPr>
      <w:r>
        <w:rPr>
          <w:rFonts w:ascii="Arial" w:hAnsi="Arial"/>
          <w:b w:val="false"/>
          <w:bCs w:val="false"/>
        </w:rPr>
        <w:t xml:space="preserve">Before creating the schema, enabling foreign key enforcement in SQLite is necessary as it's disabled by default: </w:t>
      </w:r>
      <w:r>
        <w:rPr>
          <w:rStyle w:val="SourceText"/>
          <w:rFonts w:ascii="Arial" w:hAnsi="Arial"/>
          <w:b w:val="false"/>
          <w:bCs w:val="false"/>
        </w:rPr>
        <w:t>PRAGMA foreign_keys = ON;</w:t>
      </w:r>
    </w:p>
    <w:p>
      <w:pPr>
        <w:pStyle w:val="Heading2"/>
        <w:keepNext w:val="true"/>
        <w:widowControl/>
        <w:suppressAutoHyphens w:val="true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Create Schema:</w:t>
      </w:r>
    </w:p>
    <w:p>
      <w:pPr>
        <w:pStyle w:val="BodyText"/>
        <w:widowControl/>
        <w:suppressAutoHyphens w:val="true"/>
        <w:bidi w:val="0"/>
        <w:jc w:val="left"/>
        <w:rPr>
          <w:rFonts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</w:pPr>
      <w:r>
        <w:rPr>
          <w:rFonts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710" cy="382905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uppressAutoHyphens w:val="true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Create fact_table:</w:t>
      </w:r>
    </w:p>
    <w:p>
      <w:pPr>
        <w:pStyle w:val="BodyText"/>
        <w:widowControl/>
        <w:suppressAutoHyphens w:val="true"/>
        <w:bidi w:val="0"/>
        <w:jc w:val="left"/>
        <w:rPr>
          <w:rFonts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</w:pPr>
      <w:r>
        <w:rPr>
          <w:rFonts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251460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uppressAutoHyphens w:val="true"/>
        <w:bidi w:val="0"/>
        <w:jc w:val="left"/>
        <w:rPr>
          <w:rFonts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</w:pPr>
      <w:r>
        <w:rPr>
          <w:rFonts w:ascii="Arial" w:hAnsi="Arial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Load and transform data:</w:t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645096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645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Example Use Case</w:t>
      </w:r>
    </w:p>
    <w:p>
      <w:pPr>
        <w:pStyle w:val="BodyText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A query could compare grades between frequent gamers (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playing_often ≥ 4</w:t>
      </w:r>
      <w:r>
        <w:rPr>
          <w:rFonts w:ascii="Arial" w:hAnsi="Arial"/>
          <w:b w:val="false"/>
          <w:bCs w:val="false"/>
          <w:sz w:val="24"/>
          <w:szCs w:val="24"/>
        </w:rPr>
        <w:t>) and non-gamers (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playing_years = 0</w:t>
      </w:r>
      <w:r>
        <w:rPr>
          <w:rFonts w:ascii="Arial" w:hAnsi="Arial"/>
          <w:b w:val="false"/>
          <w:bCs w:val="false"/>
          <w:sz w:val="24"/>
          <w:szCs w:val="24"/>
        </w:rPr>
        <w:t>) while filtering by parental education level.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1185" cy="172402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143827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779145</wp:posOffset>
            </wp:positionH>
            <wp:positionV relativeFrom="paragraph">
              <wp:posOffset>1388110</wp:posOffset>
            </wp:positionV>
            <wp:extent cx="4429125" cy="189547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LibreOffice/24.8.5.2$Windows_X86_64 LibreOffice_project/fddf2685c70b461e7832239a0162a77216259f22</Application>
  <AppVersion>15.0000</AppVersion>
  <Pages>7</Pages>
  <Words>583</Words>
  <Characters>3518</Characters>
  <CharactersWithSpaces>4041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2025-04-07T22:33:00Z</dcterms:created>
  <dc:creator/>
  <dc:description/>
  <dc:language>en-GB</dc:language>
  <cp:lastModifiedBy/>
  <dcterms:modified xsi:type="dcterms:W3CDTF">2025-04-09T14:19:53Z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