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120"/>
      </w:pPr>
      <w:r>
        <w:drawing>
          <wp:inline distT="0" distB="0" distL="0" distR="0">
            <wp:extent cx="2857500" cy="18602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60206"/>
                    </a:xfrm>
                    <a:prstGeom prst="rect">
                      <a:avLst/>
                    </a:prstGeom>
                  </pic:spPr>
                </pic:pic>
              </a:graphicData>
            </a:graphic>
          </wp:inline>
        </w:drawing>
      </w:r>
    </w:p>
    <w:p>
      <w:pPr>
        <w:spacing w:after="80" w:before="200"/>
      </w:pPr>
      <w:r>
        <w:rPr>
          <w:rFonts w:ascii="Times New Roman" w:cs="Times New Roman" w:eastAsia="Times New Roman" w:hAnsi="Times New Roman"/>
          <w:b/>
          <w:bCs/>
          <w:sz w:val="56"/>
          <w:szCs w:val="56"/>
        </w:rPr>
        <w:t xml:space="preserve">Brand Identity Guidelines</w:t>
      </w:r>
    </w:p>
    <w:p>
      <w:pPr>
        <w:spacing w:after="60"/>
      </w:pPr>
      <w:r>
        <w:rPr>
          <w:color w:val="4A4A4A"/>
          <w:sz w:val="20"/>
          <w:szCs w:val="20"/>
        </w:rPr>
        <w:t xml:space="preserve">Logo · Colour · Typography · Graphic language · Naming</w:t>
      </w:r>
    </w:p>
    <w:p>
      <w:pPr>
        <w:spacing w:before="1800"/>
      </w:pPr>
      <w:r>
        <w:rPr>
          <w:rFonts w:ascii="Times New Roman" w:cs="Times New Roman" w:eastAsia="Times New Roman" w:hAnsi="Times New Roman"/>
          <w:i/>
          <w:iCs/>
          <w:sz w:val="28"/>
          <w:szCs w:val="28"/>
        </w:rPr>
        <w:t xml:space="preserve">We do things again. Better.</w:t>
      </w:r>
    </w:p>
    <w:p>
      <w:pPr>
        <w:spacing w:before="120"/>
      </w:pPr>
      <w:r>
        <w:rPr>
          <w:color w:val="4A4A4A"/>
          <w:sz w:val="18"/>
          <w:szCs w:val="18"/>
        </w:rPr>
        <w:t xml:space="preserve">Re. LLC · Abu Dhabi, UAE · Version 1.0 · September 2026</w:t>
      </w:r>
    </w:p>
    <w:p>
      <w:r>
        <w:br w:type="page"/>
      </w:r>
    </w:p>
    <w:p>
      <w:pPr>
        <w:pStyle w:val="Heading1"/>
        <w:spacing w:after="160" w:before="360"/>
      </w:pPr>
      <w:r>
        <w:rPr>
          <w:color w:val="D4AF37"/>
        </w:rPr>
        <w:t xml:space="preserve">01  </w:t>
      </w:r>
      <w:r>
        <w:t xml:space="preserve">The mark</w:t>
      </w:r>
    </w:p>
    <w:p>
      <w:pPr>
        <w:spacing w:after="220" w:line="320"/>
      </w:pPr>
      <w:r>
        <w:rPr>
          <w:rFonts w:ascii="Times New Roman" w:cs="Times New Roman" w:eastAsia="Times New Roman" w:hAnsi="Times New Roman"/>
          <w:i/>
          <w:iCs/>
          <w:color w:val="4A4A4A"/>
          <w:sz w:val="26"/>
          <w:szCs w:val="26"/>
        </w:rPr>
        <w:t xml:space="preserve">Two letters of serif authority, and a gold dot where the decision lands.</w:t>
      </w:r>
    </w:p>
    <w:p>
      <w:pPr>
        <w:spacing w:after="140" w:line="300"/>
      </w:pPr>
      <w:r>
        <w:t xml:space="preserve">The Re. wordmark is the only logo. It is set in a bold, high-contrast serif in Times-Bold territory; the full stop is a solid gold circle sitting on the baseline. The typography carries heritage and intellect; the dot carries decision and value. Nothing else is added — no symbol, no descriptor lock-up, no strapline inside the mark.</w:t>
      </w:r>
    </w:p>
    <w:p>
      <w:pPr>
        <w:spacing w:after="140" w:line="300"/>
      </w:pPr>
      <w:r>
        <w:t xml:space="preserve">The name carries three meanings at once: the prefix of change (rethink, rebuild, reposition), the formal 'Re:' — in the matter of your business — and the full stop, which marks the moment analysis ends and action begins.</w:t>
      </w:r>
    </w:p>
    <w:p>
      <w:pPr>
        <w:pStyle w:val="Heading2"/>
        <w:spacing w:after="100" w:before="240"/>
      </w:pPr>
      <w:r>
        <w:t xml:space="preserve">Primary wordmark — Re. Noir on white or ivory</w:t>
      </w:r>
    </w:p>
    <w:p>
      <w:pPr>
        <w:spacing w:after="200" w:before="120"/>
      </w:pPr>
      <w:r>
        <w:drawing>
          <wp:inline distT="0" distB="0" distL="0" distR="0">
            <wp:extent cx="3048000" cy="19842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984220"/>
                    </a:xfrm>
                    <a:prstGeom prst="rect">
                      <a:avLst/>
                    </a:prstGeom>
                  </pic:spPr>
                </pic:pic>
              </a:graphicData>
            </a:graphic>
          </wp:inline>
        </w:drawing>
      </w:r>
    </w:p>
    <w:p>
      <w:pPr>
        <w:pStyle w:val="Heading2"/>
        <w:spacing w:after="100" w:before="240"/>
      </w:pPr>
      <w:r>
        <w:t xml:space="preserve">Reverse wordmark — Paper White on Re. Noir</w:t>
      </w:r>
    </w:p>
    <w:p>
      <w:pPr>
        <w:spacing w:after="200" w:before="120"/>
      </w:pPr>
      <w:r>
        <w:drawing>
          <wp:inline distT="0" distB="0" distL="0" distR="0">
            <wp:extent cx="3048000" cy="19842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984220"/>
                    </a:xfrm>
                    <a:prstGeom prst="rect">
                      <a:avLst/>
                    </a:prstGeom>
                  </pic:spPr>
                </pic:pic>
              </a:graphicData>
            </a:graphic>
          </wp:inline>
        </w:drawing>
      </w:r>
    </w:p>
    <w:p>
      <w:pPr>
        <w:spacing w:after="140" w:line="300"/>
      </w:pPr>
      <w:r>
        <w:t xml:space="preserve">In both versions the dot is always Re. Gold #D4AF37. It never changes to black, white or grey, and it is never dropped.</w:t>
      </w:r>
    </w:p>
    <w:p>
      <w:pPr>
        <w:pStyle w:val="Heading2"/>
        <w:spacing w:after="100" w:before="240"/>
      </w:pPr>
      <w:r>
        <w:t xml:space="preserve">Secondary mark — the gold dot monogram</w:t>
      </w:r>
    </w:p>
    <w:p>
      <w:pPr>
        <w:spacing w:after="200" w:before="12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p>
      <w:pPr>
        <w:spacing w:after="140" w:line="300"/>
      </w:pPr>
      <w:r>
        <w:t xml:space="preserve">The dot alone is the official secondary mark: favicon, app icon, wayfinding, pattern unit, chart emphasis and section marker. It supports the wordmark; it does not replace it on any surface where the audience may not yet know Re.</w:t>
      </w:r>
    </w:p>
    <w:p>
      <w:pPr>
        <w:pStyle w:val="Heading1"/>
        <w:spacing w:after="160" w:before="360"/>
      </w:pPr>
      <w:r>
        <w:rPr>
          <w:color w:val="D4AF37"/>
        </w:rPr>
        <w:t xml:space="preserve">02  </w:t>
      </w:r>
      <w:r>
        <w:t xml:space="preserve">Logo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Rule</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Standard</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Clear space</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Minimum clear space on all four sides equals twice the diameter of the gold dot. Nothing — type, imagery, rules, other logos — enters this zone. The supplied files already include this space.</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Minimum size</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Digital: 24 px high (approx. 50 px wide). Print: 8 mm wide. Below this, use the dot monogram.</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Backgrounds</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Noir wordmark on Paper White, Ivory or light photography. White wordmark on Re. Noir or dark photography. Never on mid-tones, gold, or busy imagery.</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Placement</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Top-left or bottom-left on documents; centred on covers and avatars; small and quiet on slides — the content is the hero, not the logo.</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Proportion</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Scale the wordmark as one object. The relationship between letters and dot is fixed and never adjusted.</w:t>
            </w:r>
          </w:p>
        </w:tc>
      </w:tr>
      <w:tr>
        <w:trPr>
          <w:cantSplit/>
        </w:trPr>
        <w:tc>
          <w:tcPr>
            <w:tcW w:type="dxa" w:w="22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Files</w:t>
            </w:r>
          </w:p>
        </w:tc>
        <w:tc>
          <w:tcPr>
            <w:tcW w:type="dxa" w:w="71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Always use the supplied SVG or PNG. Never retype 'Re.' in a font and add a period — the dot is a drawn circle, not a typographic full stop.</w:t>
            </w:r>
          </w:p>
        </w:tc>
      </w:tr>
    </w:tbl>
    <w:p>
      <w:pPr>
        <w:pStyle w:val="Heading2"/>
        <w:spacing w:after="100" w:before="240"/>
      </w:pPr>
      <w:r>
        <w:t xml:space="preserve">Misuse — never</w:t>
      </w:r>
    </w:p>
    <w:p>
      <w:pPr>
        <w:pStyle w:val="ListParagraph"/>
        <w:numPr>
          <w:ilvl w:val="0"/>
          <w:numId w:val="2"/>
        </w:numPr>
        <w:spacing w:after="80" w:line="290"/>
      </w:pPr>
      <w:r>
        <w:t xml:space="preserve">Stretch, condense, rotate, outline or add a drop shadow, gradient or bevel.</w:t>
      </w:r>
    </w:p>
    <w:p>
      <w:pPr>
        <w:pStyle w:val="ListParagraph"/>
        <w:numPr>
          <w:ilvl w:val="0"/>
          <w:numId w:val="2"/>
        </w:numPr>
        <w:spacing w:after="80" w:line="290"/>
      </w:pPr>
      <w:r>
        <w:t xml:space="preserve">Recolour the letters (no gold letters, no grey letters) or recolour the dot.</w:t>
      </w:r>
    </w:p>
    <w:p>
      <w:pPr>
        <w:pStyle w:val="ListParagraph"/>
        <w:numPr>
          <w:ilvl w:val="0"/>
          <w:numId w:val="2"/>
        </w:numPr>
        <w:spacing w:after="80" w:line="290"/>
      </w:pPr>
      <w:r>
        <w:t xml:space="preserve">Place a symbol, icon, cutlery, chef hat, building, globe or arrow beside the mark.</w:t>
      </w:r>
    </w:p>
    <w:p>
      <w:pPr>
        <w:pStyle w:val="ListParagraph"/>
        <w:numPr>
          <w:ilvl w:val="0"/>
          <w:numId w:val="2"/>
        </w:numPr>
        <w:spacing w:after="80" w:line="290"/>
      </w:pPr>
      <w:r>
        <w:t xml:space="preserve">Lock a tagline or descriptor into the logo artwork. Taglines sit separately, in the body typeface.</w:t>
      </w:r>
    </w:p>
    <w:p>
      <w:pPr>
        <w:pStyle w:val="ListParagraph"/>
        <w:numPr>
          <w:ilvl w:val="0"/>
          <w:numId w:val="2"/>
        </w:numPr>
        <w:spacing w:after="80" w:line="290"/>
      </w:pPr>
      <w:r>
        <w:t xml:space="preserve">Set the wordmark in any other typeface, or use 'Re' without the dot.</w:t>
      </w:r>
    </w:p>
    <w:p>
      <w:pPr>
        <w:pStyle w:val="ListParagraph"/>
        <w:numPr>
          <w:ilvl w:val="0"/>
          <w:numId w:val="2"/>
        </w:numPr>
        <w:spacing w:after="80" w:line="290"/>
      </w:pPr>
      <w:r>
        <w:t xml:space="preserve">Use the wordmark inside a box, circle or frame, or on a photograph without sufficient contrast.</w:t>
      </w:r>
    </w:p>
    <w:p>
      <w:r>
        <w:br w:type="page"/>
      </w:r>
    </w:p>
    <w:p>
      <w:pPr>
        <w:pStyle w:val="Heading1"/>
        <w:spacing w:after="160" w:before="360"/>
      </w:pPr>
      <w:r>
        <w:rPr>
          <w:color w:val="D4AF37"/>
        </w:rPr>
        <w:t xml:space="preserve">03  </w:t>
      </w:r>
      <w:r>
        <w:t xml:space="preserve">Colour</w:t>
      </w:r>
    </w:p>
    <w:p>
      <w:pPr>
        <w:spacing w:after="220" w:line="320"/>
      </w:pPr>
      <w:r>
        <w:rPr>
          <w:rFonts w:ascii="Times New Roman" w:cs="Times New Roman" w:eastAsia="Times New Roman" w:hAnsi="Times New Roman"/>
          <w:i/>
          <w:iCs/>
          <w:color w:val="4A4A4A"/>
          <w:sz w:val="26"/>
          <w:szCs w:val="26"/>
        </w:rPr>
        <w:t xml:space="preserve">The brand lives in black, white and warm neutrals. Gold is scarce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200"/>
        <w:gridCol w:w="1500"/>
        <w:gridCol w:w="1200"/>
        <w:gridCol w:w="3260"/>
      </w:tblGrid>
      <w:tr>
        <w:trPr>
          <w:tblHeader/>
        </w:trPr>
        <w:tc>
          <w:tcPr>
            <w:tcW w:type="dxa" w:w="7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Colour</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HEX</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RGB</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CMYK</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bCs/>
                <w:color w:val="4A4A4A"/>
                <w:sz w:val="18"/>
                <w:szCs w:val="18"/>
              </w:rPr>
              <w:t xml:space="preserve">Role</w:t>
            </w:r>
          </w:p>
        </w:tc>
      </w:tr>
      <w:tr>
        <w:tc>
          <w:tcPr>
            <w:tcW w:type="dxa" w:w="700"/>
            <w:tcBorders>
              <w:top w:val="none" w:sz="0"/>
              <w:left w:val="none" w:sz="0"/>
              <w:bottom w:val="single" w:color="C8C0B0" w:sz="4"/>
              <w:right w:val="none" w:sz="0"/>
            </w:tcBorders>
            <w:shd w:fill="0A0A0A"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Re. Noir</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#0A0A0A</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10 · 10 · 10</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0/0/0/96</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Primary. Type, backgrounds, authority.</w:t>
            </w:r>
          </w:p>
        </w:tc>
      </w:tr>
      <w:tr>
        <w:tc>
          <w:tcPr>
            <w:tcW w:type="dxa" w:w="700"/>
            <w:tcBorders>
              <w:top w:val="none" w:sz="0"/>
              <w:left w:val="none" w:sz="0"/>
              <w:bottom w:val="single" w:color="C8C0B0" w:sz="4"/>
              <w:right w:val="none" w:sz="0"/>
            </w:tcBorders>
            <w:shd w:fill="FFFFFF"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Paper White</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#FFFFFF</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255 · 255 · 255</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0/0/0/0</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Primary background, reverse type.</w:t>
            </w:r>
          </w:p>
        </w:tc>
      </w:tr>
      <w:tr>
        <w:tc>
          <w:tcPr>
            <w:tcW w:type="dxa" w:w="700"/>
            <w:tcBorders>
              <w:top w:val="none" w:sz="0"/>
              <w:left w:val="none" w:sz="0"/>
              <w:bottom w:val="single" w:color="C8C0B0" w:sz="4"/>
              <w:right w:val="none" w:sz="0"/>
            </w:tcBorders>
            <w:shd w:fill="F6F2EA"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Ivory</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#F6F2EA</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246 · 242 · 234</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3/3/8/0</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Warm background for documents and slides.</w:t>
            </w:r>
          </w:p>
        </w:tc>
      </w:tr>
      <w:tr>
        <w:tc>
          <w:tcPr>
            <w:tcW w:type="dxa" w:w="700"/>
            <w:tcBorders>
              <w:top w:val="none" w:sz="0"/>
              <w:left w:val="none" w:sz="0"/>
              <w:bottom w:val="single" w:color="C8C0B0" w:sz="4"/>
              <w:right w:val="none" w:sz="0"/>
            </w:tcBorders>
            <w:shd w:fill="C8C0B0"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Stone</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#C8C0B0</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200 · 192 · 176</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22/20/30/0</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Secondary neutral, rules, charts.</w:t>
            </w:r>
          </w:p>
        </w:tc>
      </w:tr>
      <w:tr>
        <w:tc>
          <w:tcPr>
            <w:tcW w:type="dxa" w:w="700"/>
            <w:tcBorders>
              <w:top w:val="none" w:sz="0"/>
              <w:left w:val="none" w:sz="0"/>
              <w:bottom w:val="single" w:color="C8C0B0" w:sz="4"/>
              <w:right w:val="none" w:sz="0"/>
            </w:tcBorders>
            <w:shd w:fill="D4AF37"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Re. Gold</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#D4AF37</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212 · 175 · 55</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18/28/85/2</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Signature accent. The dot, one key figure, one highlight per page.</w:t>
            </w:r>
          </w:p>
        </w:tc>
      </w:tr>
      <w:tr>
        <w:tc>
          <w:tcPr>
            <w:tcW w:type="dxa" w:w="700"/>
            <w:tcBorders>
              <w:top w:val="none" w:sz="0"/>
              <w:left w:val="none" w:sz="0"/>
              <w:bottom w:val="single" w:color="C8C0B0" w:sz="4"/>
              <w:right w:val="none" w:sz="0"/>
            </w:tcBorders>
            <w:shd w:fill="4A4A4A" w:color="auto" w:val="clear"/>
          </w:tcPr>
          <w:p>
            <w:r>
              <w:t xml:space="preserve"/>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Ink Grey</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#4A4A4A</w:t>
            </w:r>
          </w:p>
        </w:tc>
        <w:tc>
          <w:tcPr>
            <w:tcW w:type="dxa" w:w="15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74 · 74 · 74</w:t>
            </w:r>
          </w:p>
        </w:tc>
        <w:tc>
          <w:tcPr>
            <w:tcW w:type="dxa" w:w="120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0/0/0/85</w:t>
            </w:r>
          </w:p>
        </w:tc>
        <w:tc>
          <w:tcPr>
            <w:tcW w:type="dxa" w:w="3260"/>
            <w:tcBorders>
              <w:top w:val="none" w:sz="0"/>
              <w:left w:val="none" w:sz="0"/>
              <w:bottom w:val="single" w:color="C8C0B0" w:sz="4"/>
              <w:right w:val="none" w:sz="0"/>
            </w:tcBorders>
            <w:tcMar>
              <w:top w:type="dxa" w:w="90"/>
              <w:left w:type="dxa" w:w="100"/>
              <w:bottom w:type="dxa" w:w="90"/>
              <w:right w:type="dxa" w:w="100"/>
            </w:tcMar>
          </w:tcPr>
          <w:p>
            <w:pPr>
              <w:spacing w:after="0"/>
            </w:pPr>
            <w:r>
              <w:rPr>
                <w:rFonts w:ascii="Arial" w:cs="Arial" w:eastAsia="Arial" w:hAnsi="Arial"/>
                <w:b w:val="false"/>
                <w:bCs w:val="false"/>
                <w:color w:val="0A0A0A"/>
                <w:sz w:val="19"/>
                <w:szCs w:val="19"/>
              </w:rPr>
              <w:t xml:space="preserve">Secondary text, captions.</w:t>
            </w:r>
          </w:p>
        </w:tc>
      </w:tr>
    </w:tbl>
    <w:p>
      <w:pPr>
        <w:spacing w:after="140" w:line="300"/>
      </w:pPr>
      <w:r>
        <w:t xml:space="preserve"/>
      </w:r>
    </w:p>
    <w:p>
      <w:pPr>
        <w:pStyle w:val="Heading2"/>
        <w:spacing w:after="100" w:before="240"/>
      </w:pPr>
      <w:r>
        <w:t xml:space="preserve">Discipline</w:t>
      </w:r>
    </w:p>
    <w:p>
      <w:pPr>
        <w:pStyle w:val="ListParagraph"/>
        <w:numPr>
          <w:ilvl w:val="0"/>
          <w:numId w:val="2"/>
        </w:numPr>
        <w:spacing w:after="80" w:line="290"/>
      </w:pPr>
      <w:r>
        <w:t xml:space="preserve">One gold element per composition: the dot, one number, or one line. Never gold headlines, gold panels or gold backgrounds.</w:t>
      </w:r>
    </w:p>
    <w:p>
      <w:pPr>
        <w:pStyle w:val="ListParagraph"/>
        <w:numPr>
          <w:ilvl w:val="0"/>
          <w:numId w:val="2"/>
        </w:numPr>
        <w:spacing w:after="80" w:line="290"/>
      </w:pPr>
      <w:r>
        <w:t xml:space="preserve">Documents and slides default to Ivory; digital surfaces default to Paper White; covers and social avatars default to Re. Noir.</w:t>
      </w:r>
    </w:p>
    <w:p>
      <w:pPr>
        <w:pStyle w:val="ListParagraph"/>
        <w:numPr>
          <w:ilvl w:val="0"/>
          <w:numId w:val="2"/>
        </w:numPr>
        <w:spacing w:after="80" w:line="290"/>
      </w:pPr>
      <w:r>
        <w:t xml:space="preserve">Charts are monochrome (Noir, Ink Grey, Stone) with a single gold data point of emphasis.</w:t>
      </w:r>
    </w:p>
    <w:p>
      <w:pPr>
        <w:pStyle w:val="ListParagraph"/>
        <w:numPr>
          <w:ilvl w:val="0"/>
          <w:numId w:val="2"/>
        </w:numPr>
        <w:spacing w:after="80" w:line="290"/>
      </w:pPr>
      <w:r>
        <w:t xml:space="preserve">Scarcity is what keeps the palette premium and keeps Re. from looking like a bank.</w:t>
      </w:r>
    </w:p>
    <w:p>
      <w:pPr>
        <w:pStyle w:val="Heading1"/>
        <w:spacing w:after="160" w:before="360"/>
      </w:pPr>
      <w:r>
        <w:rPr>
          <w:color w:val="D4AF37"/>
        </w:rPr>
        <w:t xml:space="preserve">04  </w:t>
      </w:r>
      <w: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Use</w:t>
            </w:r>
          </w:p>
        </w:tc>
        <w:tc>
          <w:tcPr>
            <w:tcW w:type="dxa" w:w="40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Primary (licensed)</w:t>
            </w:r>
          </w:p>
        </w:tc>
        <w:tc>
          <w:tcPr>
            <w:tcW w:type="dxa" w:w="29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Digital-safe fallback</w:t>
            </w:r>
          </w:p>
        </w:tc>
      </w:tr>
      <w:tr>
        <w:trPr>
          <w:cantSplit/>
        </w:trPr>
        <w:tc>
          <w:tcPr>
            <w:tcW w:type="dxa" w:w="24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Headlines / wordmark</w:t>
            </w:r>
          </w:p>
        </w:tc>
        <w:tc>
          <w:tcPr>
            <w:tcW w:type="dxa" w:w="40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High-contrast serif — Canela, GT Sectra or Freight Display</w:t>
            </w:r>
          </w:p>
        </w:tc>
        <w:tc>
          <w:tcPr>
            <w:tcW w:type="dxa" w:w="29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Georgia / Times New Roman Bold</w:t>
            </w:r>
          </w:p>
        </w:tc>
      </w:tr>
      <w:tr>
        <w:trPr>
          <w:cantSplit/>
        </w:trPr>
        <w:tc>
          <w:tcPr>
            <w:tcW w:type="dxa" w:w="24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Body &amp; interface</w:t>
            </w:r>
          </w:p>
        </w:tc>
        <w:tc>
          <w:tcPr>
            <w:tcW w:type="dxa" w:w="40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Grotesque sans — Neue Haas Grotesk or Inter</w:t>
            </w:r>
          </w:p>
        </w:tc>
        <w:tc>
          <w:tcPr>
            <w:tcW w:type="dxa" w:w="29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Arial / Helvetica</w:t>
            </w:r>
          </w:p>
        </w:tc>
      </w:tr>
      <w:tr>
        <w:trPr>
          <w:cantSplit/>
        </w:trPr>
        <w:tc>
          <w:tcPr>
            <w:tcW w:type="dxa" w:w="24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Numbers &amp; data</w:t>
            </w:r>
          </w:p>
        </w:tc>
        <w:tc>
          <w:tcPr>
            <w:tcW w:type="dxa" w:w="40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Sans with tabular figures — Inter (tabular)</w:t>
            </w:r>
          </w:p>
        </w:tc>
        <w:tc>
          <w:tcPr>
            <w:tcW w:type="dxa" w:w="29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Arial, tabular spacing</w:t>
            </w:r>
          </w:p>
        </w:tc>
      </w:tr>
    </w:tbl>
    <w:p>
      <w:pPr>
        <w:spacing w:after="140" w:line="300"/>
      </w:pPr>
      <w:r>
        <w:t xml:space="preserve"/>
      </w:r>
    </w:p>
    <w:p>
      <w:pPr>
        <w:pStyle w:val="ListParagraph"/>
        <w:numPr>
          <w:ilvl w:val="0"/>
          <w:numId w:val="2"/>
        </w:numPr>
        <w:spacing w:after="80" w:line="290"/>
      </w:pPr>
      <w:r>
        <w:rPr>
          <w:b/>
          <w:bCs/>
        </w:rPr>
        <w:t xml:space="preserve">Heading style. </w:t>
      </w:r>
      <w:r>
        <w:t xml:space="preserve">Headlines: sentence case, tight leading, full stops permitted at line ends. Never all-caps headlines.</w:t>
      </w:r>
    </w:p>
    <w:p>
      <w:pPr>
        <w:pStyle w:val="ListParagraph"/>
        <w:numPr>
          <w:ilvl w:val="0"/>
          <w:numId w:val="2"/>
        </w:numPr>
        <w:spacing w:after="80" w:line="290"/>
      </w:pPr>
      <w:r>
        <w:rPr>
          <w:b/>
          <w:bCs/>
        </w:rPr>
        <w:t xml:space="preserve">Body style. </w:t>
      </w:r>
      <w:r>
        <w:t xml:space="preserve">Short paragraphs, generous white space, ragged right, three lines maximum on brand surfaces.</w:t>
      </w:r>
    </w:p>
    <w:p>
      <w:pPr>
        <w:pStyle w:val="ListParagraph"/>
        <w:numPr>
          <w:ilvl w:val="0"/>
          <w:numId w:val="2"/>
        </w:numPr>
        <w:spacing w:after="80" w:line="290"/>
      </w:pPr>
      <w:r>
        <w:rPr>
          <w:b/>
          <w:bCs/>
        </w:rPr>
        <w:t xml:space="preserve">Data style. </w:t>
      </w:r>
      <w:r>
        <w:t xml:space="preserve">Large gold key figures with grey supporting labels. The number is the hero.</w:t>
      </w:r>
    </w:p>
    <w:p>
      <w:pPr>
        <w:pStyle w:val="ListParagraph"/>
        <w:numPr>
          <w:ilvl w:val="0"/>
          <w:numId w:val="2"/>
        </w:numPr>
        <w:spacing w:after="80" w:line="290"/>
      </w:pPr>
      <w:r>
        <w:rPr>
          <w:b/>
          <w:bCs/>
        </w:rPr>
        <w:t xml:space="preserve">Labels. </w:t>
      </w:r>
      <w:r>
        <w:t xml:space="preserve">Small caps or letter-spaced sans for section labels and descriptors (e.g. HOSPITALITY ADVISORY · ABU DHABI).</w:t>
      </w:r>
    </w:p>
    <w:p>
      <w:pPr>
        <w:spacing w:after="140" w:line="300"/>
      </w:pPr>
      <w:r>
        <w:t xml:space="preserve">Until the licensed typefaces are purchased, use the fallbacks consistently across every surface — Times New Roman Bold for headlines, Arial for body. The wordmark files are outlined and do not depend on any installed font.</w:t>
      </w:r>
    </w:p>
    <w:p>
      <w:pPr>
        <w:pStyle w:val="Heading1"/>
        <w:spacing w:after="160" w:before="360"/>
      </w:pPr>
      <w:r>
        <w:rPr>
          <w:color w:val="D4AF37"/>
        </w:rPr>
        <w:t xml:space="preserve">05  </w:t>
      </w:r>
      <w:r>
        <w:t xml:space="preserve">Graphic language</w:t>
      </w:r>
    </w:p>
    <w:p>
      <w:pPr>
        <w:pStyle w:val="ListParagraph"/>
        <w:numPr>
          <w:ilvl w:val="0"/>
          <w:numId w:val="2"/>
        </w:numPr>
        <w:spacing w:after="80" w:line="290"/>
      </w:pPr>
      <w:r>
        <w:rPr>
          <w:b/>
          <w:bCs/>
        </w:rPr>
        <w:t xml:space="preserve">The dot. </w:t>
      </w:r>
      <w:r>
        <w:t xml:space="preserve">Bullet, map-marker, chart-point, pattern unit and punctuation of every layout — one gold dot per composition.</w:t>
      </w:r>
    </w:p>
    <w:p>
      <w:pPr>
        <w:pStyle w:val="ListParagraph"/>
        <w:numPr>
          <w:ilvl w:val="0"/>
          <w:numId w:val="2"/>
        </w:numPr>
        <w:spacing w:after="80" w:line="290"/>
      </w:pPr>
      <w:r>
        <w:rPr>
          <w:b/>
          <w:bCs/>
        </w:rPr>
        <w:t xml:space="preserve">Lines. </w:t>
      </w:r>
      <w:r>
        <w:t xml:space="preserve">Thin single rules (0.5 pt) in Stone or Ink Grey structure pages. No boxes, no shadows, no gradients.</w:t>
      </w:r>
    </w:p>
    <w:p>
      <w:pPr>
        <w:pStyle w:val="ListParagraph"/>
        <w:numPr>
          <w:ilvl w:val="0"/>
          <w:numId w:val="2"/>
        </w:numPr>
        <w:spacing w:after="80" w:line="290"/>
      </w:pPr>
      <w:r>
        <w:rPr>
          <w:b/>
          <w:bCs/>
        </w:rPr>
        <w:t xml:space="preserve">Grid. </w:t>
      </w:r>
      <w:r>
        <w:t xml:space="preserve">Editorial 12-column grid; asymmetric layouts; images cropped tight and architectural.</w:t>
      </w:r>
    </w:p>
    <w:p>
      <w:pPr>
        <w:pStyle w:val="ListParagraph"/>
        <w:numPr>
          <w:ilvl w:val="0"/>
          <w:numId w:val="2"/>
        </w:numPr>
        <w:spacing w:after="80" w:line="290"/>
      </w:pPr>
      <w:r>
        <w:rPr>
          <w:b/>
          <w:bCs/>
        </w:rPr>
        <w:t xml:space="preserve">Diagrams &amp; data. </w:t>
      </w:r>
      <w:r>
        <w:t xml:space="preserve">Monochrome charts with a single gold data point; no 3D, no clip-art; icon set limited to 1.5 pt line-weight custom glyphs.</w:t>
      </w:r>
    </w:p>
    <w:p>
      <w:pPr>
        <w:pStyle w:val="ListParagraph"/>
        <w:numPr>
          <w:ilvl w:val="0"/>
          <w:numId w:val="2"/>
        </w:numPr>
        <w:spacing w:after="80" w:line="290"/>
      </w:pPr>
      <w:r>
        <w:rPr>
          <w:b/>
          <w:bCs/>
        </w:rPr>
        <w:t xml:space="preserve">Presentations. </w:t>
      </w:r>
      <w:r>
        <w:t xml:space="preserve">Black or ivory slides, one idea per slide, numbers oversized, logos small.</w:t>
      </w:r>
    </w:p>
    <w:p>
      <w:pPr>
        <w:pStyle w:val="ListParagraph"/>
        <w:numPr>
          <w:ilvl w:val="0"/>
          <w:numId w:val="2"/>
        </w:numPr>
        <w:spacing w:after="80" w:line="290"/>
      </w:pPr>
      <w:r>
        <w:rPr>
          <w:b/>
          <w:bCs/>
        </w:rPr>
        <w:t xml:space="preserve">Social avatar. </w:t>
      </w:r>
      <w:r>
        <w:t xml:space="preserve">Wordmark centred with generous margin; ivory or black background; nothing else.</w:t>
      </w:r>
    </w:p>
    <w:p>
      <w:pPr>
        <w:pStyle w:val="ListParagraph"/>
        <w:numPr>
          <w:ilvl w:val="0"/>
          <w:numId w:val="2"/>
        </w:numPr>
        <w:spacing w:after="80" w:line="290"/>
      </w:pPr>
      <w:r>
        <w:rPr>
          <w:b/>
          <w:bCs/>
        </w:rPr>
        <w:t xml:space="preserve">LinkedIn banner. </w:t>
      </w:r>
      <w:r>
        <w:t xml:space="preserve">Wordmark set to the right of the profile-photo zone with a letter-spaced descriptor beneath.</w:t>
      </w:r>
    </w:p>
    <w:p>
      <w:r>
        <w:br w:type="page"/>
      </w:r>
    </w:p>
    <w:p>
      <w:pPr>
        <w:pStyle w:val="Heading1"/>
        <w:spacing w:after="160" w:before="360"/>
      </w:pPr>
      <w:r>
        <w:rPr>
          <w:color w:val="D4AF37"/>
        </w:rPr>
        <w:t xml:space="preserve">06  </w:t>
      </w:r>
      <w:r>
        <w:t xml:space="preserve">Photography</w:t>
      </w:r>
    </w:p>
    <w:p>
      <w:pPr>
        <w:spacing w:after="220" w:line="320"/>
      </w:pPr>
      <w:r>
        <w:rPr>
          <w:rFonts w:ascii="Times New Roman" w:cs="Times New Roman" w:eastAsia="Times New Roman" w:hAnsi="Times New Roman"/>
          <w:i/>
          <w:iCs/>
          <w:color w:val="4A4A4A"/>
          <w:sz w:val="26"/>
          <w:szCs w:val="26"/>
        </w:rPr>
        <w:t xml:space="preserve">Shoot the business behind the experience.</w:t>
      </w:r>
    </w:p>
    <w:p>
      <w:pPr>
        <w:spacing w:after="140" w:line="300"/>
      </w:pPr>
      <w:r>
        <w:t xml:space="preserve">Real venues, real service, real prep — never staged stock, never motivational quote cards. Three registers:</w:t>
      </w:r>
    </w:p>
    <w:p>
      <w:pPr>
        <w:pStyle w:val="ListParagraph"/>
        <w:numPr>
          <w:ilvl w:val="0"/>
          <w:numId w:val="2"/>
        </w:numPr>
        <w:spacing w:after="80" w:line="290"/>
      </w:pPr>
      <w:r>
        <w:rPr>
          <w:b/>
          <w:bCs/>
        </w:rPr>
        <w:t xml:space="preserve">Architectural — </w:t>
      </w:r>
      <w:r>
        <w:t xml:space="preserve">symmetry, negative space, materials, dawn or late-night light.</w:t>
      </w:r>
    </w:p>
    <w:p>
      <w:pPr>
        <w:pStyle w:val="ListParagraph"/>
        <w:numPr>
          <w:ilvl w:val="0"/>
          <w:numId w:val="2"/>
        </w:numPr>
        <w:spacing w:after="80" w:line="290"/>
      </w:pPr>
      <w:r>
        <w:rPr>
          <w:b/>
          <w:bCs/>
        </w:rPr>
        <w:t xml:space="preserve">Operational — </w:t>
      </w:r>
      <w:r>
        <w:t xml:space="preserve">hands, the pass, prep, briefings; motion blur allowed; mise en place as still life.</w:t>
      </w:r>
    </w:p>
    <w:p>
      <w:pPr>
        <w:pStyle w:val="ListParagraph"/>
        <w:numPr>
          <w:ilvl w:val="0"/>
          <w:numId w:val="2"/>
        </w:numPr>
        <w:spacing w:after="80" w:line="290"/>
      </w:pPr>
      <w:r>
        <w:rPr>
          <w:b/>
          <w:bCs/>
        </w:rPr>
        <w:t xml:space="preserve">Human — </w:t>
      </w:r>
      <w:r>
        <w:t xml:space="preserve">candid focus on staff and leaders mid-work; no posed smiles to camera.</w:t>
      </w:r>
    </w:p>
    <w:p>
      <w:pPr>
        <w:spacing w:after="140" w:line="300"/>
      </w:pPr>
      <w:r>
        <w:t xml:space="preserve">Grade: warm blacks, controlled highlights, muted colour with occasional brass or gold tones. Composition leaves clean space for typography. The test: if a frame could appear in a lifestyle magazine's advertorial, reshoot it; if it could open a documentary about how great venues really run, keep it.</w:t>
      </w:r>
    </w:p>
    <w:p>
      <w:pPr>
        <w:spacing w:after="140" w:line="300"/>
      </w:pPr>
      <w:r>
        <w:t xml:space="preserve">Founder portrait: environmental, not studio — in a venue, at the pass or at a table with a P&amp;L open; natural light; Noir or Ivory wardrobe; no arms-crossed corporate pose.</w:t>
      </w:r>
    </w:p>
    <w:p>
      <w:pPr>
        <w:pStyle w:val="Heading1"/>
        <w:spacing w:after="160" w:before="360"/>
      </w:pPr>
      <w:r>
        <w:rPr>
          <w:color w:val="D4AF37"/>
        </w:rPr>
        <w:t xml:space="preserve">07  </w:t>
      </w:r>
      <w:r>
        <w:t xml:space="preserve">Naming &amp; service architecture</w:t>
      </w:r>
    </w:p>
    <w:p>
      <w:pPr>
        <w:spacing w:after="220" w:line="320"/>
      </w:pPr>
      <w:r>
        <w:rPr>
          <w:rFonts w:ascii="Times New Roman" w:cs="Times New Roman" w:eastAsia="Times New Roman" w:hAnsi="Times New Roman"/>
          <w:i/>
          <w:iCs/>
          <w:color w:val="4A4A4A"/>
          <w:sz w:val="26"/>
          <w:szCs w:val="26"/>
        </w:rPr>
        <w:t xml:space="preserve">The Re. device frames the work; plain, commercial English describes it.</w:t>
      </w:r>
    </w:p>
    <w:p>
      <w:pPr>
        <w:spacing w:after="140" w:line="300"/>
      </w:pPr>
      <w:r>
        <w:t xml:space="preserve">Re. is a hospitality-led advisory firm. The service offer is presented as three pillars, with hospitality consultancy as the core and the two supporting pillars framed as protection and performance for the same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Pillar</w:t>
            </w:r>
          </w:p>
        </w:tc>
        <w:tc>
          <w:tcPr>
            <w:tcW w:type="dxa" w:w="15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Role</w:t>
            </w:r>
          </w:p>
        </w:tc>
        <w:tc>
          <w:tcPr>
            <w:tcW w:type="dxa" w:w="55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Plain-English descriptor (contracts, scopes, invoices)</w:t>
            </w:r>
          </w:p>
        </w:tc>
      </w:tr>
      <w:tr>
        <w:trPr>
          <w:cantSplit/>
        </w:trPr>
        <w:tc>
          <w:tcPr>
            <w:tcW w:type="dxa" w:w="2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Hospitality Consultancy</w:t>
            </w:r>
          </w:p>
        </w:tc>
        <w:tc>
          <w:tcPr>
            <w:tcW w:type="dxa" w:w="15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Core pillar</w:t>
            </w:r>
          </w:p>
        </w:tc>
        <w:tc>
          <w:tcPr>
            <w:tcW w:type="dxa" w:w="55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Strategy &amp; concepts · Pre-opening · Operational audits &amp; SOPs · Guest experience · Menu engineering · P&amp;L, cost control &amp; turnaround · Organisation, training &amp; service standards · Franchise readiness · Investor advisory</w:t>
            </w:r>
          </w:p>
        </w:tc>
      </w:tr>
      <w:tr>
        <w:trPr>
          <w:cantSplit/>
        </w:trPr>
        <w:tc>
          <w:tcPr>
            <w:tcW w:type="dxa" w:w="2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Health &amp; Safety Advisory</w:t>
            </w:r>
          </w:p>
        </w:tc>
        <w:tc>
          <w:tcPr>
            <w:tcW w:type="dxa" w:w="15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Supporting pillar</w:t>
            </w:r>
          </w:p>
        </w:tc>
        <w:tc>
          <w:tcPr>
            <w:tcW w:type="dxa" w:w="55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HSE compliance · Food safety (HACCP-aligned) · Risk assessments · Hygiene audits · Staff safety training · Municipality &amp; regulatory readiness · Safety SOPs and checklists</w:t>
            </w:r>
          </w:p>
        </w:tc>
      </w:tr>
      <w:tr>
        <w:trPr>
          <w:cantSplit/>
        </w:trPr>
        <w:tc>
          <w:tcPr>
            <w:tcW w:type="dxa" w:w="2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Sustainability Advisory</w:t>
            </w:r>
          </w:p>
        </w:tc>
        <w:tc>
          <w:tcPr>
            <w:tcW w:type="dxa" w:w="15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Supporting pillar</w:t>
            </w:r>
          </w:p>
        </w:tc>
        <w:tc>
          <w:tcPr>
            <w:tcW w:type="dxa" w:w="55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Sustainable operations · Waste reduction · Responsible sourcing · Energy &amp; water efficiency · Sustainable packaging · ESG-aligned practices · Sustainability audits for hotels and restaurants</w:t>
            </w:r>
          </w:p>
        </w:tc>
      </w:tr>
    </w:tbl>
    <w:p>
      <w:pPr>
        <w:spacing w:after="140" w:line="300"/>
      </w:pPr>
      <w:r>
        <w:t xml:space="preserve"/>
      </w:r>
    </w:p>
    <w:p>
      <w:pPr>
        <w:pStyle w:val="Heading2"/>
        <w:spacing w:after="100" w:before="240"/>
      </w:pPr>
      <w:r>
        <w:t xml:space="preserve">Rules for the Re. device</w:t>
      </w:r>
    </w:p>
    <w:p>
      <w:pPr>
        <w:pStyle w:val="ListParagraph"/>
        <w:numPr>
          <w:ilvl w:val="0"/>
          <w:numId w:val="2"/>
        </w:numPr>
        <w:spacing w:after="80" w:line="290"/>
      </w:pPr>
      <w:r>
        <w:t xml:space="preserve">The wordmark is the only place the device is mandatory. In running text the company is written 'Re.' with its full stop, and the sentence continues normally: 'Re. was founded in Abu Dhabi.'</w:t>
      </w:r>
    </w:p>
    <w:p>
      <w:pPr>
        <w:pStyle w:val="ListParagraph"/>
        <w:numPr>
          <w:ilvl w:val="0"/>
          <w:numId w:val="2"/>
        </w:numPr>
        <w:spacing w:after="80" w:line="290"/>
      </w:pPr>
      <w:r>
        <w:t xml:space="preserve">Re.-prefixed words (Re.think, Re.build, Re.position, Re.perform) are reserved for headlines, campaign lines and section titles — never body copy, never more than once per message.</w:t>
      </w:r>
    </w:p>
    <w:p>
      <w:pPr>
        <w:pStyle w:val="ListParagraph"/>
        <w:numPr>
          <w:ilvl w:val="0"/>
          <w:numId w:val="2"/>
        </w:numPr>
        <w:spacing w:after="80" w:line="290"/>
      </w:pPr>
      <w:r>
        <w:t xml:space="preserve">The three pillars are always referred to by their plain names on commercial surfaces. Branded pillar names are not used.</w:t>
      </w:r>
    </w:p>
    <w:p>
      <w:pPr>
        <w:pStyle w:val="ListParagraph"/>
        <w:numPr>
          <w:ilvl w:val="0"/>
          <w:numId w:val="2"/>
        </w:numPr>
        <w:spacing w:after="80" w:line="290"/>
      </w:pPr>
      <w:r>
        <w:t xml:space="preserve">The methodology is The Re.Method — Read · Rethink · Rebuild · Run · Return — and may carry the device as proprietary IP.</w:t>
      </w:r>
    </w:p>
    <w:p>
      <w:pPr>
        <w:pStyle w:val="ListParagraph"/>
        <w:numPr>
          <w:ilvl w:val="0"/>
          <w:numId w:val="2"/>
        </w:numPr>
        <w:spacing w:after="80" w:line="290"/>
      </w:pPr>
      <w:r>
        <w:t xml:space="preserve">Master line: 'We do things again. Better.' Category line: 'Hospitality, rethought.' Conversion line (pitches, LinkedIn, proposals): 'Results, not reports.'</w:t>
      </w:r>
    </w:p>
    <w:p>
      <w:pPr>
        <w:pStyle w:val="Heading1"/>
        <w:spacing w:after="160" w:before="360"/>
      </w:pPr>
      <w:r>
        <w:rPr>
          <w:color w:val="D4AF37"/>
        </w:rPr>
        <w:t xml:space="preserve">08  </w:t>
      </w:r>
      <w:r>
        <w:t xml:space="preserve">Voice in one page</w:t>
      </w:r>
    </w:p>
    <w:p>
      <w:pPr>
        <w:spacing w:after="140" w:line="300"/>
      </w:pPr>
      <w:r>
        <w:t xml:space="preserve">Confident, not arrogant. Experienced, not old-fashioned. Commercial, not cold. Direct, but sophisticated.</w:t>
      </w:r>
    </w:p>
    <w:p>
      <w:pPr>
        <w:pStyle w:val="ListParagraph"/>
        <w:numPr>
          <w:ilvl w:val="0"/>
          <w:numId w:val="2"/>
        </w:numPr>
        <w:spacing w:after="80" w:line="290"/>
      </w:pPr>
      <w:r>
        <w:t xml:space="preserve">Short sentences. Full stops are a brand asset.</w:t>
      </w:r>
    </w:p>
    <w:p>
      <w:pPr>
        <w:pStyle w:val="ListParagraph"/>
        <w:numPr>
          <w:ilvl w:val="0"/>
          <w:numId w:val="2"/>
        </w:numPr>
        <w:spacing w:after="80" w:line="290"/>
      </w:pPr>
      <w:r>
        <w:t xml:space="preserve">Lead with the point; explain after. Never bury the recommendation.</w:t>
      </w:r>
    </w:p>
    <w:p>
      <w:pPr>
        <w:pStyle w:val="ListParagraph"/>
        <w:numPr>
          <w:ilvl w:val="0"/>
          <w:numId w:val="2"/>
        </w:numPr>
        <w:spacing w:after="80" w:line="290"/>
      </w:pPr>
      <w:r>
        <w:t xml:space="preserve">Every claim carries a number, an example or a consequence. The number is the adjective.</w:t>
      </w:r>
    </w:p>
    <w:p>
      <w:pPr>
        <w:pStyle w:val="ListParagraph"/>
        <w:numPr>
          <w:ilvl w:val="0"/>
          <w:numId w:val="2"/>
        </w:numPr>
        <w:spacing w:after="80" w:line="290"/>
      </w:pPr>
      <w:r>
        <w:t xml:space="preserve">Say 'we recommend', never 'it could be considered'. Own the advice.</w:t>
      </w:r>
    </w:p>
    <w:p>
      <w:pPr>
        <w:pStyle w:val="ListParagraph"/>
        <w:numPr>
          <w:ilvl w:val="0"/>
          <w:numId w:val="2"/>
        </w:numPr>
        <w:spacing w:after="80" w:line="290"/>
      </w:pPr>
      <w:r>
        <w:t xml:space="preserve">No exclamation marks. No 'synergy', 'elevate', 'passion', 'world-class', 'unlock', 'seamless', 'bespoke', 'solutions', 'holistic', 'delight'.</w:t>
      </w:r>
    </w:p>
    <w:p>
      <w:pPr>
        <w:spacing w:after="140" w:line="300"/>
      </w:pPr>
      <w:r>
        <w:t xml:space="preserve">Founder attribution: Charbel Basbous, Co-Founder &amp; Managing Director, is the named public face of Re. across the website, company profile and LinkedIn. Founder posts carry the view; the company page carries the proof.</w:t>
      </w:r>
    </w:p>
    <w:p>
      <w:r>
        <w:br w:type="page"/>
      </w:r>
    </w:p>
    <w:p>
      <w:pPr>
        <w:pStyle w:val="Heading1"/>
        <w:spacing w:after="160" w:before="360"/>
      </w:pPr>
      <w:r>
        <w:rPr>
          <w:color w:val="D4AF37"/>
        </w:rPr>
        <w:t xml:space="preserve">09  </w:t>
      </w:r>
      <w:r>
        <w:t xml:space="preserve">Asset index</w:t>
      </w:r>
    </w:p>
    <w:p>
      <w:pPr>
        <w:spacing w:after="140" w:line="300"/>
      </w:pPr>
      <w:r>
        <w:t xml:space="preserve">All files are in the Re_Identity_Kit folder. SVGs are outlined vector artwork for designers, printers and web; PNGs are ready-to-use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File</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bCs/>
                <w:color w:val="4A4A4A"/>
                <w:sz w:val="18"/>
                <w:szCs w:val="18"/>
              </w:rPr>
              <w:t xml:space="preserve">Use</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Re_Wordmark_Black_transparent (.svg / 400 · 1200 · 3000 px)</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Primary logo on white, ivory or light backgrounds — documents, website, print</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Re_Wordmark_White_transparent (.svg / 400 · 1200 · 3000 px)</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Reverse logo on Noir or dark backgrounds — covers, slides, dark web sections</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Re_Wordmark_Black_on_White / on_Ivory / White_on_Black (1200 px)</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Flattened versions for email signatures, quick placements, supplier requests</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Re_Dot_Monogram (transparent / on_Black / on_Ivory)</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Secondary mark — favicon source, app icon, pattern, chart emphasis</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favicon_16 / 32 / 48 / 180 / 512</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Website favicon set and Apple touch icon</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Re_Avatar_Black / White / Ivory (1080 px)</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Instagram and LinkedIn profile pictures (Black is the default)</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LinkedIn_Company_Banner_1584x396</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Company page cover</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LinkedIn_Personal_Banner_1584x396</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Founder profile cover</w:t>
            </w:r>
          </w:p>
        </w:tc>
      </w:tr>
      <w:tr>
        <w:trPr>
          <w:cantSplit/>
        </w:trPr>
        <w:tc>
          <w:tcPr>
            <w:tcW w:type="dxa" w:w="430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Re_Cover_1920x1080_Black</w:t>
            </w:r>
          </w:p>
        </w:tc>
        <w:tc>
          <w:tcPr>
            <w:tcW w:type="dxa" w:w="5060"/>
            <w:tcBorders>
              <w:top w:val="none" w:sz="0"/>
              <w:left w:val="none" w:sz="0"/>
              <w:bottom w:val="single" w:color="C8C0B0" w:sz="4"/>
              <w:right w:val="none" w:sz="0"/>
            </w:tcBorders>
            <w:tcMar>
              <w:top w:type="dxa" w:w="80"/>
              <w:left w:type="dxa" w:w="100"/>
              <w:bottom w:type="dxa" w:w="80"/>
              <w:right w:type="dxa" w:w="100"/>
            </w:tcMar>
          </w:tcPr>
          <w:p>
            <w:pPr>
              <w:spacing w:after="0" w:line="260"/>
            </w:pPr>
            <w:r>
              <w:rPr>
                <w:rFonts w:ascii="Arial" w:cs="Arial" w:eastAsia="Arial" w:hAnsi="Arial"/>
                <w:b w:val="false"/>
                <w:bCs w:val="false"/>
                <w:color w:val="0A0A0A"/>
                <w:sz w:val="19"/>
                <w:szCs w:val="19"/>
              </w:rPr>
              <w:t xml:space="preserve">Deck title slide, video end-card, website hero placeholder</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A4A4A"/>
        <w:sz w:val="16"/>
        <w:szCs w:val="16"/>
      </w:rPr>
      <w:t xml:space="preserve">Re. LLC · Masdar City, Abu Dhabi · Confidential</w:t>
    </w:r>
    <w:r>
      <w:rPr>
        <w:color w:val="4A4A4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b/>
        <w:bCs/>
        <w:sz w:val="22"/>
        <w:szCs w:val="22"/>
      </w:rPr>
      <w:t xml:space="preserve">Re.</w:t>
    </w:r>
    <w:r>
      <w:rPr>
        <w:color w:val="4A4A4A"/>
        <w:sz w:val="16"/>
        <w:szCs w:val="16"/>
      </w:rPr>
      <w:t xml:space="preserve">	Brand Identity Guidelines · v1.0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D4AF3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A0A0A"/>
      <w:sz w:val="40"/>
      <w:szCs w:val="40"/>
    </w:rPr>
  </w:style>
  <w:style w:type="paragraph" w:styleId="Heading2">
    <w:name w:val="Heading 2"/>
    <w:basedOn w:val="Normal"/>
    <w:next w:val="Normal"/>
    <w:qFormat/>
    <w:pPr>
      <w:outlineLvl w:val="1"/>
    </w:pPr>
    <w:rPr>
      <w:rFonts w:ascii="Arial" w:cs="Arial" w:eastAsia="Arial" w:hAnsi="Arial"/>
      <w:b/>
      <w:bCs/>
      <w:caps/>
      <w:color w:val="4A4A4A"/>
      <w:spacing w:val="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aca2eb411408a1a8260d38d90ee1df5e884d41.png"/><Relationship Id="rId10" Type="http://schemas.openxmlformats.org/officeDocument/2006/relationships/image" Target="media/85a0b55a47aafce88c75c819490cdf9baf49f30c.png"/><Relationship Id="rId11" Type="http://schemas.openxmlformats.org/officeDocument/2006/relationships/image" Target="media/90fc075067698b4d4401a3d3636fb9c36cad4006.png"/><Relationship Id="rId12" Type="http://schemas.openxmlformats.org/officeDocument/2006/relationships/image" Target="media/d9106cf0e942fdfb6e2774c0301d16238bf6980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Brand Identity Guidelines</dc:title>
  <dc:creator>Re. LLC</dc:creator>
  <cp:lastModifiedBy>Un-named</cp:lastModifiedBy>
  <cp:revision>1</cp:revision>
  <dcterms:created xsi:type="dcterms:W3CDTF">2026-09-07T17:55:10.005Z</dcterms:created>
  <dcterms:modified xsi:type="dcterms:W3CDTF">2026-09-07T17:55:10.005Z</dcterms:modified>
</cp:coreProperties>
</file>

<file path=docProps/custom.xml><?xml version="1.0" encoding="utf-8"?>
<Properties xmlns="http://schemas.openxmlformats.org/officeDocument/2006/custom-properties" xmlns:vt="http://schemas.openxmlformats.org/officeDocument/2006/docPropsVTypes"/>
</file>