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ICT Governance Documentation — Contoso Health (demo)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Tenant</w:t>
            </w:r>
          </w:p>
        </w:tc>
        <w:tc>
          <w:tcPr>
            <w:tcW w:type="pct" w:w="65%"/>
          </w:tcPr>
          <w:p>
            <w:r>
              <w:t xml:space="preserve">Contoso Health (demo) (tenant-contoso-health)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pct" w:w="65%"/>
          </w:tcPr>
          <w:p>
            <w:r>
              <w:t xml:space="preserve">1.0.0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Generated</w:t>
            </w:r>
          </w:p>
        </w:tc>
        <w:tc>
          <w:tcPr>
            <w:tcW w:type="pct" w:w="65%"/>
          </w:tcPr>
          <w:p>
            <w:r>
              <w:t xml:space="preserve">2026-06-20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CSR baseline</w:t>
            </w:r>
          </w:p>
        </w:tc>
        <w:tc>
          <w:tcPr>
            <w:tcW w:type="pct" w:w="65%"/>
          </w:tcPr>
          <w:p>
            <w:r>
              <w:t xml:space="preserve">CSR-42 v2.3.0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Primary cloud</w:t>
            </w:r>
          </w:p>
        </w:tc>
        <w:tc>
          <w:tcPr>
            <w:tcW w:type="pct" w:w="65%"/>
          </w:tcPr>
          <w:p>
            <w:r>
              <w:t xml:space="preserve">azure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pct" w:w="65%"/>
          </w:tcPr>
          <w:p>
            <w:r>
              <w:t xml:space="preserve">Internal — Governance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1. Executive summary</w:t>
      </w:r>
    </w:p>
    <w:p>
      <w:pPr>
        <w:spacing w:after="120"/>
      </w:pPr>
      <w:r>
        <w:t xml:space="preserve">Contoso Health (demo) operates on azure with enabled providers: azure, aws. This baseline includes 1 approved governance requirement(s) and 7 approved infrastructure component(s) across the seven security pillars. Current telemetry risk score: 7.5/10 (source: sentinel).</w:t>
      </w:r>
    </w:p>
    <w:p>
      <w:pPr>
        <w:pStyle w:val="Heading2"/>
        <w:spacing w:after="200"/>
      </w:pPr>
      <w:r>
        <w:t xml:space="preserve">2. Governance requirements</w:t>
      </w:r>
    </w:p>
    <w:p>
      <w:pPr>
        <w:pStyle w:val="Heading3"/>
        <w:spacing w:after="200"/>
      </w:pPr>
      <w:r>
        <w:t xml:space="preserve">2.1 Mandatory MFA for all privileged and standard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Requirement ID</w:t>
            </w:r>
          </w:p>
        </w:tc>
        <w:tc>
          <w:tcPr>
            <w:tcW w:type="pct" w:w="65%"/>
          </w:tcPr>
          <w:p>
            <w:r>
              <w:t xml:space="preserve">identity-mfa-requirement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identity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65%"/>
          </w:tcPr>
          <w:p>
            <w:r>
              <w:t xml:space="preserve">critical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approved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Statement: All users accessing corporate workloads must authenticate with multi-factor authentication. Privileged roles require JIT elevation with time-bound access. Guest access is restricted to approved collaboration scenarios.</w:t>
      </w:r>
    </w:p>
    <w:p>
      <w:pPr>
        <w:spacing w:after="120"/>
      </w:pPr>
      <w:r>
        <w:t xml:space="preserve">Rationale: Aligns with Zero Trust maturity target and NIST CSF PR.AA controls. Reduces credential theft risk identified in Sentinel telemetry.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spacing w:after="120"/>
      </w:pPr>
      <w:r>
        <w:t xml:space="preserve">• 100% of users enrolled in MFA within 30 days</w:t>
      </w:r>
    </w:p>
    <w:p>
      <w:pPr>
        <w:spacing w:after="120"/>
      </w:pPr>
      <w:r>
        <w:t xml:space="preserve">• Privileged roles use JIT elevation with maximum 4-hour sessions</w:t>
      </w:r>
    </w:p>
    <w:p>
      <w:pPr>
        <w:spacing w:after="120"/>
      </w:pPr>
      <w:r>
        <w:t xml:space="preserve">• Guest users blocked from administrative roles</w:t>
      </w:r>
    </w:p>
    <w:p>
      <w:pPr>
        <w:spacing w:after="120"/>
      </w:pPr>
      <w:r>
        <w:t xml:space="preserve">• Conditional access policies enforce compliant device state</w:t>
      </w:r>
    </w:p>
    <w:p>
      <w:pPr>
        <w:pStyle w:val="Heading3"/>
        <w:spacing w:after="200"/>
      </w:pPr>
      <w:r>
        <w:t xml:space="preserve">2.2 Hub-spoke network segmentation with default deny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Requirement ID</w:t>
            </w:r>
          </w:p>
        </w:tc>
        <w:tc>
          <w:tcPr>
            <w:tcW w:type="pct" w:w="65%"/>
          </w:tcPr>
          <w:p>
            <w:r>
              <w:t xml:space="preserve">network-segmentation-requirement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network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65%"/>
          </w:tcPr>
          <w:p>
            <w:r>
              <w:t xml:space="preserve">high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draft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Statement: Production workloads must be deployed in a hub-spoke topology with default-deny ingress. Private endpoints required for PaaS services handling PHI data.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spacing w:after="120"/>
      </w:pPr>
      <w:r>
        <w:t xml:space="preserve">• All production subnets use default-deny NSG rules</w:t>
      </w:r>
    </w:p>
    <w:p>
      <w:pPr>
        <w:spacing w:after="120"/>
      </w:pPr>
      <w:r>
        <w:t xml:space="preserve">• Hub-spoke peering configured with no transitive routing to internet</w:t>
      </w:r>
    </w:p>
    <w:p>
      <w:pPr>
        <w:spacing w:after="120"/>
      </w:pPr>
      <w:r>
        <w:t xml:space="preserve">• Private endpoints enforced for storage and database services</w:t>
      </w:r>
    </w:p>
    <w:p>
      <w:pPr>
        <w:pStyle w:val="Heading2"/>
        <w:spacing w:after="200"/>
      </w:pPr>
      <w:r>
        <w:t xml:space="preserve">3. Approved ICT infrastructure</w:t>
      </w:r>
    </w:p>
    <w:p>
      <w:pPr>
        <w:pStyle w:val="Heading3"/>
        <w:spacing w:after="200"/>
      </w:pPr>
      <w:r>
        <w:t xml:space="preserve">3.1 Azure AD / Entra ID Identity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pct" w:w="65%"/>
          </w:tcPr>
          <w:p>
            <w:r>
              <w:t xml:space="preserve">azure-identity-platform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identity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approved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pct" w:w="65%"/>
          </w:tcPr>
          <w:p>
            <w:r>
              <w:t xml:space="preserve">azure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t xml:space="preserve">blueprint-templates/security-blueprints/identity-access-management.bicep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Central identity provider with conditional access, MFA, and JIT privileged access for all corporate workloads.</w:t>
      </w:r>
    </w:p>
    <w:p>
      <w:pPr>
        <w:spacing w:after="120"/>
      </w:pPr>
      <w:r>
        <w:rPr>
          <w:b/>
          <w:bCs/>
        </w:rPr>
        <w:t xml:space="preserve">Services:</w:t>
      </w:r>
    </w:p>
    <w:p>
      <w:pPr>
        <w:spacing w:after="120"/>
      </w:pPr>
      <w:r>
        <w:t xml:space="preserve">• Microsoft Entra ID</w:t>
      </w:r>
    </w:p>
    <w:p>
      <w:pPr>
        <w:spacing w:after="120"/>
      </w:pPr>
      <w:r>
        <w:t xml:space="preserve">• Conditional Access</w:t>
      </w:r>
    </w:p>
    <w:p>
      <w:pPr>
        <w:spacing w:after="120"/>
      </w:pPr>
      <w:r>
        <w:t xml:space="preserve">• Privileged Identity Management</w:t>
      </w:r>
    </w:p>
    <w:p>
      <w:pPr>
        <w:spacing w:after="120"/>
      </w:pPr>
      <w:r>
        <w:t xml:space="preserve">• Break Glass accounts</w:t>
      </w:r>
    </w:p>
    <w:p>
      <w:pPr>
        <w:pStyle w:val="Heading3"/>
        <w:spacing w:after="200"/>
      </w:pPr>
      <w:r>
        <w:t xml:space="preserve">3.2 Endpoint Management &amp; Device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pct" w:w="65%"/>
          </w:tcPr>
          <w:p>
            <w:r>
              <w:t xml:space="preserve">endpoint-management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devices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approved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pct" w:w="65%"/>
          </w:tcPr>
          <w:p>
            <w:r>
              <w:t xml:space="preserve">azure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t xml:space="preserve">blueprint-templates/infrastructure-blueprints/multi-tenant-infrastructure.bicep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Intune-managed endpoints with compliance baselines, encryption, and minimum OS enforcement.</w:t>
      </w:r>
    </w:p>
    <w:p>
      <w:pPr>
        <w:spacing w:after="120"/>
      </w:pPr>
      <w:r>
        <w:rPr>
          <w:b/>
          <w:bCs/>
        </w:rPr>
        <w:t xml:space="preserve">Services:</w:t>
      </w:r>
    </w:p>
    <w:p>
      <w:pPr>
        <w:spacing w:after="120"/>
      </w:pPr>
      <w:r>
        <w:t xml:space="preserve">• Microsoft Intune</w:t>
      </w:r>
    </w:p>
    <w:p>
      <w:pPr>
        <w:spacing w:after="120"/>
      </w:pPr>
      <w:r>
        <w:t xml:space="preserve">• Defender for Endpoint</w:t>
      </w:r>
    </w:p>
    <w:p>
      <w:pPr>
        <w:spacing w:after="120"/>
      </w:pPr>
      <w:r>
        <w:t xml:space="preserve">• Device compliance policies</w:t>
      </w:r>
    </w:p>
    <w:p>
      <w:pPr>
        <w:pStyle w:val="Heading3"/>
        <w:spacing w:after="200"/>
      </w:pPr>
      <w:r>
        <w:t xml:space="preserve">3.3 Approved Software &amp; SaaS Catalog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pct" w:w="65%"/>
          </w:tcPr>
          <w:p>
            <w:r>
              <w:t xml:space="preserve">approved-software-catalog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software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approved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pct" w:w="65%"/>
          </w:tcPr>
          <w:p>
            <w:r>
              <w:t xml:space="preserve">azure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t xml:space="preserve">blueprint-templates/policy-templates/technology-selection-policy.md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Governed application catalog with CASB shadow-IT detection and vulnerability gating for third-party SaaS.</w:t>
      </w:r>
    </w:p>
    <w:p>
      <w:pPr>
        <w:spacing w:after="120"/>
      </w:pPr>
      <w:r>
        <w:rPr>
          <w:b/>
          <w:bCs/>
        </w:rPr>
        <w:t xml:space="preserve">Services:</w:t>
      </w:r>
    </w:p>
    <w:p>
      <w:pPr>
        <w:spacing w:after="120"/>
      </w:pPr>
      <w:r>
        <w:t xml:space="preserve">• Defender for Cloud Apps</w:t>
      </w:r>
    </w:p>
    <w:p>
      <w:pPr>
        <w:spacing w:after="120"/>
      </w:pPr>
      <w:r>
        <w:t xml:space="preserve">• Software catalog API</w:t>
      </w:r>
    </w:p>
    <w:p>
      <w:pPr>
        <w:spacing w:after="120"/>
      </w:pPr>
      <w:r>
        <w:t xml:space="preserve">• SBOM registry</w:t>
      </w:r>
    </w:p>
    <w:p>
      <w:pPr>
        <w:pStyle w:val="Heading3"/>
        <w:spacing w:after="200"/>
      </w:pPr>
      <w:r>
        <w:t xml:space="preserve">3.4 Hub-Spoke Network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pct" w:w="65%"/>
          </w:tcPr>
          <w:p>
            <w:r>
              <w:t xml:space="preserve">hub-spoke-network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network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approved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pct" w:w="65%"/>
          </w:tcPr>
          <w:p>
            <w:r>
              <w:t xml:space="preserve">azure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t xml:space="preserve">blueprint-templates/security-blueprints/zero-trust-architecture.bicep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Zero-trust hub-spoke topology with default-deny NSGs, private endpoints for PaaS, and Azure Firewall.</w:t>
      </w:r>
    </w:p>
    <w:p>
      <w:pPr>
        <w:spacing w:after="120"/>
      </w:pPr>
      <w:r>
        <w:rPr>
          <w:b/>
          <w:bCs/>
        </w:rPr>
        <w:t xml:space="preserve">Services:</w:t>
      </w:r>
    </w:p>
    <w:p>
      <w:pPr>
        <w:spacing w:after="120"/>
      </w:pPr>
      <w:r>
        <w:t xml:space="preserve">• Virtual WAN Hub</w:t>
      </w:r>
    </w:p>
    <w:p>
      <w:pPr>
        <w:spacing w:after="120"/>
      </w:pPr>
      <w:r>
        <w:t xml:space="preserve">• Azure Firewall</w:t>
      </w:r>
    </w:p>
    <w:p>
      <w:pPr>
        <w:spacing w:after="120"/>
      </w:pPr>
      <w:r>
        <w:t xml:space="preserve">• Private Endpoints</w:t>
      </w:r>
    </w:p>
    <w:p>
      <w:pPr>
        <w:spacing w:after="120"/>
      </w:pPr>
      <w:r>
        <w:t xml:space="preserve">• NSG default-deny rules</w:t>
      </w:r>
    </w:p>
    <w:p>
      <w:pPr>
        <w:pStyle w:val="Heading3"/>
        <w:spacing w:after="200"/>
      </w:pPr>
      <w:r>
        <w:t xml:space="preserve">3.5 Data Classification &amp; Protection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pct" w:w="65%"/>
          </w:tcPr>
          <w:p>
            <w:r>
              <w:t xml:space="preserve">data-protection-platform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data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approved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pct" w:w="65%"/>
          </w:tcPr>
          <w:p>
            <w:r>
              <w:t xml:space="preserve">azure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t xml:space="preserve">blueprint-templates/compliance-blueprints/gdpr-compliance.bicep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Sensitivity labels, encryption at rest and in transit, DLP policies for PHI and confidential data.</w:t>
      </w:r>
    </w:p>
    <w:p>
      <w:pPr>
        <w:spacing w:after="120"/>
      </w:pPr>
      <w:r>
        <w:rPr>
          <w:b/>
          <w:bCs/>
        </w:rPr>
        <w:t xml:space="preserve">Services:</w:t>
      </w:r>
    </w:p>
    <w:p>
      <w:pPr>
        <w:spacing w:after="120"/>
      </w:pPr>
      <w:r>
        <w:t xml:space="preserve">• Microsoft Purview</w:t>
      </w:r>
    </w:p>
    <w:p>
      <w:pPr>
        <w:spacing w:after="120"/>
      </w:pPr>
      <w:r>
        <w:t xml:space="preserve">• Azure Key Vault</w:t>
      </w:r>
    </w:p>
    <w:p>
      <w:pPr>
        <w:spacing w:after="120"/>
      </w:pPr>
      <w:r>
        <w:t xml:space="preserve">• Storage encryption</w:t>
      </w:r>
    </w:p>
    <w:p>
      <w:pPr>
        <w:spacing w:after="120"/>
      </w:pPr>
      <w:r>
        <w:t xml:space="preserve">• DLP policies</w:t>
      </w:r>
    </w:p>
    <w:p>
      <w:pPr>
        <w:pStyle w:val="Heading3"/>
        <w:spacing w:after="200"/>
      </w:pPr>
      <w:r>
        <w:t xml:space="preserve">3.6 Security Operations &amp; SIEM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pct" w:w="65%"/>
          </w:tcPr>
          <w:p>
            <w:r>
              <w:t xml:space="preserve">security-operations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secops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approved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pct" w:w="65%"/>
          </w:tcPr>
          <w:p>
            <w:r>
              <w:t xml:space="preserve">azure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t xml:space="preserve">blueprint-templates/policy-templates/incident-response-policy.md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Sentinel SIEM with automated incident ingest, FAIR risk scoring, and SLA-tracked response workflows.</w:t>
      </w:r>
    </w:p>
    <w:p>
      <w:pPr>
        <w:spacing w:after="120"/>
      </w:pPr>
      <w:r>
        <w:rPr>
          <w:b/>
          <w:bCs/>
        </w:rPr>
        <w:t xml:space="preserve">Services:</w:t>
      </w:r>
    </w:p>
    <w:p>
      <w:pPr>
        <w:spacing w:after="120"/>
      </w:pPr>
      <w:r>
        <w:t xml:space="preserve">• Microsoft Sentinel</w:t>
      </w:r>
    </w:p>
    <w:p>
      <w:pPr>
        <w:spacing w:after="120"/>
      </w:pPr>
      <w:r>
        <w:t xml:space="preserve">• Defender XDR</w:t>
      </w:r>
    </w:p>
    <w:p>
      <w:pPr>
        <w:spacing w:after="120"/>
      </w:pPr>
      <w:r>
        <w:t xml:space="preserve">• Governance incident API</w:t>
      </w:r>
    </w:p>
    <w:p>
      <w:pPr>
        <w:spacing w:after="120"/>
      </w:pPr>
      <w:r>
        <w:t xml:space="preserve">• FAIR risk engine</w:t>
      </w:r>
    </w:p>
    <w:p>
      <w:pPr>
        <w:pStyle w:val="Heading3"/>
        <w:spacing w:after="200"/>
      </w:pPr>
      <w:r>
        <w:t xml:space="preserve">3.7 Backup &amp; Disaster Recovery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pct" w:w="65%"/>
          </w:tcPr>
          <w:p>
            <w:r>
              <w:t xml:space="preserve">backup-disaster-recovery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pct" w:w="65%"/>
          </w:tcPr>
          <w:p>
            <w:r>
              <w:t xml:space="preserve">resilience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approved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pct" w:w="65%"/>
          </w:tcPr>
          <w:p>
            <w:r>
              <w:t xml:space="preserve">azure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t xml:space="preserve">blueprint-templates/infrastructure-blueprints/multi-cloud-infrastructure.bicep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Geo-redundant backup vaults, cross-region replication, and tested recovery runbooks aligned to RPO/RTO targets.</w:t>
      </w:r>
    </w:p>
    <w:p>
      <w:pPr>
        <w:spacing w:after="120"/>
      </w:pPr>
      <w:r>
        <w:rPr>
          <w:b/>
          <w:bCs/>
        </w:rPr>
        <w:t xml:space="preserve">Services:</w:t>
      </w:r>
    </w:p>
    <w:p>
      <w:pPr>
        <w:spacing w:after="120"/>
      </w:pPr>
      <w:r>
        <w:t xml:space="preserve">• Azure Backup</w:t>
      </w:r>
    </w:p>
    <w:p>
      <w:pPr>
        <w:spacing w:after="120"/>
      </w:pPr>
      <w:r>
        <w:t xml:space="preserve">• Site Recovery</w:t>
      </w:r>
    </w:p>
    <w:p>
      <w:pPr>
        <w:spacing w:after="120"/>
      </w:pPr>
      <w:r>
        <w:t xml:space="preserve">• Recovery Services Vault</w:t>
      </w:r>
    </w:p>
    <w:p>
      <w:pPr>
        <w:spacing w:after="120"/>
      </w:pPr>
      <w:r>
        <w:t xml:space="preserve">• Git-to-cloud recovery</w:t>
      </w:r>
    </w:p>
    <w:p>
      <w:pPr>
        <w:pStyle w:val="Heading2"/>
        <w:spacing w:after="200"/>
      </w:pPr>
      <w:r>
        <w:t xml:space="preserve">4. Seven-pillar compliance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Pillar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NIST CSF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p>
            <w:r>
              <w:t xml:space="preserve">Identity</w:t>
            </w:r>
          </w:p>
        </w:tc>
        <w:tc>
          <w:p>
            <w:r>
              <w:t xml:space="preserve">PR.AA, GV.RR</w:t>
            </w:r>
          </w:p>
        </w:tc>
        <w:tc>
          <w:p>
            <w:r>
              <w:t xml:space="preserve">Compliant</w:t>
            </w:r>
          </w:p>
        </w:tc>
        <w:tc>
          <w:p>
            <w:r>
              <w:t xml:space="preserve">1 approved requirement(s), 1 approved component(s)</w:t>
            </w:r>
          </w:p>
        </w:tc>
      </w:tr>
      <w:tr>
        <w:tc>
          <w:p>
            <w:r>
              <w:t xml:space="preserve">Devices</w:t>
            </w:r>
          </w:p>
        </w:tc>
        <w:tc>
          <w:p>
            <w:r>
              <w:t xml:space="preserve">ID.AM, PR.PS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0 approved, 0 draft requirement(s); 1 component(s)</w:t>
            </w:r>
          </w:p>
        </w:tc>
      </w:tr>
      <w:tr>
        <w:tc>
          <w:p>
            <w:r>
              <w:t xml:space="preserve">Software</w:t>
            </w:r>
          </w:p>
        </w:tc>
        <w:tc>
          <w:p>
            <w:r>
              <w:t xml:space="preserve">GV.SC, ID.RA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0 approved, 0 draft requirement(s); 1 component(s)</w:t>
            </w:r>
          </w:p>
        </w:tc>
      </w:tr>
      <w:tr>
        <w:tc>
          <w:p>
            <w:r>
              <w:t xml:space="preserve">Network</w:t>
            </w:r>
          </w:p>
        </w:tc>
        <w:tc>
          <w:p>
            <w:r>
              <w:t xml:space="preserve">PR.PS, DE.CM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0 approved, 1 draft requirement(s); 1 component(s)</w:t>
            </w:r>
          </w:p>
        </w:tc>
      </w:tr>
      <w:tr>
        <w:tc>
          <w:p>
            <w:r>
              <w:t xml:space="preserve">Data</w:t>
            </w:r>
          </w:p>
        </w:tc>
        <w:tc>
          <w:p>
            <w:r>
              <w:t xml:space="preserve">PR.DS, GV.PO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0 approved, 0 draft requirement(s); 1 component(s)</w:t>
            </w:r>
          </w:p>
        </w:tc>
      </w:tr>
      <w:tr>
        <w:tc>
          <w:p>
            <w:r>
              <w:t xml:space="preserve">SecOps</w:t>
            </w:r>
          </w:p>
        </w:tc>
        <w:tc>
          <w:p>
            <w:r>
              <w:t xml:space="preserve">DE.AE, DE.CM, RS.AN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0 approved, 0 draft requirement(s); 1 component(s)</w:t>
            </w:r>
          </w:p>
        </w:tc>
      </w:tr>
      <w:tr>
        <w:tc>
          <w:p>
            <w:r>
              <w:t xml:space="preserve">Resilience</w:t>
            </w:r>
          </w:p>
        </w:tc>
        <w:tc>
          <w:p>
            <w:r>
              <w:t xml:space="preserve">RC.RP, RC.CO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0 approved, 0 draft requirement(s); 1 component(s)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5. Requirement-to-infrastructure traceability</w:t>
      </w:r>
    </w:p>
    <w:p>
      <w:pPr>
        <w:spacing w:after="120"/>
      </w:pPr>
      <w:r>
        <w:t xml:space="preserve">See Section 2 and 3 for detailed mappings. Summary status reflects approved requirements against approved components.</w:t>
      </w:r>
    </w:p>
    <w:p>
      <w:pPr>
        <w:pStyle w:val="Heading2"/>
        <w:spacing w:after="200"/>
      </w:pPr>
      <w:r>
        <w:t xml:space="preserve">6. Roles and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pct" w:w="65%"/>
          </w:tcPr>
          <w:p>
            <w:r>
              <w:t xml:space="preserve">ICT Governance Council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Approval date</w:t>
            </w:r>
          </w:p>
        </w:tc>
        <w:tc>
          <w:tcPr>
            <w:tcW w:type="pct" w:w="65%"/>
          </w:tcPr>
          <w:p>
            <w:r>
              <w:t xml:space="preserve">2026-06-18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7. Document control</w:t>
      </w:r>
    </w:p>
    <w:p>
      <w:pPr>
        <w:spacing w:after="120"/>
      </w:pPr>
      <w:r>
        <w:t xml:space="preserve">Version 1.0.0 — Generated 2026-06-20 by ADPA Generator.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2026-06-20T08:55:10.174Z</dcterms:created>
  <dcterms:modified xsi:type="dcterms:W3CDTF">2026-06-20T08:55:10.174Z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