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PersiPep AMP Challenge 2027</w:t>
      </w:r>
    </w:p>
    <w:p>
      <w:pPr>
        <w:jc w:val="center"/>
      </w:pPr>
      <w:r>
        <w:rPr>
          <w:b/>
          <w:sz w:val="32"/>
        </w:rPr>
        <w:t>Concise Computational Design and Selection Report</w:t>
      </w:r>
    </w:p>
    <w:p>
      <w:pPr>
        <w:jc w:val="center"/>
      </w:pPr>
      <w:r>
        <w:rPr>
          <w:i/>
        </w:rPr>
        <w:t>HydrAMP generation → multi-objective screening → final 50K library and Top100</w:t>
      </w:r>
    </w:p>
    <w:p/>
    <w:p>
      <w:pPr>
        <w:pStyle w:val="Heading1"/>
        <w:keepNext/>
      </w:pPr>
      <w:r>
        <w:t>1. Executive Summary</w:t>
      </w:r>
    </w:p>
    <w:p>
      <w:r>
        <w:rPr>
          <w:b/>
        </w:rPr>
        <w:t xml:space="preserve">Objective. </w:t>
      </w:r>
      <w:r>
        <w:t>Generate a large de novo antimicrobial-peptide candidate pool, apply reproducible multi-objective computational screening, and select the final 50,000-sequence library and Top100 for the AMP Challenge.</w:t>
      </w:r>
    </w:p>
    <w:p>
      <w:r>
        <w:rPr>
          <w:b/>
        </w:rPr>
        <w:t xml:space="preserve">Production generator. </w:t>
      </w:r>
      <w:r>
        <w:t>HydrAMP was used for production because its pretrained checkpoint, deterministic seed control, challenge-oriented starter-kit workflow, and successful end-to-end execution provided the strongest combination of task alignment and reproducibility in the available computing environment. AMP-Diffusion and Controllable AMP Design were evaluated as alternatives but were not used to construct the production pool.</w:t>
      </w:r>
    </w:p>
    <w:p>
      <w:r>
        <w:rPr>
          <w:b/>
        </w:rPr>
        <w:t xml:space="preserve">Execution model. </w:t>
      </w:r>
      <w:r>
        <w:t>The real workflow was intentionally multi-environment: HydrAMP, APEX, and HemoPI2 were run on the university server; cleaning, novelty analysis, physicochemical scoring, ESM-2 analyses, PepSySco, diversity assessment, and final selection were executed in Google Colab. Detailed commands and file hand-offs are documented separately in REPRODUCIBILITY.md.</w:t>
      </w:r>
    </w:p>
    <w:p>
      <w:pPr>
        <w:pStyle w:val="Heading1"/>
        <w:keepNext/>
      </w:pPr>
      <w:r>
        <w:t>2. Pipeline Overview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8"/>
              </w:rPr>
              <w:t>Stage</w:t>
            </w:r>
          </w:p>
        </w:tc>
        <w:tc>
          <w:tcPr>
            <w:tcW w:type="dxa" w:w="2484"/>
            <w:vAlign w:val="center"/>
            <w:shd w:fill="D9EAF7"/>
          </w:tcPr>
          <w:p>
            <w:r>
              <w:rPr>
                <w:b/>
                <w:sz w:val="18"/>
              </w:rPr>
              <w:t>Environment</w:t>
            </w:r>
          </w:p>
        </w:tc>
        <w:tc>
          <w:tcPr>
            <w:tcW w:type="dxa" w:w="2484"/>
            <w:vAlign w:val="center"/>
            <w:shd w:fill="D9EAF7"/>
          </w:tcPr>
          <w:p>
            <w:r>
              <w:rPr>
                <w:b/>
                <w:sz w:val="18"/>
              </w:rPr>
              <w:t>Main method</w:t>
            </w:r>
          </w:p>
        </w:tc>
        <w:tc>
          <w:tcPr>
            <w:tcW w:type="dxa" w:w="2484"/>
            <w:vAlign w:val="center"/>
            <w:shd w:fill="D9EAF7"/>
          </w:tcPr>
          <w:p>
            <w:r>
              <w:rPr>
                <w:b/>
                <w:sz w:val="18"/>
              </w:rPr>
              <w:t>Main output</w:t>
            </w:r>
          </w:p>
        </w:tc>
      </w:tr>
      <w:tr>
        <w:tc>
          <w:tcPr>
            <w:tcW w:type="dxa" w:w="2484"/>
            <w:vAlign w:val="center"/>
          </w:tcPr>
          <w:p>
            <w:r>
              <w:rPr>
                <w:sz w:val="18"/>
              </w:rPr>
              <w:t>Generation</w:t>
            </w:r>
          </w:p>
        </w:tc>
        <w:tc>
          <w:tcPr>
            <w:tcW w:type="dxa" w:w="2484"/>
            <w:vAlign w:val="center"/>
          </w:tcPr>
          <w:p>
            <w:r>
              <w:rPr>
                <w:sz w:val="18"/>
              </w:rPr>
              <w:t>Server</w:t>
            </w:r>
          </w:p>
        </w:tc>
        <w:tc>
          <w:tcPr>
            <w:tcW w:type="dxa" w:w="2484"/>
            <w:vAlign w:val="center"/>
          </w:tcPr>
          <w:p>
            <w:r>
              <w:rPr>
                <w:sz w:val="18"/>
              </w:rPr>
              <w:t>HydrAMP, 5×50K; starting seeds 42, 44, 46, 48, 50</w:t>
            </w:r>
          </w:p>
        </w:tc>
        <w:tc>
          <w:tcPr>
            <w:tcW w:type="dxa" w:w="2484"/>
            <w:vAlign w:val="center"/>
          </w:tcPr>
          <w:p>
            <w:r>
              <w:rPr>
                <w:sz w:val="18"/>
              </w:rPr>
              <w:t>250,000 raw candidates</w:t>
            </w:r>
          </w:p>
        </w:tc>
      </w:tr>
      <w:tr>
        <w:tc>
          <w:tcPr>
            <w:tcW w:type="dxa" w:w="2484"/>
            <w:vAlign w:val="center"/>
          </w:tcPr>
          <w:p>
            <w:r>
              <w:rPr>
                <w:sz w:val="18"/>
              </w:rPr>
              <w:t>Cleaning</w:t>
            </w:r>
          </w:p>
        </w:tc>
        <w:tc>
          <w:tcPr>
            <w:tcW w:type="dxa" w:w="2484"/>
            <w:vAlign w:val="center"/>
          </w:tcPr>
          <w:p>
            <w:r>
              <w:rPr>
                <w:sz w:val="18"/>
              </w:rPr>
              <w:t>Colab</w:t>
            </w:r>
          </w:p>
        </w:tc>
        <w:tc>
          <w:tcPr>
            <w:tcW w:type="dxa" w:w="2484"/>
            <w:vAlign w:val="center"/>
          </w:tcPr>
          <w:p>
            <w:r>
              <w:rPr>
                <w:sz w:val="18"/>
              </w:rPr>
              <w:t>Validity, deduplication, official-reference pre-screen, external exact-overlap removal</w:t>
            </w:r>
          </w:p>
        </w:tc>
        <w:tc>
          <w:tcPr>
            <w:tcW w:type="dxa" w:w="2484"/>
            <w:vAlign w:val="center"/>
          </w:tcPr>
          <w:p>
            <w:r>
              <w:rPr>
                <w:sz w:val="18"/>
              </w:rPr>
              <w:t>246,795 clean candidates</w:t>
            </w:r>
          </w:p>
        </w:tc>
      </w:tr>
      <w:tr>
        <w:tc>
          <w:tcPr>
            <w:tcW w:type="dxa" w:w="2484"/>
            <w:vAlign w:val="center"/>
          </w:tcPr>
          <w:p>
            <w:r>
              <w:rPr>
                <w:sz w:val="18"/>
              </w:rPr>
              <w:t>External novelty</w:t>
            </w:r>
          </w:p>
        </w:tc>
        <w:tc>
          <w:tcPr>
            <w:tcW w:type="dxa" w:w="2484"/>
            <w:vAlign w:val="center"/>
          </w:tcPr>
          <w:p>
            <w:r>
              <w:rPr>
                <w:sz w:val="18"/>
              </w:rPr>
              <w:t>Colab</w:t>
            </w:r>
          </w:p>
        </w:tc>
        <w:tc>
          <w:tcPr>
            <w:tcW w:type="dxa" w:w="2484"/>
            <w:vAlign w:val="center"/>
          </w:tcPr>
          <w:p>
            <w:r>
              <w:rPr>
                <w:sz w:val="18"/>
              </w:rPr>
              <w:t>3-mer shortlist + RapidFuzz near-match diagnostic</w:t>
            </w:r>
          </w:p>
        </w:tc>
        <w:tc>
          <w:tcPr>
            <w:tcW w:type="dxa" w:w="2484"/>
            <w:vAlign w:val="center"/>
          </w:tcPr>
          <w:p>
            <w:r>
              <w:rPr>
                <w:sz w:val="18"/>
              </w:rPr>
              <w:t>Near-match scored clean pool</w:t>
            </w:r>
          </w:p>
        </w:tc>
      </w:tr>
      <w:tr>
        <w:tc>
          <w:tcPr>
            <w:tcW w:type="dxa" w:w="2484"/>
            <w:vAlign w:val="center"/>
          </w:tcPr>
          <w:p>
            <w:r>
              <w:rPr>
                <w:sz w:val="18"/>
              </w:rPr>
              <w:t>Physicochemical + preselection</w:t>
            </w:r>
          </w:p>
        </w:tc>
        <w:tc>
          <w:tcPr>
            <w:tcW w:type="dxa" w:w="2484"/>
            <w:vAlign w:val="center"/>
          </w:tcPr>
          <w:p>
            <w:r>
              <w:rPr>
                <w:sz w:val="18"/>
              </w:rPr>
              <w:t>Colab</w:t>
            </w:r>
          </w:p>
        </w:tc>
        <w:tc>
          <w:tcPr>
            <w:tcW w:type="dxa" w:w="2484"/>
            <w:vAlign w:val="center"/>
          </w:tcPr>
          <w:p>
            <w:r>
              <w:rPr>
                <w:sz w:val="18"/>
              </w:rPr>
              <w:t>ProtParam/APD6 realism + soft scoring</w:t>
            </w:r>
          </w:p>
        </w:tc>
        <w:tc>
          <w:tcPr>
            <w:tcW w:type="dxa" w:w="2484"/>
            <w:vAlign w:val="center"/>
          </w:tcPr>
          <w:p>
            <w:r>
              <w:rPr>
                <w:sz w:val="18"/>
              </w:rPr>
              <w:t>120,000-candidate pool</w:t>
            </w:r>
          </w:p>
        </w:tc>
      </w:tr>
      <w:tr>
        <w:tc>
          <w:tcPr>
            <w:tcW w:type="dxa" w:w="2484"/>
            <w:vAlign w:val="center"/>
          </w:tcPr>
          <w:p>
            <w:r>
              <w:rPr>
                <w:sz w:val="18"/>
              </w:rPr>
              <w:t>Potency</w:t>
            </w:r>
          </w:p>
        </w:tc>
        <w:tc>
          <w:tcPr>
            <w:tcW w:type="dxa" w:w="2484"/>
            <w:vAlign w:val="center"/>
          </w:tcPr>
          <w:p>
            <w:r>
              <w:rPr>
                <w:sz w:val="18"/>
              </w:rPr>
              <w:t>Server</w:t>
            </w:r>
          </w:p>
        </w:tc>
        <w:tc>
          <w:tcPr>
            <w:tcW w:type="dxa" w:w="2484"/>
            <w:vAlign w:val="center"/>
          </w:tcPr>
          <w:p>
            <w:r>
              <w:rPr>
                <w:sz w:val="18"/>
              </w:rPr>
              <w:t>APEX-pathogen, 11-pathogen mean predicted MIC</w:t>
            </w:r>
          </w:p>
        </w:tc>
        <w:tc>
          <w:tcPr>
            <w:tcW w:type="dxa" w:w="2484"/>
            <w:vAlign w:val="center"/>
          </w:tcPr>
          <w:p>
            <w:r>
              <w:rPr>
                <w:sz w:val="18"/>
              </w:rPr>
              <w:t>APEX-scored 120K pool</w:t>
            </w:r>
          </w:p>
        </w:tc>
      </w:tr>
      <w:tr>
        <w:tc>
          <w:tcPr>
            <w:tcW w:type="dxa" w:w="2484"/>
            <w:vAlign w:val="center"/>
          </w:tcPr>
          <w:p>
            <w:r>
              <w:rPr>
                <w:sz w:val="18"/>
              </w:rPr>
              <w:t>60K preselection</w:t>
            </w:r>
          </w:p>
        </w:tc>
        <w:tc>
          <w:tcPr>
            <w:tcW w:type="dxa" w:w="2484"/>
            <w:vAlign w:val="center"/>
          </w:tcPr>
          <w:p>
            <w:r>
              <w:rPr>
                <w:sz w:val="18"/>
              </w:rPr>
              <w:t>Colab</w:t>
            </w:r>
          </w:p>
        </w:tc>
        <w:tc>
          <w:tcPr>
            <w:tcW w:type="dxa" w:w="2484"/>
            <w:vAlign w:val="center"/>
          </w:tcPr>
          <w:p>
            <w:r>
              <w:rPr>
                <w:sz w:val="18"/>
              </w:rPr>
              <w:t>APEX + physicochemical + novelty soft score</w:t>
            </w:r>
          </w:p>
        </w:tc>
        <w:tc>
          <w:tcPr>
            <w:tcW w:type="dxa" w:w="2484"/>
            <w:vAlign w:val="center"/>
          </w:tcPr>
          <w:p>
            <w:r>
              <w:rPr>
                <w:sz w:val="18"/>
              </w:rPr>
              <w:t>60,000-candidate pool</w:t>
            </w:r>
          </w:p>
        </w:tc>
      </w:tr>
      <w:tr>
        <w:tc>
          <w:tcPr>
            <w:tcW w:type="dxa" w:w="2484"/>
            <w:vAlign w:val="center"/>
          </w:tcPr>
          <w:p>
            <w:r>
              <w:rPr>
                <w:sz w:val="18"/>
              </w:rPr>
              <w:t>Safety</w:t>
            </w:r>
          </w:p>
        </w:tc>
        <w:tc>
          <w:tcPr>
            <w:tcW w:type="dxa" w:w="2484"/>
            <w:vAlign w:val="center"/>
          </w:tcPr>
          <w:p>
            <w:r>
              <w:rPr>
                <w:sz w:val="18"/>
              </w:rPr>
              <w:t>Server</w:t>
            </w:r>
          </w:p>
        </w:tc>
        <w:tc>
          <w:tcPr>
            <w:tcW w:type="dxa" w:w="2484"/>
            <w:vAlign w:val="center"/>
          </w:tcPr>
          <w:p>
            <w:r>
              <w:rPr>
                <w:sz w:val="18"/>
              </w:rPr>
              <w:t>HemoPI2 predicted HC50</w:t>
            </w:r>
          </w:p>
        </w:tc>
        <w:tc>
          <w:tcPr>
            <w:tcW w:type="dxa" w:w="2484"/>
            <w:vAlign w:val="center"/>
          </w:tcPr>
          <w:p>
            <w:r>
              <w:rPr>
                <w:sz w:val="18"/>
              </w:rPr>
              <w:t>HemoPI2-scored 60K pool</w:t>
            </w:r>
          </w:p>
        </w:tc>
      </w:tr>
      <w:tr>
        <w:tc>
          <w:tcPr>
            <w:tcW w:type="dxa" w:w="2484"/>
            <w:vAlign w:val="center"/>
          </w:tcPr>
          <w:p>
            <w:r>
              <w:rPr>
                <w:sz w:val="18"/>
              </w:rPr>
              <w:t>Biological embedding</w:t>
            </w:r>
          </w:p>
        </w:tc>
        <w:tc>
          <w:tcPr>
            <w:tcW w:type="dxa" w:w="2484"/>
            <w:vAlign w:val="center"/>
          </w:tcPr>
          <w:p>
            <w:r>
              <w:rPr>
                <w:sz w:val="18"/>
              </w:rPr>
              <w:t>Colab</w:t>
            </w:r>
          </w:p>
        </w:tc>
        <w:tc>
          <w:tcPr>
            <w:tcW w:type="dxa" w:w="2484"/>
            <w:vAlign w:val="center"/>
          </w:tcPr>
          <w:p>
            <w:r>
              <w:rPr>
                <w:sz w:val="18"/>
              </w:rPr>
              <w:t>ESM-2 candidate/reference cosine similarity</w:t>
            </w:r>
          </w:p>
        </w:tc>
        <w:tc>
          <w:tcPr>
            <w:tcW w:type="dxa" w:w="2484"/>
            <w:vAlign w:val="center"/>
          </w:tcPr>
          <w:p>
            <w:r>
              <w:rPr>
                <w:sz w:val="18"/>
              </w:rPr>
              <w:t>ESM-2 biological-score table</w:t>
            </w:r>
          </w:p>
        </w:tc>
      </w:tr>
      <w:tr>
        <w:tc>
          <w:tcPr>
            <w:tcW w:type="dxa" w:w="2484"/>
            <w:vAlign w:val="center"/>
          </w:tcPr>
          <w:p>
            <w:r>
              <w:rPr>
                <w:sz w:val="18"/>
              </w:rPr>
              <w:t>Synthesizability</w:t>
            </w:r>
          </w:p>
        </w:tc>
        <w:tc>
          <w:tcPr>
            <w:tcW w:type="dxa" w:w="2484"/>
            <w:vAlign w:val="center"/>
          </w:tcPr>
          <w:p>
            <w:r>
              <w:rPr>
                <w:sz w:val="18"/>
              </w:rPr>
              <w:t>Colab</w:t>
            </w:r>
          </w:p>
        </w:tc>
        <w:tc>
          <w:tcPr>
            <w:tcW w:type="dxa" w:w="2484"/>
            <w:vAlign w:val="center"/>
          </w:tcPr>
          <w:p>
            <w:r>
              <w:rPr>
                <w:sz w:val="18"/>
              </w:rPr>
              <w:t>PepSySco</w:t>
            </w:r>
          </w:p>
        </w:tc>
        <w:tc>
          <w:tcPr>
            <w:tcW w:type="dxa" w:w="2484"/>
            <w:vAlign w:val="center"/>
          </w:tcPr>
          <w:p>
            <w:r>
              <w:rPr>
                <w:sz w:val="18"/>
              </w:rPr>
              <w:t>PepSySco-scored 60K pool</w:t>
            </w:r>
          </w:p>
        </w:tc>
      </w:tr>
      <w:tr>
        <w:tc>
          <w:tcPr>
            <w:tcW w:type="dxa" w:w="2484"/>
            <w:vAlign w:val="center"/>
          </w:tcPr>
          <w:p>
            <w:r>
              <w:rPr>
                <w:sz w:val="18"/>
              </w:rPr>
              <w:t>Diversity</w:t>
            </w:r>
          </w:p>
        </w:tc>
        <w:tc>
          <w:tcPr>
            <w:tcW w:type="dxa" w:w="2484"/>
            <w:vAlign w:val="center"/>
          </w:tcPr>
          <w:p>
            <w:r>
              <w:rPr>
                <w:sz w:val="18"/>
              </w:rPr>
              <w:t>Colab</w:t>
            </w:r>
          </w:p>
        </w:tc>
        <w:tc>
          <w:tcPr>
            <w:tcW w:type="dxa" w:w="2484"/>
            <w:vAlign w:val="center"/>
          </w:tcPr>
          <w:p>
            <w:r>
              <w:rPr>
                <w:sz w:val="18"/>
              </w:rPr>
              <w:t>ESM-2 NN + UMAP/HDBSCAN diagnostics</w:t>
            </w:r>
          </w:p>
        </w:tc>
        <w:tc>
          <w:tcPr>
            <w:tcW w:type="dxa" w:w="2484"/>
            <w:vAlign w:val="center"/>
          </w:tcPr>
          <w:p>
            <w:r>
              <w:rPr>
                <w:sz w:val="18"/>
              </w:rPr>
              <w:t>60K diversity diagnostics</w:t>
            </w:r>
          </w:p>
        </w:tc>
      </w:tr>
      <w:tr>
        <w:tc>
          <w:tcPr>
            <w:tcW w:type="dxa" w:w="2484"/>
            <w:vAlign w:val="center"/>
          </w:tcPr>
          <w:p>
            <w:r>
              <w:rPr>
                <w:sz w:val="18"/>
              </w:rPr>
              <w:t>Final selection</w:t>
            </w:r>
          </w:p>
        </w:tc>
        <w:tc>
          <w:tcPr>
            <w:tcW w:type="dxa" w:w="2484"/>
            <w:vAlign w:val="center"/>
          </w:tcPr>
          <w:p>
            <w:r>
              <w:rPr>
                <w:sz w:val="18"/>
              </w:rPr>
              <w:t>Colab</w:t>
            </w:r>
          </w:p>
        </w:tc>
        <w:tc>
          <w:tcPr>
            <w:tcW w:type="dxa" w:w="2484"/>
            <w:vAlign w:val="center"/>
          </w:tcPr>
          <w:p>
            <w:r>
              <w:rPr>
                <w:sz w:val="18"/>
              </w:rPr>
              <w:t>Equal-percentile six-criterion ranking + greedy Top100 pruning</w:t>
            </w:r>
          </w:p>
        </w:tc>
        <w:tc>
          <w:tcPr>
            <w:tcW w:type="dxa" w:w="2484"/>
            <w:vAlign w:val="center"/>
          </w:tcPr>
          <w:p>
            <w:r>
              <w:rPr>
                <w:sz w:val="18"/>
              </w:rPr>
              <w:t>50K library + Top100</w:t>
            </w:r>
          </w:p>
        </w:tc>
      </w:tr>
    </w:tbl>
    <w:p>
      <w:pPr>
        <w:pStyle w:val="Heading1"/>
        <w:keepNext/>
      </w:pPr>
      <w:r>
        <w:t>3. Generation and Cleaning</w:t>
      </w:r>
    </w:p>
    <w:p>
      <w:pPr>
        <w:pStyle w:val="Heading2"/>
        <w:keepNext/>
      </w:pPr>
      <w:r>
        <w:t>3.1 HydrAMP production</w:t>
      </w:r>
    </w:p>
    <w:p>
      <w:r>
        <w:t>Five independent 50,000-sequence HydrAMP batches were generated with starting seeds 42, 44, 46, 48, and 50, producing a raw pool of 250,000 candidates. HydrAMP may internally advance the seed when additional accepted sequences are required to reach exactly 50,000; preserved filenames record the starting seed of each batch.</w:t>
      </w:r>
    </w:p>
    <w:p>
      <w:r>
        <w:rPr>
          <w:b/>
        </w:rPr>
        <w:t xml:space="preserve">HydrAMP resources packaged in the repository: </w:t>
      </w:r>
      <w:r>
        <w:t>checkpoint/model/, checkpoint/pca_decomposer.joblib, and checkpoint/README.md. The starter-kit commit used for this project was 7804df862872ccc6d09fe01c41bafbca194cfa31.</w:t>
      </w:r>
    </w:p>
    <w:p>
      <w:pPr>
        <w:pStyle w:val="Heading2"/>
        <w:keepNext/>
      </w:pPr>
      <w:r>
        <w:t>3.2 Combined cleaning</w:t>
      </w:r>
    </w:p>
    <w:p>
      <w:r>
        <w:t>The five batches were merged and processed with the repository notebook notebooks/00_cleaning/AMP_Challenge_MultiBatch_Clean_Pool_Builder.ipynb. The workflow removed invalid sequences, out-of-range lengths, cross-batch duplicates, exact matches to the official challenge reference, sequences above the project pre-screen threshold against that reference, and exact overlaps with APD6/ADP6, DBAASP, and dbAMP3.</w:t>
      </w:r>
    </w:p>
    <w:p>
      <w:r>
        <w:rPr>
          <w:b/>
        </w:rPr>
        <w:t xml:space="preserve">Result: </w:t>
      </w:r>
      <w:r>
        <w:t>246,795 unique clean candidates retained from 250,000 raw sequences (98.72% retention).</w:t>
      </w:r>
    </w:p>
    <w:p>
      <w:r>
        <w:t>The RapidFuzz-based reference comparison used during this stage is treated as a practical pre-screen, not as a substitute for the organizer’s final official compliance implementation.</w:t>
      </w:r>
    </w:p>
    <w:p>
      <w:pPr>
        <w:pStyle w:val="Heading1"/>
        <w:keepNext/>
      </w:pPr>
      <w:r>
        <w:t>4. Multi-Objective Scoring and Preselection</w:t>
      </w:r>
    </w:p>
    <w:p>
      <w:pPr>
        <w:pStyle w:val="Heading2"/>
        <w:keepNext/>
      </w:pPr>
      <w:r>
        <w:t>4.1 External known-AMP near-match scoring</w:t>
      </w:r>
    </w:p>
    <w:p>
      <w:r>
        <w:t>The clean pool was compared with APD6/ADP6, DBAASP, and dbAMP3 using an inverted 3-mer shortlist followed by RapidFuzz refinement. No new hard rejection rule was introduced; similarity was retained as a continuous novelty diagnostic. Among 246,795 candidates, 461 had an external similarity diagnostic of at least 80%, none reached 90%, and the maximum observed similarity was 88.889%.</w:t>
      </w:r>
    </w:p>
    <w:p>
      <w:pPr>
        <w:pStyle w:val="Heading2"/>
        <w:keepNext/>
      </w:pPr>
      <w:r>
        <w:t>4.2 Physicochemical realism and 120K preselection</w:t>
      </w:r>
    </w:p>
    <w:p>
      <w:r>
        <w:t>Biopython ProtParam descriptors and an explicit Ikai aliphatic index were calculated for the full clean pool. Candidate properties were benchmarked against literature ranges and the empirical APD6 distribution. A soft resource-reduction score combining physicochemical realism, literature compliance, and novelty reduced the pool to 120,000 candidates, balanced at 24,000 per HydrAMP batch.</w:t>
      </w:r>
    </w:p>
    <w:p>
      <w:pPr>
        <w:pStyle w:val="Heading2"/>
        <w:keepNext/>
      </w:pPr>
      <w:r>
        <w:t>4.3 APEX predicted potency</w:t>
      </w:r>
    </w:p>
    <w:p>
      <w:r>
        <w:t>The complete 120K pool was scored on the server with the APEX-pathogen implementation distributed with the AMP-Diffusion starter kit. The project potency signal was the mean predicted MIC across 11 pathogens; lower values were treated as more favorable. Final validation confirmed 120,000 unique rows and no missing mean-MIC values. Predicted mean MIC ranged from 33.0192 to 512.1658 µM, with mean 278.0470 µM and median 272.5739 µM.</w:t>
      </w:r>
    </w:p>
    <w:p>
      <w:pPr>
        <w:pStyle w:val="Heading2"/>
        <w:keepNext/>
      </w:pPr>
      <w:r>
        <w:t>4.4 APEX-informed 60K preselection</w:t>
      </w:r>
    </w:p>
    <w:p>
      <w:r>
        <w:t>The 120K pool was reduced to 60,000 candidates using a project-level soft score: 0.50 APEX potency percentile + 0.30 physicochemical realism + 0.20 novelty, with a 0.10 soft penalty for candidates carrying the external ≥80% similarity flag. Selection retained 12,000 candidates per HydrAMP batch and produced 60,000 unique sequences.</w:t>
      </w:r>
    </w:p>
    <w:p>
      <w:pPr>
        <w:pStyle w:val="Heading2"/>
        <w:keepNext/>
      </w:pPr>
      <w:r>
        <w:t>4.5 HemoPI2 predicted safety</w:t>
      </w:r>
    </w:p>
    <w:p>
      <w:r>
        <w:t>The complete 60K pool was scored with HemoPI2 2.0 regression on the server. Higher predicted HC50 was treated as the more favorable safety signal. The final output contained 60,000 unique sequences with no missing HC50 values. Predicted HC50 ranged from 6.195 to 274.495 µM; median 26.7495 µM; mean 36.5085 µM; 95th percentile 94.8601 µM.</w:t>
      </w:r>
    </w:p>
    <w:p>
      <w:pPr>
        <w:pStyle w:val="Heading1"/>
        <w:keepNext/>
      </w:pPr>
      <w:r>
        <w:t>5. Biological Representation, Synthesizability, and Diversity</w:t>
      </w:r>
    </w:p>
    <w:p>
      <w:pPr>
        <w:pStyle w:val="Heading2"/>
        <w:keepNext/>
      </w:pPr>
      <w:r>
        <w:t>5.1 ESM-2 embeddings</w:t>
      </w:r>
    </w:p>
    <w:p>
      <w:r>
        <w:t>Step 9A extracted 480-dimensional mean-pooled ESM-2 esm2_t12_35M_UR50D embeddings for all 60,000 candidates. Step 9B independently embedded candidates and potent AMP-Diffusion reference peptides with esm2_t6_8M_UR50D (320 dimensions) and calculated cosine-similarity features. The potent-reference set used the project criterion MIC ≤16 µM in at least one tested strain. The mean Top-5 potent-reference cosine similarity used for ranking had mean 0.907532 and median 0.923501.</w:t>
      </w:r>
    </w:p>
    <w:p>
      <w:pPr>
        <w:pStyle w:val="Heading2"/>
        <w:keepNext/>
      </w:pPr>
      <w:r>
        <w:t>5.2 PepSySco synthesizability</w:t>
      </w:r>
    </w:p>
    <w:p>
      <w:r>
        <w:t>PepSySco was calculated for the full 60K pool as a continuous synthesizability signal. All candidates were within the recorded 8–25 aa PepSySco domain. The score had mean 0.841128 and median 0.863330; 32,902 candidates scored ≥0.85.</w:t>
      </w:r>
    </w:p>
    <w:p>
      <w:pPr>
        <w:pStyle w:val="Heading2"/>
        <w:keepNext/>
      </w:pPr>
      <w:r>
        <w:t>5.3 Diversity diagnostics</w:t>
      </w:r>
    </w:p>
    <w:p>
      <w:r>
        <w:t>The ESM-2 35M candidate embeddings were used for cosine nearest-neighbor analysis, UMAP visualization, and descriptive HDBSCAN clustering. This stage was diagnostic only: no candidate was removed on the basis of UMAP or HDBSCAN labels and no embedding threshold was presented as an official competition rule.</w:t>
      </w:r>
    </w:p>
    <w:p>
      <w:pPr>
        <w:pStyle w:val="Heading1"/>
        <w:keepNext/>
      </w:pPr>
      <w:r>
        <w:t>6. Final 50K and Top100 Selection</w:t>
      </w:r>
    </w:p>
    <w:p>
      <w:r>
        <w:t>The final ranking used equal-percentile aggregation of six project scoring dimensions: APEX predicted potency (lower MIC better), HemoPI2 predicted HC50 (higher better), APD6 physicochemical realism, external novelty diagnostic, ESM-2 potent-reference Top-5 similarity, and PepSySco synthesizability. The six dimensions were weighted equally.</w:t>
      </w:r>
    </w:p>
    <w:p>
      <w:r>
        <w:t>The top 50,000 candidates by the aggregate score formed the final library. The Top100 was then selected from the library using deterministic greedy normalized BLOSUM62 local-alignment diversity pruning with an internal threshold of 0.40. This internal diversity procedure is distinct from the organizer’s official known-AMP reference compliance check.</w:t>
      </w:r>
    </w:p>
    <w:p>
      <w:pPr>
        <w:pStyle w:val="Heading1"/>
        <w:keepNext/>
      </w:pPr>
      <w:r>
        <w:t>7. Final Deliverables and Repository Mapping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Project artifact</w:t>
            </w:r>
          </w:p>
        </w:tc>
        <w:tc>
          <w:tcPr>
            <w:tcW w:type="dxa" w:w="3312"/>
            <w:shd w:fill="D9EAF7"/>
          </w:tcPr>
          <w:p>
            <w:r>
              <w:rPr>
                <w:b/>
                <w:sz w:val="18"/>
              </w:rPr>
              <w:t>Repository path</w:t>
            </w:r>
          </w:p>
        </w:tc>
        <w:tc>
          <w:tcPr>
            <w:tcW w:type="dxa" w:w="3312"/>
            <w:shd w:fill="D9EAF7"/>
          </w:tcPr>
          <w:p>
            <w:r>
              <w:rPr>
                <w:b/>
                <w:sz w:val="18"/>
              </w:rPr>
              <w:t>Purpose</w:t>
            </w:r>
          </w:p>
        </w:tc>
      </w:tr>
      <w:tr>
        <w:tc>
          <w:tcPr>
            <w:tcW w:type="dxa" w:w="3312"/>
          </w:tcPr>
          <w:p>
            <w:r>
              <w:rPr>
                <w:sz w:val="18"/>
              </w:rPr>
              <w:t>Final 50K FASTA</w:t>
            </w:r>
          </w:p>
        </w:tc>
        <w:tc>
          <w:tcPr>
            <w:tcW w:type="dxa" w:w="3312"/>
          </w:tcPr>
          <w:p>
            <w:r>
              <w:rPr>
                <w:sz w:val="18"/>
              </w:rPr>
              <w:t>generate/library.fasta</w:t>
            </w:r>
          </w:p>
        </w:tc>
        <w:tc>
          <w:tcPr>
            <w:tcW w:type="dxa" w:w="3312"/>
          </w:tcPr>
          <w:p>
            <w:r>
              <w:rPr>
                <w:sz w:val="18"/>
              </w:rPr>
              <w:t>Challenge-facing 50,000-sequence library</w:t>
            </w:r>
          </w:p>
        </w:tc>
      </w:tr>
      <w:tr>
        <w:tc>
          <w:tcPr>
            <w:tcW w:type="dxa" w:w="3312"/>
          </w:tcPr>
          <w:p>
            <w:r>
              <w:rPr>
                <w:sz w:val="18"/>
              </w:rPr>
              <w:t>Final Top100 FASTA</w:t>
            </w:r>
          </w:p>
        </w:tc>
        <w:tc>
          <w:tcPr>
            <w:tcW w:type="dxa" w:w="3312"/>
          </w:tcPr>
          <w:p>
            <w:r>
              <w:rPr>
                <w:sz w:val="18"/>
              </w:rPr>
              <w:t>generate/top.fasta</w:t>
            </w:r>
          </w:p>
        </w:tc>
        <w:tc>
          <w:tcPr>
            <w:tcW w:type="dxa" w:w="3312"/>
          </w:tcPr>
          <w:p>
            <w:r>
              <w:rPr>
                <w:sz w:val="18"/>
              </w:rPr>
              <w:t>Challenge-facing ranked Top100</w:t>
            </w:r>
          </w:p>
        </w:tc>
      </w:tr>
      <w:tr>
        <w:tc>
          <w:tcPr>
            <w:tcW w:type="dxa" w:w="3312"/>
          </w:tcPr>
          <w:p>
            <w:r>
              <w:rPr>
                <w:sz w:val="18"/>
              </w:rPr>
              <w:t>Full 50K CSV</w:t>
            </w:r>
          </w:p>
        </w:tc>
        <w:tc>
          <w:tcPr>
            <w:tcW w:type="dxa" w:w="3312"/>
          </w:tcPr>
          <w:p>
            <w:r>
              <w:rPr>
                <w:sz w:val="18"/>
              </w:rPr>
              <w:t>Not required for challenge-facing output</w:t>
            </w:r>
          </w:p>
        </w:tc>
        <w:tc>
          <w:tcPr>
            <w:tcW w:type="dxa" w:w="3312"/>
          </w:tcPr>
          <w:p>
            <w:r>
              <w:rPr>
                <w:sz w:val="18"/>
              </w:rPr>
              <w:t>Audit table with inherited features and final ranking fields</w:t>
            </w:r>
          </w:p>
        </w:tc>
      </w:tr>
      <w:tr>
        <w:tc>
          <w:tcPr>
            <w:tcW w:type="dxa" w:w="3312"/>
          </w:tcPr>
          <w:p>
            <w:r>
              <w:rPr>
                <w:sz w:val="18"/>
              </w:rPr>
              <w:t>Full Top100 CSV</w:t>
            </w:r>
          </w:p>
        </w:tc>
        <w:tc>
          <w:tcPr>
            <w:tcW w:type="dxa" w:w="3312"/>
          </w:tcPr>
          <w:p>
            <w:r>
              <w:rPr>
                <w:sz w:val="18"/>
              </w:rPr>
              <w:t>Not required for challenge-facing output</w:t>
            </w:r>
          </w:p>
        </w:tc>
        <w:tc>
          <w:tcPr>
            <w:tcW w:type="dxa" w:w="3312"/>
          </w:tcPr>
          <w:p>
            <w:r>
              <w:rPr>
                <w:sz w:val="18"/>
              </w:rPr>
              <w:t>Audit table for the selected Top100</w:t>
            </w:r>
          </w:p>
        </w:tc>
      </w:tr>
      <w:tr>
        <w:tc>
          <w:tcPr>
            <w:tcW w:type="dxa" w:w="3312"/>
          </w:tcPr>
          <w:p>
            <w:r>
              <w:rPr>
                <w:sz w:val="18"/>
              </w:rPr>
              <w:t>Selection manifest</w:t>
            </w:r>
          </w:p>
        </w:tc>
        <w:tc>
          <w:tcPr>
            <w:tcW w:type="dxa" w:w="3312"/>
          </w:tcPr>
          <w:p>
            <w:r>
              <w:rPr>
                <w:sz w:val="18"/>
              </w:rPr>
              <w:t>Optional audit artifact</w:t>
            </w:r>
          </w:p>
        </w:tc>
        <w:tc>
          <w:tcPr>
            <w:tcW w:type="dxa" w:w="3312"/>
          </w:tcPr>
          <w:p>
            <w:r>
              <w:rPr>
                <w:sz w:val="18"/>
              </w:rPr>
              <w:t>Selection provenance and settings</w:t>
            </w:r>
          </w:p>
        </w:tc>
      </w:tr>
    </w:tbl>
    <w:p>
      <w:r>
        <w:rPr>
          <w:b/>
        </w:rPr>
        <w:t>Recorded SHA-256 checksums.</w:t>
      </w:r>
    </w:p>
    <w:p>
      <w:pPr>
        <w:pStyle w:val="ListBullet"/>
      </w:pPr>
      <w:r>
        <w:t>library FASTA: 92cb18fa4b138dd689d3761b0c93d8cc31123269e00d3f76db7db2315f054f26</w:t>
      </w:r>
    </w:p>
    <w:p>
      <w:pPr>
        <w:pStyle w:val="ListBullet"/>
      </w:pPr>
      <w:r>
        <w:t>top100 FASTA: a75a0916d02eb87a1b058c06e7851bc4c329b25f0ab2db40bae1664753706fa5</w:t>
      </w:r>
    </w:p>
    <w:p>
      <w:pPr>
        <w:pStyle w:val="ListBullet"/>
      </w:pPr>
      <w:r>
        <w:t>library full CSV: 9b53df50d8a8d7cd97d3b2fe762d0fdea83ae1c1b8920895f155a39a692037e0</w:t>
      </w:r>
    </w:p>
    <w:p>
      <w:pPr>
        <w:pStyle w:val="ListBullet"/>
      </w:pPr>
      <w:r>
        <w:t>top100 full CSV: d79a6ea0cf658a1748f0f1478f421a9e1d6fdedd0cb8d9061cc8099435816af5</w:t>
      </w:r>
    </w:p>
    <w:p>
      <w:pPr>
        <w:pStyle w:val="Heading1"/>
        <w:keepNext/>
      </w:pPr>
      <w:r>
        <w:t>8. Repository Structure and Reproducibility</w:t>
      </w:r>
    </w:p>
    <w:p>
      <w:r>
        <w:t>The repository now contains the final FASTA outputs, HydrAMP checkpoint resources, executed Colab notebooks under repository-consistent names, project-specific APEX and HemoPI2 wrappers, and REPRODUCIBILITY.md describing the real server/Colab hand-offs in execution order.</w:t>
      </w:r>
    </w:p>
    <w:p>
      <w:pPr>
        <w:pStyle w:val="ListBullet"/>
      </w:pPr>
      <w:r>
        <w:t>checkpoint/ — HydrAMP model resources and provenance</w:t>
      </w:r>
    </w:p>
    <w:p>
      <w:pPr>
        <w:pStyle w:val="ListBullet"/>
      </w:pPr>
      <w:r>
        <w:t>data/ — official antibacterial reference and external-data instructions</w:t>
      </w:r>
    </w:p>
    <w:p>
      <w:pPr>
        <w:pStyle w:val="ListBullet"/>
      </w:pPr>
      <w:r>
        <w:t>generate/ — challenge-facing final FASTA outputs</w:t>
      </w:r>
    </w:p>
    <w:p>
      <w:pPr>
        <w:pStyle w:val="ListBullet"/>
      </w:pPr>
      <w:r>
        <w:t>notebooks/ — executed Colab workflows</w:t>
      </w:r>
    </w:p>
    <w:p>
      <w:pPr>
        <w:pStyle w:val="ListBullet"/>
      </w:pPr>
      <w:r>
        <w:t>scripts/apex/run_apex_120k.py — APEX production wrapper</w:t>
      </w:r>
    </w:p>
    <w:p>
      <w:pPr>
        <w:pStyle w:val="ListBullet"/>
      </w:pPr>
      <w:r>
        <w:t>scripts/hemopi2/run_hemopi2_60k.py — HemoPI2 production wrapper</w:t>
      </w:r>
    </w:p>
    <w:p>
      <w:pPr>
        <w:pStyle w:val="ListBullet"/>
      </w:pPr>
      <w:r>
        <w:t>src/persipep_amp_challenge/ — Python package and challenge entry-point scaffold</w:t>
      </w:r>
    </w:p>
    <w:p>
      <w:pPr>
        <w:pStyle w:val="ListBullet"/>
      </w:pPr>
      <w:r>
        <w:t>REPRODUCIBILITY.md — ordered reproduction guide</w:t>
      </w:r>
    </w:p>
    <w:p>
      <w:r>
        <w:t>The scientific pipeline itself is complete. The remaining work is release engineering: clean-environment testing, final dependency/entry-point validation, the organizer’s exact known-reference compliance check, and the official challenge repository/submission verifier. These checks should not be described as completed until they have actually been run.</w:t>
      </w:r>
    </w:p>
    <w:p>
      <w:pPr>
        <w:pStyle w:val="Heading1"/>
        <w:keepNext/>
      </w:pPr>
      <w:r>
        <w:t>9. Final Project Status</w:t>
      </w:r>
    </w:p>
    <w:p>
      <w:r>
        <w:t>PersiPep completed the computational design and selection workflow from 250,000 raw HydrAMP generations to a final 50,000-sequence library and a 100-sequence diversity-pruned shortlist. The selection integrates predicted potency, predicted safety, physicochemical realism, external novelty, biologically informed ESM-2 similarity, synthesizability, and diversity while preserving a clear distinction between project-level diagnostics and the organizer’s official compliance procedures.</w:t>
      </w:r>
    </w:p>
    <w:p>
      <w:r>
        <w:t>For operational reproduction, use REPRODUCIBILITY.md together with the repository notebooks and server wrappers. The concise report intentionally summarizes only the methods and results that were actually used in the completed pipeline.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PersiPep AMP Challenge 2027 — Concise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