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0739E"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sz w:val="48"/>
        </w:rPr>
        <w:t>PersiPep AMP Challenge 2027</w:t>
      </w:r>
    </w:p>
    <w:p w14:paraId="702043AC"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sz w:val="32"/>
        </w:rPr>
        <w:t>Concise Computational Design and Selection Report</w:t>
      </w:r>
    </w:p>
    <w:p w14:paraId="20D0FE12"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i/>
        </w:rPr>
        <w:t>HydrAMP generation → multi-objective screening → final 50K library and Top100</w:t>
      </w:r>
    </w:p>
    <w:p w14:paraId="0CAFB143" w14:textId="77777777" w:rsidR="00A71FD6" w:rsidRPr="006A6355" w:rsidRDefault="00A71FD6" w:rsidP="006A6355">
      <w:pPr>
        <w:jc w:val="both"/>
        <w:rPr>
          <w:rFonts w:asciiTheme="majorBidi" w:hAnsiTheme="majorBidi" w:cstheme="majorBidi"/>
        </w:rPr>
      </w:pPr>
    </w:p>
    <w:p w14:paraId="4B301E12" w14:textId="77777777" w:rsidR="00A71FD6" w:rsidRPr="006A6355" w:rsidRDefault="00000000" w:rsidP="006A6355">
      <w:pPr>
        <w:pStyle w:val="Heading1"/>
        <w:jc w:val="both"/>
        <w:rPr>
          <w:rFonts w:asciiTheme="majorBidi" w:hAnsiTheme="majorBidi"/>
          <w:color w:val="auto"/>
        </w:rPr>
      </w:pPr>
      <w:r w:rsidRPr="006A6355">
        <w:rPr>
          <w:rFonts w:asciiTheme="majorBidi" w:hAnsiTheme="majorBidi"/>
          <w:color w:val="auto"/>
        </w:rPr>
        <w:t>1. Executive Summary</w:t>
      </w:r>
    </w:p>
    <w:p w14:paraId="0FFE845D"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rPr>
        <w:t xml:space="preserve">Objective. </w:t>
      </w:r>
      <w:r w:rsidRPr="006A6355">
        <w:rPr>
          <w:rFonts w:asciiTheme="majorBidi" w:hAnsiTheme="majorBidi" w:cstheme="majorBidi"/>
        </w:rPr>
        <w:t>Generate a large de novo antimicrobial-peptide candidate pool, apply reproducible multi-objective computational screening, and select the final 50,000-sequence library and Top100 for the AMP Challenge.</w:t>
      </w:r>
    </w:p>
    <w:p w14:paraId="3228A5E0"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rPr>
        <w:t xml:space="preserve">Production generator. </w:t>
      </w:r>
      <w:r w:rsidRPr="006A6355">
        <w:rPr>
          <w:rFonts w:asciiTheme="majorBidi" w:hAnsiTheme="majorBidi" w:cstheme="majorBidi"/>
        </w:rPr>
        <w:t>HydrAMP was used for production because its pretrained checkpoint, deterministic seed control, challenge-oriented starter-kit workflow, and successful end-to-end execution provided the strongest combination of task alignment and reproducibility in the available computing environment. AMP-Diffusion and Controllable AMP Design were evaluated as alternatives but were not used to construct the production pool.</w:t>
      </w:r>
    </w:p>
    <w:p w14:paraId="5C703DCB"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Execution model. The real workflow was intentionally multi-environment: HydrAMP generation, APEX scoring, and HemoPI2 scoring were run on the university server; cleaning, novelty analysis, physicochemical scoring, ESM-2 analyses, PepSySco preparation/integration, diversity assessment, and final selection were executed in Google Colab. PepSySco inference itself was performed through the external PepSySco web service, and the exact returned result is preserved in the repository. Detailed commands and file hand-offs are documented in REPRODUCIBILITY.md.</w:t>
      </w:r>
    </w:p>
    <w:p w14:paraId="58FF7028" w14:textId="77777777" w:rsidR="00A71FD6" w:rsidRPr="006A6355" w:rsidRDefault="00000000" w:rsidP="006A6355">
      <w:pPr>
        <w:pStyle w:val="Heading1"/>
        <w:jc w:val="both"/>
        <w:rPr>
          <w:rFonts w:asciiTheme="majorBidi" w:hAnsiTheme="majorBidi"/>
          <w:color w:val="auto"/>
        </w:rPr>
      </w:pPr>
      <w:r w:rsidRPr="006A6355">
        <w:rPr>
          <w:rFonts w:asciiTheme="majorBidi" w:hAnsiTheme="majorBidi"/>
          <w:color w:val="auto"/>
        </w:rPr>
        <w:t>2. Pipeline Overview</w:t>
      </w:r>
    </w:p>
    <w:tbl>
      <w:tblPr>
        <w:tblStyle w:val="TableGrid"/>
        <w:tblW w:w="0" w:type="auto"/>
        <w:jc w:val="center"/>
        <w:tblLook w:val="04A0" w:firstRow="1" w:lastRow="0" w:firstColumn="1" w:lastColumn="0" w:noHBand="0" w:noVBand="1"/>
      </w:tblPr>
      <w:tblGrid>
        <w:gridCol w:w="2482"/>
        <w:gridCol w:w="2481"/>
        <w:gridCol w:w="2482"/>
        <w:gridCol w:w="2481"/>
      </w:tblGrid>
      <w:tr w:rsidR="00A71FD6" w:rsidRPr="006A6355" w14:paraId="0762FAE9" w14:textId="77777777">
        <w:trPr>
          <w:jc w:val="center"/>
        </w:trPr>
        <w:tc>
          <w:tcPr>
            <w:tcW w:w="2484" w:type="dxa"/>
            <w:shd w:val="clear" w:color="auto" w:fill="D9EAF7"/>
            <w:vAlign w:val="center"/>
          </w:tcPr>
          <w:p w14:paraId="5A7E9F72"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sz w:val="18"/>
              </w:rPr>
              <w:t>Stage</w:t>
            </w:r>
          </w:p>
        </w:tc>
        <w:tc>
          <w:tcPr>
            <w:tcW w:w="2484" w:type="dxa"/>
            <w:shd w:val="clear" w:color="auto" w:fill="D9EAF7"/>
            <w:vAlign w:val="center"/>
          </w:tcPr>
          <w:p w14:paraId="46B7CE5A"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sz w:val="18"/>
              </w:rPr>
              <w:t>Environment</w:t>
            </w:r>
          </w:p>
        </w:tc>
        <w:tc>
          <w:tcPr>
            <w:tcW w:w="2484" w:type="dxa"/>
            <w:shd w:val="clear" w:color="auto" w:fill="D9EAF7"/>
            <w:vAlign w:val="center"/>
          </w:tcPr>
          <w:p w14:paraId="147428CA"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sz w:val="18"/>
              </w:rPr>
              <w:t>Main method</w:t>
            </w:r>
          </w:p>
        </w:tc>
        <w:tc>
          <w:tcPr>
            <w:tcW w:w="2484" w:type="dxa"/>
            <w:shd w:val="clear" w:color="auto" w:fill="D9EAF7"/>
            <w:vAlign w:val="center"/>
          </w:tcPr>
          <w:p w14:paraId="474D9BE8"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sz w:val="18"/>
              </w:rPr>
              <w:t>Main output</w:t>
            </w:r>
          </w:p>
        </w:tc>
      </w:tr>
      <w:tr w:rsidR="00A71FD6" w:rsidRPr="006A6355" w14:paraId="5BEF9F40" w14:textId="77777777">
        <w:trPr>
          <w:jc w:val="center"/>
        </w:trPr>
        <w:tc>
          <w:tcPr>
            <w:tcW w:w="2484" w:type="dxa"/>
            <w:vAlign w:val="center"/>
          </w:tcPr>
          <w:p w14:paraId="7B407822"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Generation</w:t>
            </w:r>
          </w:p>
        </w:tc>
        <w:tc>
          <w:tcPr>
            <w:tcW w:w="2484" w:type="dxa"/>
            <w:vAlign w:val="center"/>
          </w:tcPr>
          <w:p w14:paraId="734DB918"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Server</w:t>
            </w:r>
          </w:p>
        </w:tc>
        <w:tc>
          <w:tcPr>
            <w:tcW w:w="2484" w:type="dxa"/>
            <w:vAlign w:val="center"/>
          </w:tcPr>
          <w:p w14:paraId="07C2BA98"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HydrAMP, 5×50K; starting seeds 42, 44, 46, 48, 50</w:t>
            </w:r>
          </w:p>
        </w:tc>
        <w:tc>
          <w:tcPr>
            <w:tcW w:w="2484" w:type="dxa"/>
            <w:vAlign w:val="center"/>
          </w:tcPr>
          <w:p w14:paraId="547D09D9"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250,000 raw candidates</w:t>
            </w:r>
          </w:p>
        </w:tc>
      </w:tr>
      <w:tr w:rsidR="00A71FD6" w:rsidRPr="006A6355" w14:paraId="31C23FA2" w14:textId="77777777">
        <w:trPr>
          <w:jc w:val="center"/>
        </w:trPr>
        <w:tc>
          <w:tcPr>
            <w:tcW w:w="2484" w:type="dxa"/>
            <w:vAlign w:val="center"/>
          </w:tcPr>
          <w:p w14:paraId="12BD36CA"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Cleaning</w:t>
            </w:r>
          </w:p>
        </w:tc>
        <w:tc>
          <w:tcPr>
            <w:tcW w:w="2484" w:type="dxa"/>
            <w:vAlign w:val="center"/>
          </w:tcPr>
          <w:p w14:paraId="7FEBA35E"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Colab</w:t>
            </w:r>
          </w:p>
        </w:tc>
        <w:tc>
          <w:tcPr>
            <w:tcW w:w="2484" w:type="dxa"/>
            <w:vAlign w:val="center"/>
          </w:tcPr>
          <w:p w14:paraId="0DE75200"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Validity, deduplication, official-reference pre-screen, external exact-overlap removal</w:t>
            </w:r>
          </w:p>
        </w:tc>
        <w:tc>
          <w:tcPr>
            <w:tcW w:w="2484" w:type="dxa"/>
            <w:vAlign w:val="center"/>
          </w:tcPr>
          <w:p w14:paraId="7E417F6C"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246,795 clean candidates</w:t>
            </w:r>
          </w:p>
        </w:tc>
      </w:tr>
      <w:tr w:rsidR="00A71FD6" w:rsidRPr="006A6355" w14:paraId="1EABCD0C" w14:textId="77777777">
        <w:trPr>
          <w:jc w:val="center"/>
        </w:trPr>
        <w:tc>
          <w:tcPr>
            <w:tcW w:w="2484" w:type="dxa"/>
            <w:vAlign w:val="center"/>
          </w:tcPr>
          <w:p w14:paraId="040FE4D3"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External novelty</w:t>
            </w:r>
          </w:p>
        </w:tc>
        <w:tc>
          <w:tcPr>
            <w:tcW w:w="2484" w:type="dxa"/>
            <w:vAlign w:val="center"/>
          </w:tcPr>
          <w:p w14:paraId="70CA2441"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Colab</w:t>
            </w:r>
          </w:p>
        </w:tc>
        <w:tc>
          <w:tcPr>
            <w:tcW w:w="2484" w:type="dxa"/>
            <w:vAlign w:val="center"/>
          </w:tcPr>
          <w:p w14:paraId="15DDB4E5"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3-mer shortlist + RapidFuzz near-match diagnostic</w:t>
            </w:r>
          </w:p>
        </w:tc>
        <w:tc>
          <w:tcPr>
            <w:tcW w:w="2484" w:type="dxa"/>
            <w:vAlign w:val="center"/>
          </w:tcPr>
          <w:p w14:paraId="75718297"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Near-match scored clean pool</w:t>
            </w:r>
          </w:p>
        </w:tc>
      </w:tr>
      <w:tr w:rsidR="00A71FD6" w:rsidRPr="006A6355" w14:paraId="47D6C642" w14:textId="77777777">
        <w:trPr>
          <w:jc w:val="center"/>
        </w:trPr>
        <w:tc>
          <w:tcPr>
            <w:tcW w:w="2484" w:type="dxa"/>
            <w:vAlign w:val="center"/>
          </w:tcPr>
          <w:p w14:paraId="3FE6184E"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Physicochemical + preselection</w:t>
            </w:r>
          </w:p>
        </w:tc>
        <w:tc>
          <w:tcPr>
            <w:tcW w:w="2484" w:type="dxa"/>
            <w:vAlign w:val="center"/>
          </w:tcPr>
          <w:p w14:paraId="793F4518"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Colab</w:t>
            </w:r>
          </w:p>
        </w:tc>
        <w:tc>
          <w:tcPr>
            <w:tcW w:w="2484" w:type="dxa"/>
            <w:vAlign w:val="center"/>
          </w:tcPr>
          <w:p w14:paraId="0B4AA4FB"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ProtParam/APD6 realism + soft scoring</w:t>
            </w:r>
          </w:p>
        </w:tc>
        <w:tc>
          <w:tcPr>
            <w:tcW w:w="2484" w:type="dxa"/>
            <w:vAlign w:val="center"/>
          </w:tcPr>
          <w:p w14:paraId="49A7DD04"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120,000-candidate pool</w:t>
            </w:r>
          </w:p>
        </w:tc>
      </w:tr>
      <w:tr w:rsidR="00A71FD6" w:rsidRPr="006A6355" w14:paraId="348A1CFF" w14:textId="77777777">
        <w:trPr>
          <w:jc w:val="center"/>
        </w:trPr>
        <w:tc>
          <w:tcPr>
            <w:tcW w:w="2484" w:type="dxa"/>
            <w:vAlign w:val="center"/>
          </w:tcPr>
          <w:p w14:paraId="1580A9B8"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Potency</w:t>
            </w:r>
          </w:p>
        </w:tc>
        <w:tc>
          <w:tcPr>
            <w:tcW w:w="2484" w:type="dxa"/>
            <w:vAlign w:val="center"/>
          </w:tcPr>
          <w:p w14:paraId="03FBC639"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Server</w:t>
            </w:r>
          </w:p>
        </w:tc>
        <w:tc>
          <w:tcPr>
            <w:tcW w:w="2484" w:type="dxa"/>
            <w:vAlign w:val="center"/>
          </w:tcPr>
          <w:p w14:paraId="6CF02C08"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APEX-pathogen, 11-pathogen mean predicted MIC</w:t>
            </w:r>
          </w:p>
        </w:tc>
        <w:tc>
          <w:tcPr>
            <w:tcW w:w="2484" w:type="dxa"/>
            <w:vAlign w:val="center"/>
          </w:tcPr>
          <w:p w14:paraId="54D61901"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APEX-scored 120K pool</w:t>
            </w:r>
          </w:p>
        </w:tc>
      </w:tr>
      <w:tr w:rsidR="00A71FD6" w:rsidRPr="006A6355" w14:paraId="6FA6F47D" w14:textId="77777777">
        <w:trPr>
          <w:jc w:val="center"/>
        </w:trPr>
        <w:tc>
          <w:tcPr>
            <w:tcW w:w="2484" w:type="dxa"/>
            <w:vAlign w:val="center"/>
          </w:tcPr>
          <w:p w14:paraId="3187301D"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60K preselection</w:t>
            </w:r>
          </w:p>
        </w:tc>
        <w:tc>
          <w:tcPr>
            <w:tcW w:w="2484" w:type="dxa"/>
            <w:vAlign w:val="center"/>
          </w:tcPr>
          <w:p w14:paraId="2A4D9B55"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Colab</w:t>
            </w:r>
          </w:p>
        </w:tc>
        <w:tc>
          <w:tcPr>
            <w:tcW w:w="2484" w:type="dxa"/>
            <w:vAlign w:val="center"/>
          </w:tcPr>
          <w:p w14:paraId="7E4CDAB3"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APEX + physicochemical + novelty soft score</w:t>
            </w:r>
          </w:p>
        </w:tc>
        <w:tc>
          <w:tcPr>
            <w:tcW w:w="2484" w:type="dxa"/>
            <w:vAlign w:val="center"/>
          </w:tcPr>
          <w:p w14:paraId="656F0886"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60,000-candidate pool</w:t>
            </w:r>
          </w:p>
        </w:tc>
      </w:tr>
      <w:tr w:rsidR="00A71FD6" w:rsidRPr="006A6355" w14:paraId="6867CF01" w14:textId="77777777">
        <w:trPr>
          <w:jc w:val="center"/>
        </w:trPr>
        <w:tc>
          <w:tcPr>
            <w:tcW w:w="2484" w:type="dxa"/>
            <w:vAlign w:val="center"/>
          </w:tcPr>
          <w:p w14:paraId="72FE4A41"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Safety</w:t>
            </w:r>
          </w:p>
        </w:tc>
        <w:tc>
          <w:tcPr>
            <w:tcW w:w="2484" w:type="dxa"/>
            <w:vAlign w:val="center"/>
          </w:tcPr>
          <w:p w14:paraId="2073A0B8"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Server</w:t>
            </w:r>
          </w:p>
        </w:tc>
        <w:tc>
          <w:tcPr>
            <w:tcW w:w="2484" w:type="dxa"/>
            <w:vAlign w:val="center"/>
          </w:tcPr>
          <w:p w14:paraId="0EE96520"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HemoPI2 predicted HC50</w:t>
            </w:r>
          </w:p>
        </w:tc>
        <w:tc>
          <w:tcPr>
            <w:tcW w:w="2484" w:type="dxa"/>
            <w:vAlign w:val="center"/>
          </w:tcPr>
          <w:p w14:paraId="2AD92B88"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HemoPI2-scored 60K pool</w:t>
            </w:r>
          </w:p>
        </w:tc>
      </w:tr>
      <w:tr w:rsidR="00A71FD6" w:rsidRPr="006A6355" w14:paraId="21F75B20" w14:textId="77777777">
        <w:trPr>
          <w:jc w:val="center"/>
        </w:trPr>
        <w:tc>
          <w:tcPr>
            <w:tcW w:w="2484" w:type="dxa"/>
            <w:vAlign w:val="center"/>
          </w:tcPr>
          <w:p w14:paraId="717D47F4"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Biological embedding</w:t>
            </w:r>
          </w:p>
        </w:tc>
        <w:tc>
          <w:tcPr>
            <w:tcW w:w="2484" w:type="dxa"/>
            <w:vAlign w:val="center"/>
          </w:tcPr>
          <w:p w14:paraId="6E3E5FBD"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Colab</w:t>
            </w:r>
          </w:p>
        </w:tc>
        <w:tc>
          <w:tcPr>
            <w:tcW w:w="2484" w:type="dxa"/>
            <w:vAlign w:val="center"/>
          </w:tcPr>
          <w:p w14:paraId="69EBB87D"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ESM-2 candidate/reference cosine similarity</w:t>
            </w:r>
          </w:p>
        </w:tc>
        <w:tc>
          <w:tcPr>
            <w:tcW w:w="2484" w:type="dxa"/>
            <w:vAlign w:val="center"/>
          </w:tcPr>
          <w:p w14:paraId="131183BB"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ESM-2 biological-score table</w:t>
            </w:r>
          </w:p>
        </w:tc>
      </w:tr>
      <w:tr w:rsidR="00A71FD6" w:rsidRPr="006A6355" w14:paraId="2FDBE1D6" w14:textId="77777777">
        <w:trPr>
          <w:jc w:val="center"/>
        </w:trPr>
        <w:tc>
          <w:tcPr>
            <w:tcW w:w="2484" w:type="dxa"/>
            <w:vAlign w:val="center"/>
          </w:tcPr>
          <w:p w14:paraId="296FAB53"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Synthesizability</w:t>
            </w:r>
          </w:p>
        </w:tc>
        <w:tc>
          <w:tcPr>
            <w:tcW w:w="2484" w:type="dxa"/>
            <w:vAlign w:val="center"/>
          </w:tcPr>
          <w:p w14:paraId="3C0C5AAE"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Colab + external web service</w:t>
            </w:r>
          </w:p>
        </w:tc>
        <w:tc>
          <w:tcPr>
            <w:tcW w:w="2484" w:type="dxa"/>
            <w:vAlign w:val="center"/>
          </w:tcPr>
          <w:p w14:paraId="40FFA2A6"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PepSySco web-service inference + preserved result integration</w:t>
            </w:r>
          </w:p>
        </w:tc>
        <w:tc>
          <w:tcPr>
            <w:tcW w:w="2484" w:type="dxa"/>
            <w:vAlign w:val="center"/>
          </w:tcPr>
          <w:p w14:paraId="2A0F8130"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PepSySco-scored 60K pool</w:t>
            </w:r>
          </w:p>
        </w:tc>
      </w:tr>
      <w:tr w:rsidR="00A71FD6" w:rsidRPr="006A6355" w14:paraId="3F6DA8C8" w14:textId="77777777">
        <w:trPr>
          <w:jc w:val="center"/>
        </w:trPr>
        <w:tc>
          <w:tcPr>
            <w:tcW w:w="2484" w:type="dxa"/>
            <w:vAlign w:val="center"/>
          </w:tcPr>
          <w:p w14:paraId="21738897"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Diversity</w:t>
            </w:r>
          </w:p>
        </w:tc>
        <w:tc>
          <w:tcPr>
            <w:tcW w:w="2484" w:type="dxa"/>
            <w:vAlign w:val="center"/>
          </w:tcPr>
          <w:p w14:paraId="684BC505"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Colab</w:t>
            </w:r>
          </w:p>
        </w:tc>
        <w:tc>
          <w:tcPr>
            <w:tcW w:w="2484" w:type="dxa"/>
            <w:vAlign w:val="center"/>
          </w:tcPr>
          <w:p w14:paraId="3DD24B8D"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ESM-2 NN + UMAP/HDBSCAN diagnostics</w:t>
            </w:r>
          </w:p>
        </w:tc>
        <w:tc>
          <w:tcPr>
            <w:tcW w:w="2484" w:type="dxa"/>
            <w:vAlign w:val="center"/>
          </w:tcPr>
          <w:p w14:paraId="47A927EE"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60K diversity diagnostics</w:t>
            </w:r>
          </w:p>
        </w:tc>
      </w:tr>
      <w:tr w:rsidR="00A71FD6" w:rsidRPr="006A6355" w14:paraId="17C8C216" w14:textId="77777777">
        <w:trPr>
          <w:jc w:val="center"/>
        </w:trPr>
        <w:tc>
          <w:tcPr>
            <w:tcW w:w="2484" w:type="dxa"/>
            <w:vAlign w:val="center"/>
          </w:tcPr>
          <w:p w14:paraId="6CF0D9E5"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Final selection</w:t>
            </w:r>
          </w:p>
        </w:tc>
        <w:tc>
          <w:tcPr>
            <w:tcW w:w="2484" w:type="dxa"/>
            <w:vAlign w:val="center"/>
          </w:tcPr>
          <w:p w14:paraId="6EE40CD7"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Colab</w:t>
            </w:r>
          </w:p>
        </w:tc>
        <w:tc>
          <w:tcPr>
            <w:tcW w:w="2484" w:type="dxa"/>
            <w:vAlign w:val="center"/>
          </w:tcPr>
          <w:p w14:paraId="3DCD8E9D"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Equal-percentile six-criterion ranking + greedy Top100 pruning</w:t>
            </w:r>
          </w:p>
        </w:tc>
        <w:tc>
          <w:tcPr>
            <w:tcW w:w="2484" w:type="dxa"/>
            <w:vAlign w:val="center"/>
          </w:tcPr>
          <w:p w14:paraId="11E4F647"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50K library + Top100</w:t>
            </w:r>
          </w:p>
        </w:tc>
      </w:tr>
    </w:tbl>
    <w:p w14:paraId="0BCA73A1" w14:textId="77777777" w:rsidR="00A71FD6" w:rsidRPr="006A6355" w:rsidRDefault="00000000" w:rsidP="006A6355">
      <w:pPr>
        <w:pStyle w:val="Heading1"/>
        <w:jc w:val="both"/>
        <w:rPr>
          <w:rFonts w:asciiTheme="majorBidi" w:hAnsiTheme="majorBidi"/>
          <w:color w:val="auto"/>
        </w:rPr>
      </w:pPr>
      <w:r w:rsidRPr="006A6355">
        <w:rPr>
          <w:rFonts w:asciiTheme="majorBidi" w:hAnsiTheme="majorBidi"/>
          <w:color w:val="auto"/>
        </w:rPr>
        <w:lastRenderedPageBreak/>
        <w:t>3. Generation and Cleaning</w:t>
      </w:r>
    </w:p>
    <w:p w14:paraId="70C28C5A" w14:textId="77777777" w:rsidR="00A71FD6" w:rsidRPr="006A6355" w:rsidRDefault="00000000" w:rsidP="006A6355">
      <w:pPr>
        <w:pStyle w:val="Heading2"/>
        <w:jc w:val="both"/>
        <w:rPr>
          <w:rFonts w:asciiTheme="majorBidi" w:hAnsiTheme="majorBidi"/>
          <w:color w:val="auto"/>
        </w:rPr>
      </w:pPr>
      <w:r w:rsidRPr="006A6355">
        <w:rPr>
          <w:rFonts w:asciiTheme="majorBidi" w:hAnsiTheme="majorBidi"/>
          <w:color w:val="auto"/>
        </w:rPr>
        <w:t>3.1 HydrAMP production</w:t>
      </w:r>
    </w:p>
    <w:p w14:paraId="728F409E"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Five independent 50,000-sequence HydrAMP batches were generated with starting seeds 42, 44, 46, 48, and 50, producing a raw pool of 250,000 candidates. HydrAMP may internally advance the seed when additional accepted sequences are required to reach exactly 50,000; preserved filenames record the starting seed of each batch.</w:t>
      </w:r>
    </w:p>
    <w:p w14:paraId="7CAEEB33"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HydrAMP resources packaged in the repository use the current layout checkpoint/model/model/ for the pretrained model and checkpoint/model/pca_decomposer.joblib for the PCA decomposer, with provenance documented in checkpoint/README.md. A repository-side isolated inference subproject is preserved under inference/hydramp/. The starter-kit commit used for this project was 7804df862872ccc6d09fe01c41bafbca194cfa31, and the underlying HydrAMP package revision was 6590d2f4c2963f25d30669052a4c4a857e0e7279.</w:t>
      </w:r>
    </w:p>
    <w:p w14:paraId="5D8202D4" w14:textId="77777777" w:rsidR="00A71FD6" w:rsidRPr="006A6355" w:rsidRDefault="00000000" w:rsidP="006A6355">
      <w:pPr>
        <w:pStyle w:val="Heading2"/>
        <w:jc w:val="both"/>
        <w:rPr>
          <w:rFonts w:asciiTheme="majorBidi" w:hAnsiTheme="majorBidi"/>
          <w:color w:val="auto"/>
        </w:rPr>
      </w:pPr>
      <w:r w:rsidRPr="006A6355">
        <w:rPr>
          <w:rFonts w:asciiTheme="majorBidi" w:hAnsiTheme="majorBidi"/>
          <w:color w:val="auto"/>
        </w:rPr>
        <w:t>3.2 Combined cleaning</w:t>
      </w:r>
    </w:p>
    <w:p w14:paraId="5FB3703B"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The five batches were merged and processed with the repository notebook notebooks/00_cleaning/AMP_Challenge_MultiBatch_Clean_Pool_Builder.ipynb. The workflow removed invalid sequences, out-of-range lengths, cross-batch duplicates, exact matches to the official challenge reference, sequences above the project pre-screen threshold against that reference, and exact overlaps with APD6, DBAASP, and dbAMP3.</w:t>
      </w:r>
    </w:p>
    <w:p w14:paraId="01E572E3"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rPr>
        <w:t xml:space="preserve">Result: </w:t>
      </w:r>
      <w:r w:rsidRPr="006A6355">
        <w:rPr>
          <w:rFonts w:asciiTheme="majorBidi" w:hAnsiTheme="majorBidi" w:cstheme="majorBidi"/>
        </w:rPr>
        <w:t>246,795 unique clean candidates retained from 250,000 raw sequences (98.72% retention).</w:t>
      </w:r>
    </w:p>
    <w:p w14:paraId="5A750DB5"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The RapidFuzz-based reference comparison used during this stage is treated as a practical pre-screen, not as a substitute for the organizer’s final official compliance implementation.</w:t>
      </w:r>
    </w:p>
    <w:p w14:paraId="579BCF24" w14:textId="77777777" w:rsidR="00A71FD6" w:rsidRPr="006A6355" w:rsidRDefault="00000000" w:rsidP="006A6355">
      <w:pPr>
        <w:pStyle w:val="Heading1"/>
        <w:jc w:val="both"/>
        <w:rPr>
          <w:rFonts w:asciiTheme="majorBidi" w:hAnsiTheme="majorBidi"/>
          <w:color w:val="auto"/>
        </w:rPr>
      </w:pPr>
      <w:r w:rsidRPr="006A6355">
        <w:rPr>
          <w:rFonts w:asciiTheme="majorBidi" w:hAnsiTheme="majorBidi"/>
          <w:color w:val="auto"/>
        </w:rPr>
        <w:t>4. Multi-Objective Scoring and Preselection</w:t>
      </w:r>
    </w:p>
    <w:p w14:paraId="0F6688A0" w14:textId="77777777" w:rsidR="00A71FD6" w:rsidRPr="006A6355" w:rsidRDefault="00000000" w:rsidP="006A6355">
      <w:pPr>
        <w:pStyle w:val="Heading2"/>
        <w:jc w:val="both"/>
        <w:rPr>
          <w:rFonts w:asciiTheme="majorBidi" w:hAnsiTheme="majorBidi"/>
          <w:color w:val="auto"/>
        </w:rPr>
      </w:pPr>
      <w:r w:rsidRPr="006A6355">
        <w:rPr>
          <w:rFonts w:asciiTheme="majorBidi" w:hAnsiTheme="majorBidi"/>
          <w:color w:val="auto"/>
        </w:rPr>
        <w:t>4.1 External known-AMP near-match scoring</w:t>
      </w:r>
    </w:p>
    <w:p w14:paraId="6B940EDB"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The clean pool was compared with APD6, DBAASP, and dbAMP3 using an inverted 3-mer shortlist followed by RapidFuzz refinement. No new hard rejection rule was introduced; similarity was retained as a continuous novelty diagnostic. Among 246,795 candidates, 461 had an external similarity diagnostic of at least 80%, none reached 90%, and the maximum observed similarity was 88.889%.</w:t>
      </w:r>
    </w:p>
    <w:p w14:paraId="2A0AD242" w14:textId="77777777" w:rsidR="00A71FD6" w:rsidRPr="006A6355" w:rsidRDefault="00000000" w:rsidP="006A6355">
      <w:pPr>
        <w:pStyle w:val="Heading2"/>
        <w:jc w:val="both"/>
        <w:rPr>
          <w:rFonts w:asciiTheme="majorBidi" w:hAnsiTheme="majorBidi"/>
          <w:color w:val="auto"/>
        </w:rPr>
      </w:pPr>
      <w:r w:rsidRPr="006A6355">
        <w:rPr>
          <w:rFonts w:asciiTheme="majorBidi" w:hAnsiTheme="majorBidi"/>
          <w:color w:val="auto"/>
        </w:rPr>
        <w:t>4.2 Physicochemical realism and 120K preselection</w:t>
      </w:r>
    </w:p>
    <w:p w14:paraId="7C30FAA0"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Biopython ProtParam descriptors and an explicit Ikai aliphatic index were calculated for the full clean pool. Candidate properties were benchmarked against literature ranges and the empirical APD6 distribution. A soft resource-reduction score combining physicochemical realism, literature compliance, and novelty reduced the pool to 120,000 candidates, balanced at 24,000 per HydrAMP batch.</w:t>
      </w:r>
    </w:p>
    <w:p w14:paraId="7E0BC55B" w14:textId="77777777" w:rsidR="00A71FD6" w:rsidRPr="006A6355" w:rsidRDefault="00000000" w:rsidP="006A6355">
      <w:pPr>
        <w:pStyle w:val="Heading2"/>
        <w:jc w:val="both"/>
        <w:rPr>
          <w:rFonts w:asciiTheme="majorBidi" w:hAnsiTheme="majorBidi"/>
          <w:color w:val="auto"/>
        </w:rPr>
      </w:pPr>
      <w:r w:rsidRPr="006A6355">
        <w:rPr>
          <w:rFonts w:asciiTheme="majorBidi" w:hAnsiTheme="majorBidi"/>
          <w:color w:val="auto"/>
        </w:rPr>
        <w:t>4.3 APEX predicted potency</w:t>
      </w:r>
    </w:p>
    <w:p w14:paraId="249F305E"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The complete 120K pool was scored on the server with the APEX-pathogen implementation distributed with the AMP-Diffusion starter kit. The project potency signal was the mean predicted MIC across 11 pathogens; lower values were treated as more favorable. Final validation confirmed 120,000 unique rows and no missing mean-MIC values. Predicted mean MIC ranged from 33.0192 to 512.1658 µM, with mean 278.0470 µM and median 272.5739 µM.</w:t>
      </w:r>
    </w:p>
    <w:p w14:paraId="0A0F46D1" w14:textId="77777777" w:rsidR="00A71FD6" w:rsidRPr="006A6355" w:rsidRDefault="00000000" w:rsidP="006A6355">
      <w:pPr>
        <w:pStyle w:val="Heading2"/>
        <w:jc w:val="both"/>
        <w:rPr>
          <w:rFonts w:asciiTheme="majorBidi" w:hAnsiTheme="majorBidi"/>
          <w:color w:val="auto"/>
        </w:rPr>
      </w:pPr>
      <w:r w:rsidRPr="006A6355">
        <w:rPr>
          <w:rFonts w:asciiTheme="majorBidi" w:hAnsiTheme="majorBidi"/>
          <w:color w:val="auto"/>
        </w:rPr>
        <w:t>4.4 APEX-informed 60K preselection</w:t>
      </w:r>
    </w:p>
    <w:p w14:paraId="071C6A0A"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The 120K pool was reduced to 60,000 candidates using a project-level soft score: 0.50 APEX potency percentile + 0.30 physicochemical realism + 0.20 novelty, with a 0.10 soft penalty for candidates carrying the external ≥80% similarity flag. Selection retained 12,000 candidates per HydrAMP batch and produced 60,000 unique sequences.</w:t>
      </w:r>
    </w:p>
    <w:p w14:paraId="681CB841" w14:textId="77777777" w:rsidR="00A71FD6" w:rsidRPr="006A6355" w:rsidRDefault="00000000" w:rsidP="006A6355">
      <w:pPr>
        <w:pStyle w:val="Heading2"/>
        <w:jc w:val="both"/>
        <w:rPr>
          <w:rFonts w:asciiTheme="majorBidi" w:hAnsiTheme="majorBidi"/>
          <w:color w:val="auto"/>
        </w:rPr>
      </w:pPr>
      <w:r w:rsidRPr="006A6355">
        <w:rPr>
          <w:rFonts w:asciiTheme="majorBidi" w:hAnsiTheme="majorBidi"/>
          <w:color w:val="auto"/>
        </w:rPr>
        <w:lastRenderedPageBreak/>
        <w:t>4.5 HemoPI2 predicted safety</w:t>
      </w:r>
    </w:p>
    <w:p w14:paraId="30D57F6A"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The complete 60K pool was scored with HemoPI2 2.0 regression on the server. Higher predicted HC50 was treated as the more favorable safety signal. The final output contained 60,000 unique sequences with no missing HC50 values. Predicted HC50 ranged from 6.195 to 274.495 µM; median 26.7495 µM; mean 36.5085 µM; 95th percentile 94.8601 µM.</w:t>
      </w:r>
    </w:p>
    <w:p w14:paraId="0985CB45" w14:textId="77777777" w:rsidR="00A71FD6" w:rsidRPr="006A6355" w:rsidRDefault="00000000" w:rsidP="006A6355">
      <w:pPr>
        <w:pStyle w:val="Heading1"/>
        <w:jc w:val="both"/>
        <w:rPr>
          <w:rFonts w:asciiTheme="majorBidi" w:hAnsiTheme="majorBidi"/>
          <w:color w:val="auto"/>
        </w:rPr>
      </w:pPr>
      <w:r w:rsidRPr="006A6355">
        <w:rPr>
          <w:rFonts w:asciiTheme="majorBidi" w:hAnsiTheme="majorBidi"/>
          <w:color w:val="auto"/>
        </w:rPr>
        <w:t>5. Biological Representation, Synthesizability, and Diversity</w:t>
      </w:r>
    </w:p>
    <w:p w14:paraId="6CD3CDA9" w14:textId="77777777" w:rsidR="00A71FD6" w:rsidRPr="006A6355" w:rsidRDefault="00000000" w:rsidP="006A6355">
      <w:pPr>
        <w:pStyle w:val="Heading2"/>
        <w:jc w:val="both"/>
        <w:rPr>
          <w:rFonts w:asciiTheme="majorBidi" w:hAnsiTheme="majorBidi"/>
          <w:color w:val="auto"/>
        </w:rPr>
      </w:pPr>
      <w:r w:rsidRPr="006A6355">
        <w:rPr>
          <w:rFonts w:asciiTheme="majorBidi" w:hAnsiTheme="majorBidi"/>
          <w:color w:val="auto"/>
        </w:rPr>
        <w:t>5.1 ESM-2 embeddings</w:t>
      </w:r>
    </w:p>
    <w:p w14:paraId="1485C40F"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Step 9A extracted 480-dimensional mean-pooled ESM-2 esm2_t12_35M_UR50D embeddings for all 60,000 candidates. Step 9B independently embedded candidates and potent AMP-Diffusion reference peptides with esm2_t6_8M_UR50D (320 dimensions) and calculated cosine-similarity features. The potent-reference set used the project criterion MIC ≤16 µM in at least one tested strain. The mean Top-5 potent-reference cosine similarity used for ranking had mean 0.907532 and median 0.923501.</w:t>
      </w:r>
    </w:p>
    <w:p w14:paraId="6ABF2A12" w14:textId="77777777" w:rsidR="00A71FD6" w:rsidRPr="006A6355" w:rsidRDefault="00000000" w:rsidP="006A6355">
      <w:pPr>
        <w:pStyle w:val="Heading2"/>
        <w:jc w:val="both"/>
        <w:rPr>
          <w:rFonts w:asciiTheme="majorBidi" w:hAnsiTheme="majorBidi"/>
          <w:color w:val="auto"/>
        </w:rPr>
      </w:pPr>
      <w:r w:rsidRPr="006A6355">
        <w:rPr>
          <w:rFonts w:asciiTheme="majorBidi" w:hAnsiTheme="majorBidi"/>
          <w:color w:val="auto"/>
        </w:rPr>
        <w:t>5.2 PepSySco synthesizability</w:t>
      </w:r>
    </w:p>
    <w:p w14:paraId="42BDDE57"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PepSySco was used as a continuous synthesizability signal for the full 60K pool. Candidate preparation, diagnostics, and score integration were performed in Google Colab, while inference itself was performed through the external PepSySco web service. The exact returned production result is preserved as artifacts/pepsysco/result.csv and covers all 60,000 candidates one-to-one. All candidates were within the recorded 8–25 aa PepSySco domain. The score had mean 0.841128 and median 0.863330; 32,902 candidates scored ≥0.85.</w:t>
      </w:r>
    </w:p>
    <w:p w14:paraId="0907755E" w14:textId="77777777" w:rsidR="00A71FD6" w:rsidRPr="006A6355" w:rsidRDefault="00000000" w:rsidP="006A6355">
      <w:pPr>
        <w:pStyle w:val="Heading2"/>
        <w:jc w:val="both"/>
        <w:rPr>
          <w:rFonts w:asciiTheme="majorBidi" w:hAnsiTheme="majorBidi"/>
          <w:color w:val="auto"/>
        </w:rPr>
      </w:pPr>
      <w:r w:rsidRPr="006A6355">
        <w:rPr>
          <w:rFonts w:asciiTheme="majorBidi" w:hAnsiTheme="majorBidi"/>
          <w:color w:val="auto"/>
        </w:rPr>
        <w:t>5.3 Diversity diagnostics</w:t>
      </w:r>
    </w:p>
    <w:p w14:paraId="7E2E4EBE"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The ESM-2 35M candidate embeddings were used for cosine nearest-neighbor analysis, UMAP visualization, and descriptive HDBSCAN clustering. This stage was diagnostic only: no candidate was removed on the basis of UMAP or HDBSCAN labels and no embedding threshold was presented as an official competition rule.</w:t>
      </w:r>
    </w:p>
    <w:p w14:paraId="518FC6AF" w14:textId="77777777" w:rsidR="00A71FD6" w:rsidRPr="006A6355" w:rsidRDefault="00000000" w:rsidP="006A6355">
      <w:pPr>
        <w:pStyle w:val="Heading1"/>
        <w:jc w:val="both"/>
        <w:rPr>
          <w:rFonts w:asciiTheme="majorBidi" w:hAnsiTheme="majorBidi"/>
          <w:color w:val="auto"/>
        </w:rPr>
      </w:pPr>
      <w:r w:rsidRPr="006A6355">
        <w:rPr>
          <w:rFonts w:asciiTheme="majorBidi" w:hAnsiTheme="majorBidi"/>
          <w:color w:val="auto"/>
        </w:rPr>
        <w:t>6. Final 50K and Top100 Selection</w:t>
      </w:r>
    </w:p>
    <w:p w14:paraId="13C60490"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The final ranking used equal-percentile aggregation of six project scoring dimensions: APEX predicted potency (lower MIC better), HemoPI2 predicted HC50 (higher better), APD6 physicochemical realism, external novelty diagnostic, ESM-2 potent-reference Top-5 similarity, and PepSySco synthesizability. The six dimensions were weighted equally.</w:t>
      </w:r>
    </w:p>
    <w:p w14:paraId="2EA9CBC0"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The top 50,000 candidates by the aggregate score formed the final library. The Top100 was then selected from the library using deterministic greedy normalized BLOSUM62 local-alignment diversity pruning with an internal threshold of 0.40. This internal diversity procedure is distinct from the organizer’s official known-AMP reference compliance check.</w:t>
      </w:r>
    </w:p>
    <w:p w14:paraId="42FA4A82" w14:textId="77777777" w:rsidR="00A71FD6" w:rsidRPr="006A6355" w:rsidRDefault="00000000" w:rsidP="006A6355">
      <w:pPr>
        <w:pStyle w:val="Heading1"/>
        <w:jc w:val="both"/>
        <w:rPr>
          <w:rFonts w:asciiTheme="majorBidi" w:hAnsiTheme="majorBidi"/>
          <w:color w:val="auto"/>
        </w:rPr>
      </w:pPr>
      <w:r w:rsidRPr="006A6355">
        <w:rPr>
          <w:rFonts w:asciiTheme="majorBidi" w:hAnsiTheme="majorBidi"/>
          <w:color w:val="auto"/>
        </w:rPr>
        <w:t>7. Final Deliverables and Repository Mapping</w:t>
      </w:r>
    </w:p>
    <w:tbl>
      <w:tblPr>
        <w:tblStyle w:val="TableGrid"/>
        <w:tblW w:w="0" w:type="auto"/>
        <w:jc w:val="center"/>
        <w:tblLook w:val="04A0" w:firstRow="1" w:lastRow="0" w:firstColumn="1" w:lastColumn="0" w:noHBand="0" w:noVBand="1"/>
      </w:tblPr>
      <w:tblGrid>
        <w:gridCol w:w="1712"/>
        <w:gridCol w:w="6102"/>
        <w:gridCol w:w="2112"/>
      </w:tblGrid>
      <w:tr w:rsidR="00A71FD6" w:rsidRPr="006A6355" w14:paraId="60C8D215" w14:textId="77777777">
        <w:trPr>
          <w:jc w:val="center"/>
        </w:trPr>
        <w:tc>
          <w:tcPr>
            <w:tcW w:w="3312" w:type="dxa"/>
            <w:shd w:val="clear" w:color="auto" w:fill="D9EAF7"/>
          </w:tcPr>
          <w:p w14:paraId="17093B31"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sz w:val="18"/>
              </w:rPr>
              <w:t>Project artifact</w:t>
            </w:r>
          </w:p>
        </w:tc>
        <w:tc>
          <w:tcPr>
            <w:tcW w:w="3312" w:type="dxa"/>
            <w:shd w:val="clear" w:color="auto" w:fill="D9EAF7"/>
          </w:tcPr>
          <w:p w14:paraId="583071BC"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sz w:val="18"/>
              </w:rPr>
              <w:t>Repository path</w:t>
            </w:r>
          </w:p>
        </w:tc>
        <w:tc>
          <w:tcPr>
            <w:tcW w:w="3312" w:type="dxa"/>
            <w:shd w:val="clear" w:color="auto" w:fill="D9EAF7"/>
          </w:tcPr>
          <w:p w14:paraId="55881635"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sz w:val="18"/>
              </w:rPr>
              <w:t>Purpose</w:t>
            </w:r>
          </w:p>
        </w:tc>
      </w:tr>
      <w:tr w:rsidR="00A71FD6" w:rsidRPr="006A6355" w14:paraId="778E1791" w14:textId="77777777">
        <w:trPr>
          <w:jc w:val="center"/>
        </w:trPr>
        <w:tc>
          <w:tcPr>
            <w:tcW w:w="3312" w:type="dxa"/>
          </w:tcPr>
          <w:p w14:paraId="13305FE0"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Final 50K FASTA</w:t>
            </w:r>
          </w:p>
        </w:tc>
        <w:tc>
          <w:tcPr>
            <w:tcW w:w="3312" w:type="dxa"/>
          </w:tcPr>
          <w:p w14:paraId="41DACB99"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generate/library.fasta</w:t>
            </w:r>
          </w:p>
        </w:tc>
        <w:tc>
          <w:tcPr>
            <w:tcW w:w="3312" w:type="dxa"/>
          </w:tcPr>
          <w:p w14:paraId="01C18168"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Challenge-facing 50,000-sequence library</w:t>
            </w:r>
          </w:p>
        </w:tc>
      </w:tr>
      <w:tr w:rsidR="00A71FD6" w:rsidRPr="006A6355" w14:paraId="1F989A96" w14:textId="77777777">
        <w:trPr>
          <w:jc w:val="center"/>
        </w:trPr>
        <w:tc>
          <w:tcPr>
            <w:tcW w:w="3312" w:type="dxa"/>
          </w:tcPr>
          <w:p w14:paraId="212B1D00"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Final Top100 FASTA</w:t>
            </w:r>
          </w:p>
        </w:tc>
        <w:tc>
          <w:tcPr>
            <w:tcW w:w="3312" w:type="dxa"/>
          </w:tcPr>
          <w:p w14:paraId="0E045535"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generate/top.fasta</w:t>
            </w:r>
          </w:p>
        </w:tc>
        <w:tc>
          <w:tcPr>
            <w:tcW w:w="3312" w:type="dxa"/>
          </w:tcPr>
          <w:p w14:paraId="57457B50"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Challenge-facing ranked Top100</w:t>
            </w:r>
          </w:p>
        </w:tc>
      </w:tr>
      <w:tr w:rsidR="00A71FD6" w:rsidRPr="006A6355" w14:paraId="4781C321" w14:textId="77777777">
        <w:trPr>
          <w:jc w:val="center"/>
        </w:trPr>
        <w:tc>
          <w:tcPr>
            <w:tcW w:w="3312" w:type="dxa"/>
          </w:tcPr>
          <w:p w14:paraId="3C6F1CE5"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t>Full 50K CSV</w:t>
            </w:r>
          </w:p>
        </w:tc>
        <w:tc>
          <w:tcPr>
            <w:tcW w:w="3312" w:type="dxa"/>
          </w:tcPr>
          <w:p w14:paraId="0DB46412"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artifacts/final_selection/STEP12_FINAL_LIBRARY_50K_FULL.zip</w:t>
            </w:r>
          </w:p>
        </w:tc>
        <w:tc>
          <w:tcPr>
            <w:tcW w:w="3312" w:type="dxa"/>
          </w:tcPr>
          <w:p w14:paraId="5C6FC913"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Preserved full final 50K ranking table used for deterministic reconstruction</w:t>
            </w:r>
          </w:p>
        </w:tc>
      </w:tr>
      <w:tr w:rsidR="00A71FD6" w:rsidRPr="006A6355" w14:paraId="4868A2E7" w14:textId="77777777">
        <w:trPr>
          <w:jc w:val="center"/>
        </w:trPr>
        <w:tc>
          <w:tcPr>
            <w:tcW w:w="3312" w:type="dxa"/>
          </w:tcPr>
          <w:p w14:paraId="5827B209"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sz w:val="18"/>
              </w:rPr>
              <w:lastRenderedPageBreak/>
              <w:t>Full Top100 CSV</w:t>
            </w:r>
          </w:p>
        </w:tc>
        <w:tc>
          <w:tcPr>
            <w:tcW w:w="3312" w:type="dxa"/>
          </w:tcPr>
          <w:p w14:paraId="05E5F670"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artifacts/final_selection/STEP12_FINAL_TOP100_FULL.csv</w:t>
            </w:r>
          </w:p>
        </w:tc>
        <w:tc>
          <w:tcPr>
            <w:tcW w:w="3312" w:type="dxa"/>
          </w:tcPr>
          <w:p w14:paraId="622BE121"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Preserved ranked Top100 audit table</w:t>
            </w:r>
          </w:p>
        </w:tc>
      </w:tr>
    </w:tbl>
    <w:p w14:paraId="713E51AE"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b/>
        </w:rPr>
        <w:t>Recorded SHA-256 checksums.</w:t>
      </w:r>
    </w:p>
    <w:p w14:paraId="7ED07146"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library FASTA: 92cb18fa4b138dd689d3761b0c93d8cc31123269e00d3f76db7db2315f054f26</w:t>
      </w:r>
    </w:p>
    <w:p w14:paraId="1D968E61"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top100 FASTA: a75a0916d02eb87a1b058c06e7851bc4c329b25f0ab2db40bae1664753706fa5</w:t>
      </w:r>
    </w:p>
    <w:p w14:paraId="33E0F422"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library full CSV: 9b53df50d8a8d7cd97d3b2fe762d0fdea83ae1c1b8920895f155a39a692037e0</w:t>
      </w:r>
    </w:p>
    <w:p w14:paraId="58028E79"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top100 full CSV: d79a6ea0cf658a1748f0f1478f421a9e1d6fdedd0cb8d9061cc8099435816af5</w:t>
      </w:r>
    </w:p>
    <w:p w14:paraId="752094CA"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Root deterministic reconstruction: verified byte-for-byte against the submitted FASTA files.</w:t>
      </w:r>
    </w:p>
    <w:p w14:paraId="7DF90B9B"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HydrAMP inference smoke test: Python 3.8, seed 42, 100-sequence library + filtered Top-1 generated successfully.</w:t>
      </w:r>
    </w:p>
    <w:p w14:paraId="563F2DD2" w14:textId="77777777" w:rsidR="00A71FD6" w:rsidRPr="006A6355" w:rsidRDefault="00000000" w:rsidP="006A6355">
      <w:pPr>
        <w:pStyle w:val="Heading1"/>
        <w:jc w:val="both"/>
        <w:rPr>
          <w:rFonts w:asciiTheme="majorBidi" w:hAnsiTheme="majorBidi"/>
          <w:color w:val="auto"/>
        </w:rPr>
      </w:pPr>
      <w:r w:rsidRPr="006A6355">
        <w:rPr>
          <w:rFonts w:asciiTheme="majorBidi" w:hAnsiTheme="majorBidi"/>
          <w:color w:val="auto"/>
        </w:rPr>
        <w:t>8. Repository Structure and Reproducibility</w:t>
      </w:r>
    </w:p>
    <w:p w14:paraId="50CDBC83"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The repository contains the final FASTA outputs, preserved final-selection artifacts, HydrAMP checkpoint resources, the isolated HydrAMP inference subproject, executed Colab notebooks under repository-consistent names, project-specific APEX and HemoPI2 wrappers, and REPRODUCIBILITY.md describing the actual server/Colab/web-service hand-offs in execution order.</w:t>
      </w:r>
    </w:p>
    <w:p w14:paraId="7FC5C4A7"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checkpoint/ — HydrAMP model resources and provenance</w:t>
      </w:r>
    </w:p>
    <w:p w14:paraId="61163D6B"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data/ — official antibacterial reference and external-data instructions</w:t>
      </w:r>
    </w:p>
    <w:p w14:paraId="2D3F0A5D"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generate/ — final challenge-facing library.fasta and top.fasta</w:t>
      </w:r>
    </w:p>
    <w:p w14:paraId="667D591D"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inference/hydramp/ — isolated Python 3.8 HydrAMP inference environment and usage documentation</w:t>
      </w:r>
    </w:p>
    <w:p w14:paraId="71D0AABD"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notebooks/ — executed Colab workflows</w:t>
      </w:r>
    </w:p>
    <w:p w14:paraId="6D330281"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scripts/ — pipeline implementations plus APEX and HemoPI2 production wrappers</w:t>
      </w:r>
    </w:p>
    <w:p w14:paraId="58F3F3CA"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src/persipep_amp_challenge/ — deterministic challenge entry point that reconstructs the submitted FASTA files</w:t>
      </w:r>
    </w:p>
    <w:p w14:paraId="21DC8000" w14:textId="77777777" w:rsidR="00A71FD6" w:rsidRPr="006A6355" w:rsidRDefault="00000000" w:rsidP="006A6355">
      <w:pPr>
        <w:pStyle w:val="ListBullet"/>
        <w:jc w:val="both"/>
        <w:rPr>
          <w:rFonts w:asciiTheme="majorBidi" w:hAnsiTheme="majorBidi" w:cstheme="majorBidi"/>
        </w:rPr>
      </w:pPr>
      <w:r w:rsidRPr="006A6355">
        <w:rPr>
          <w:rFonts w:asciiTheme="majorBidi" w:hAnsiTheme="majorBidi" w:cstheme="majorBidi"/>
        </w:rPr>
        <w:t>artifacts/final_selection/ — preserved ranked final-selection state used by the challenge entry point</w:t>
      </w:r>
    </w:p>
    <w:p w14:paraId="23273DE5"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The root command `uv run generate` is a deterministic challenge-packaging layer, not a single-environment rerun of the entire scientific workflow. It reconstructs generate/library.fasta and generate/top.fasta from the preserved final-selection artifacts and reproduces the submitted files byte-for-byte. The packaging architecture was tested in a clean staged clone with the official AMP Challenge verifier and reported `All checks passed. Submission is valid!`. Because repository documentation and HydrAMP packaging were refined after that run, the official verifier should be run once more against the final public repository commit immediately before submission.</w:t>
      </w:r>
    </w:p>
    <w:p w14:paraId="337E2F04" w14:textId="77777777" w:rsidR="00A71FD6" w:rsidRPr="006A6355" w:rsidRDefault="00000000" w:rsidP="006A6355">
      <w:pPr>
        <w:pStyle w:val="Heading1"/>
        <w:jc w:val="both"/>
        <w:rPr>
          <w:rFonts w:asciiTheme="majorBidi" w:hAnsiTheme="majorBidi"/>
          <w:color w:val="auto"/>
        </w:rPr>
      </w:pPr>
      <w:r w:rsidRPr="006A6355">
        <w:rPr>
          <w:rFonts w:asciiTheme="majorBidi" w:hAnsiTheme="majorBidi"/>
          <w:color w:val="auto"/>
        </w:rPr>
        <w:t>9. Training-Data and External-Resource Disclosure</w:t>
      </w:r>
    </w:p>
    <w:p w14:paraId="0ADE8878"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PersiPep did not train a new generative model for the production submission. The production generator was the published pretrained HydrAMP model. APD6, DBAASP, dbAMP3, and the AMP Challenge antibacterial reference were used for screening, novelty assessment, physicochemical benchmarking, and compliance-related diagnostics; they were not project training data for HydrAMP. APEX, HemoPI2, ESM-2, and PepSySco were used as pretrained external scoring or representation tools. No proprietary or non-public project training dataset was used. External database dumps that are not redistributed are documented in data/README.md and must be obtained from their original sources in accordance with their terms of use.</w:t>
      </w:r>
    </w:p>
    <w:p w14:paraId="1626192C" w14:textId="77777777" w:rsidR="00A71FD6" w:rsidRPr="006A6355" w:rsidRDefault="00000000" w:rsidP="006A6355">
      <w:pPr>
        <w:pStyle w:val="Heading1"/>
        <w:jc w:val="both"/>
        <w:rPr>
          <w:rFonts w:asciiTheme="majorBidi" w:hAnsiTheme="majorBidi"/>
          <w:color w:val="auto"/>
        </w:rPr>
      </w:pPr>
      <w:r w:rsidRPr="006A6355">
        <w:rPr>
          <w:rFonts w:asciiTheme="majorBidi" w:hAnsiTheme="majorBidi"/>
          <w:color w:val="auto"/>
        </w:rPr>
        <w:t>10. Final Project Status</w:t>
      </w:r>
    </w:p>
    <w:p w14:paraId="4EA05B97"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 xml:space="preserve">PersiPep completed the computational design and selection workflow from 250,000 raw HydrAMP generations to a final 50,000-sequence library and a 100-sequence diversity-pruned shortlist. The selection integrates predicted potency, predicted safety, physicochemical realism, external novelty, biologically informed ESM-2 similarity, synthesizability, </w:t>
      </w:r>
      <w:r w:rsidRPr="006A6355">
        <w:rPr>
          <w:rFonts w:asciiTheme="majorBidi" w:hAnsiTheme="majorBidi" w:cstheme="majorBidi"/>
        </w:rPr>
        <w:lastRenderedPageBreak/>
        <w:t>and diversity while preserving a clear distinction between project-level diagnostics and the organizer’s official compliance procedures.</w:t>
      </w:r>
    </w:p>
    <w:p w14:paraId="78E688F1" w14:textId="77777777" w:rsidR="00A71FD6" w:rsidRPr="006A6355" w:rsidRDefault="00000000" w:rsidP="006A6355">
      <w:pPr>
        <w:jc w:val="both"/>
        <w:rPr>
          <w:rFonts w:asciiTheme="majorBidi" w:hAnsiTheme="majorBidi" w:cstheme="majorBidi"/>
        </w:rPr>
      </w:pPr>
      <w:r w:rsidRPr="006A6355">
        <w:rPr>
          <w:rFonts w:asciiTheme="majorBidi" w:hAnsiTheme="majorBidi" w:cstheme="majorBidi"/>
        </w:rPr>
        <w:t>Reproducibility validation now includes two separate layers. First, the root deterministic reconstruction reproduces the submitted FASTA files byte-for-byte with the recorded SHA-256 hashes. Second, the isolated HydrAMP inference package was smoke-tested successfully in Python 3.8 with the preserved model and PCA resources, generating 100 sequences with seed 42 and a filtered Top-1 output. For operational reproduction, use REPRODUCIBILITY.md together with the repository notebooks, wrappers, preserved web-service artifact, and final-selection artifacts.</w:t>
      </w:r>
    </w:p>
    <w:sectPr w:rsidR="00A71FD6" w:rsidRPr="006A6355"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B1CC2" w14:textId="77777777" w:rsidR="00A1444D" w:rsidRDefault="00A1444D">
      <w:pPr>
        <w:spacing w:after="0" w:line="240" w:lineRule="auto"/>
      </w:pPr>
      <w:r>
        <w:separator/>
      </w:r>
    </w:p>
  </w:endnote>
  <w:endnote w:type="continuationSeparator" w:id="0">
    <w:p w14:paraId="0B4C839B" w14:textId="77777777" w:rsidR="00A1444D" w:rsidRDefault="00A144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68711" w14:textId="77777777" w:rsidR="00A71FD6" w:rsidRDefault="00000000">
    <w:pPr>
      <w:pStyle w:val="Footer"/>
      <w:jc w:val="center"/>
    </w:pPr>
    <w:proofErr w:type="spellStart"/>
    <w:r>
      <w:rPr>
        <w:sz w:val="16"/>
      </w:rPr>
      <w:t>PersiPep</w:t>
    </w:r>
    <w:proofErr w:type="spellEnd"/>
    <w:r>
      <w:rPr>
        <w:sz w:val="16"/>
      </w:rPr>
      <w:t xml:space="preserve"> AMP Challenge 2027 — Concise Project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E5E96" w14:textId="77777777" w:rsidR="00A1444D" w:rsidRDefault="00A1444D">
      <w:pPr>
        <w:spacing w:after="0" w:line="240" w:lineRule="auto"/>
      </w:pPr>
      <w:r>
        <w:separator/>
      </w:r>
    </w:p>
  </w:footnote>
  <w:footnote w:type="continuationSeparator" w:id="0">
    <w:p w14:paraId="561B4C95" w14:textId="77777777" w:rsidR="00A1444D" w:rsidRDefault="00A144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4634161">
    <w:abstractNumId w:val="8"/>
  </w:num>
  <w:num w:numId="2" w16cid:durableId="1384712164">
    <w:abstractNumId w:val="6"/>
  </w:num>
  <w:num w:numId="3" w16cid:durableId="1715420135">
    <w:abstractNumId w:val="5"/>
  </w:num>
  <w:num w:numId="4" w16cid:durableId="1091900661">
    <w:abstractNumId w:val="4"/>
  </w:num>
  <w:num w:numId="5" w16cid:durableId="1367675453">
    <w:abstractNumId w:val="7"/>
  </w:num>
  <w:num w:numId="6" w16cid:durableId="1317610826">
    <w:abstractNumId w:val="3"/>
  </w:num>
  <w:num w:numId="7" w16cid:durableId="1500345220">
    <w:abstractNumId w:val="2"/>
  </w:num>
  <w:num w:numId="8" w16cid:durableId="390614028">
    <w:abstractNumId w:val="1"/>
  </w:num>
  <w:num w:numId="9" w16cid:durableId="350842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A6355"/>
    <w:rsid w:val="009F7CB9"/>
    <w:rsid w:val="00A1444D"/>
    <w:rsid w:val="00A71FD6"/>
    <w:rsid w:val="00AA1D8D"/>
    <w:rsid w:val="00B47730"/>
    <w:rsid w:val="00CB0664"/>
    <w:rsid w:val="00DB63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3DD7CA"/>
  <w14:defaultImageDpi w14:val="300"/>
  <w15:docId w15:val="{88136AAC-B5D5-4280-9D90-81FA7D216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1935</Words>
  <Characters>11030</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PersiPep AMP Challenge 2027 — Concise Computational Design and Selection Report</dc:title>
  <dc:subject>Final concise project report aligned with the current PersiPep repository</dc:subject>
  <dc:creator>python-docx</dc:creator>
  <cp:keywords/>
  <dc:description>Updated to match current repository paths, deterministic reconstruction, HydrAMP smoke test, and disclosure.</dc:description>
  <cp:lastModifiedBy>Fereshteh Noroozi</cp:lastModifiedBy>
  <cp:revision>3</cp:revision>
  <dcterms:created xsi:type="dcterms:W3CDTF">2026-09-19T11:41:00Z</dcterms:created>
  <dcterms:modified xsi:type="dcterms:W3CDTF">2026-09-19T11:42:00Z</dcterms:modified>
  <cp:category/>
</cp:coreProperties>
</file>