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3EDE" w14:textId="2831D093" w:rsidR="00825929" w:rsidRPr="00D22D65" w:rsidRDefault="00325809" w:rsidP="00D22D65">
      <w:pPr>
        <w:spacing w:line="36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22D65">
        <w:rPr>
          <w:rFonts w:ascii="Times New Roman" w:hAnsi="Times New Roman" w:cs="Times New Roman"/>
          <w:b/>
          <w:bCs/>
          <w:sz w:val="21"/>
          <w:szCs w:val="21"/>
        </w:rPr>
        <w:t xml:space="preserve">Supplementary </w:t>
      </w:r>
      <w:r w:rsidR="00EE0857" w:rsidRPr="00D22D65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="00825929" w:rsidRPr="00D22D65">
        <w:rPr>
          <w:rFonts w:ascii="Times New Roman" w:hAnsi="Times New Roman" w:cs="Times New Roman"/>
          <w:b/>
          <w:bCs/>
          <w:sz w:val="21"/>
          <w:szCs w:val="21"/>
        </w:rPr>
        <w:t xml:space="preserve">igure </w:t>
      </w:r>
      <w:r w:rsidR="0039355C" w:rsidRPr="00D22D65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825929" w:rsidRPr="00D22D65">
        <w:rPr>
          <w:rFonts w:ascii="Times New Roman" w:hAnsi="Times New Roman" w:cs="Times New Roman"/>
          <w:b/>
          <w:bCs/>
          <w:sz w:val="21"/>
          <w:szCs w:val="21"/>
        </w:rPr>
        <w:t xml:space="preserve">a: GC and AT skews in chromosomes </w:t>
      </w:r>
    </w:p>
    <w:p w14:paraId="502DC017" w14:textId="6AAE0F94" w:rsidR="000C3DF9" w:rsidRPr="00D22D65" w:rsidRDefault="00825929" w:rsidP="00D22D65">
      <w:pPr>
        <w:spacing w:line="360" w:lineRule="auto"/>
        <w:jc w:val="both"/>
        <w:rPr>
          <w:sz w:val="21"/>
          <w:szCs w:val="21"/>
        </w:rPr>
      </w:pPr>
      <w:r w:rsidRPr="00D22D65">
        <w:rPr>
          <w:rFonts w:ascii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45020A8" wp14:editId="266642FE">
            <wp:extent cx="5686425" cy="5480050"/>
            <wp:effectExtent l="0" t="0" r="9525" b="6350"/>
            <wp:docPr id="1" name="Picture 2" descr="C:\Users\piyali\Downloads\gc (1) (1)\gc (1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ali\Downloads\gc (1) (1)\gc (1)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5831"/>
                    <a:stretch/>
                  </pic:blipFill>
                  <pic:spPr bwMode="auto">
                    <a:xfrm>
                      <a:off x="0" y="0"/>
                      <a:ext cx="5691598" cy="54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85FF" w14:textId="20594A53" w:rsidR="00825929" w:rsidRPr="00D22D65" w:rsidRDefault="00825929" w:rsidP="00D22D65">
      <w:pPr>
        <w:spacing w:line="360" w:lineRule="auto"/>
        <w:jc w:val="both"/>
        <w:rPr>
          <w:sz w:val="21"/>
          <w:szCs w:val="21"/>
        </w:rPr>
      </w:pPr>
    </w:p>
    <w:p w14:paraId="1C851EF5" w14:textId="5EC0D18A" w:rsidR="00825929" w:rsidRPr="00D22D65" w:rsidRDefault="00825929" w:rsidP="00D22D65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22D65">
        <w:rPr>
          <w:rFonts w:ascii="Times New Roman" w:hAnsi="Times New Roman" w:cs="Times New Roman"/>
          <w:sz w:val="21"/>
          <w:szCs w:val="21"/>
        </w:rPr>
        <w:t xml:space="preserve">Figure </w:t>
      </w:r>
      <w:r w:rsidR="005276DB" w:rsidRPr="00D22D65">
        <w:rPr>
          <w:rFonts w:ascii="Times New Roman" w:hAnsi="Times New Roman" w:cs="Times New Roman"/>
          <w:sz w:val="21"/>
          <w:szCs w:val="21"/>
        </w:rPr>
        <w:t>re</w:t>
      </w:r>
      <w:r w:rsidRPr="00D22D65">
        <w:rPr>
          <w:rFonts w:ascii="Times New Roman" w:hAnsi="Times New Roman" w:cs="Times New Roman"/>
          <w:sz w:val="21"/>
          <w:szCs w:val="21"/>
        </w:rPr>
        <w:t xml:space="preserve">presents cumulative GC and AT skew diagram of chromosomes of 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Escherichia coli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Ec</w:t>
      </w:r>
      <w:r w:rsidRPr="00D22D65">
        <w:rPr>
          <w:rFonts w:ascii="Times New Roman" w:hAnsi="Times New Roman" w:cs="Times New Roman"/>
          <w:sz w:val="21"/>
          <w:szCs w:val="21"/>
        </w:rPr>
        <w:t>) (MG1655)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Klebsiella pneumoniae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Kp</w:t>
      </w:r>
      <w:r w:rsidRPr="00D22D65">
        <w:rPr>
          <w:rFonts w:ascii="Times New Roman" w:hAnsi="Times New Roman" w:cs="Times New Roman"/>
          <w:sz w:val="21"/>
          <w:szCs w:val="21"/>
        </w:rPr>
        <w:t>) (NTUH_K2044)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Salmonella enterica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Se</w:t>
      </w:r>
      <w:r w:rsidRPr="00D22D65">
        <w:rPr>
          <w:rFonts w:ascii="Times New Roman" w:hAnsi="Times New Roman" w:cs="Times New Roman"/>
          <w:sz w:val="21"/>
          <w:szCs w:val="21"/>
        </w:rPr>
        <w:t>) (Typhimurium_D23580)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Staphylococcus aureus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Sa</w:t>
      </w:r>
      <w:r w:rsidRPr="00D22D65">
        <w:rPr>
          <w:rFonts w:ascii="Times New Roman" w:hAnsi="Times New Roman" w:cs="Times New Roman"/>
          <w:sz w:val="21"/>
          <w:szCs w:val="21"/>
        </w:rPr>
        <w:t>) (HO_5096_0412)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and Streptococcus pneumoniae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Sp</w:t>
      </w:r>
      <w:r w:rsidRPr="00D22D65">
        <w:rPr>
          <w:rFonts w:ascii="Times New Roman" w:hAnsi="Times New Roman" w:cs="Times New Roman"/>
          <w:sz w:val="21"/>
          <w:szCs w:val="21"/>
        </w:rPr>
        <w:t xml:space="preserve">) (ATCC_700669). Nucleotide base frequencies in non-overlapping moving windows of size 1.0 kb along a genome sequence were found out and then the cumulative GC skew and AT skew were calculated as (G-C)/(G+C) and (A-T)/(A+T) respectively. These cumulative skew diagrams helped us to estimate and separate the leading (LeS) and the lagging (LaS) strands in the genome. For example, LeS is rich in base G over base C whereas the reverse is true for the LaS. Accordingly, </w:t>
      </w:r>
      <w:r w:rsidR="00650302" w:rsidRPr="00D22D65">
        <w:rPr>
          <w:rFonts w:ascii="Times New Roman" w:hAnsi="Times New Roman" w:cs="Times New Roman"/>
          <w:sz w:val="21"/>
          <w:szCs w:val="21"/>
        </w:rPr>
        <w:t xml:space="preserve">in the cumulative skew diagram of </w:t>
      </w:r>
      <w:r w:rsidRPr="00D22D65">
        <w:rPr>
          <w:rFonts w:ascii="Times New Roman" w:hAnsi="Times New Roman" w:cs="Times New Roman"/>
          <w:sz w:val="21"/>
          <w:szCs w:val="21"/>
        </w:rPr>
        <w:t>LeS and LaS result</w:t>
      </w:r>
      <w:r w:rsidR="00650302" w:rsidRPr="00D22D65">
        <w:rPr>
          <w:rFonts w:ascii="Times New Roman" w:hAnsi="Times New Roman" w:cs="Times New Roman"/>
          <w:sz w:val="21"/>
          <w:szCs w:val="21"/>
        </w:rPr>
        <w:t>s</w:t>
      </w:r>
      <w:r w:rsidRPr="00D22D65">
        <w:rPr>
          <w:rFonts w:ascii="Times New Roman" w:hAnsi="Times New Roman" w:cs="Times New Roman"/>
          <w:sz w:val="21"/>
          <w:szCs w:val="21"/>
        </w:rPr>
        <w:t xml:space="preserve"> positive and negative slopes</w:t>
      </w:r>
      <w:r w:rsidR="00650302" w:rsidRPr="00D22D65">
        <w:rPr>
          <w:rFonts w:ascii="Times New Roman" w:hAnsi="Times New Roman" w:cs="Times New Roman"/>
          <w:sz w:val="21"/>
          <w:szCs w:val="21"/>
        </w:rPr>
        <w:t>,</w:t>
      </w:r>
      <w:r w:rsidRPr="00D22D65">
        <w:rPr>
          <w:rFonts w:ascii="Times New Roman" w:hAnsi="Times New Roman" w:cs="Times New Roman"/>
          <w:sz w:val="21"/>
          <w:szCs w:val="21"/>
        </w:rPr>
        <w:t xml:space="preserve"> respectively. The magnitudes of GC skew </w:t>
      </w:r>
      <w:r w:rsidR="00650302" w:rsidRPr="00D22D65">
        <w:rPr>
          <w:rFonts w:ascii="Times New Roman" w:hAnsi="Times New Roman" w:cs="Times New Roman"/>
          <w:sz w:val="21"/>
          <w:szCs w:val="21"/>
        </w:rPr>
        <w:t>are</w:t>
      </w:r>
      <w:r w:rsidRPr="00D22D65">
        <w:rPr>
          <w:rFonts w:ascii="Times New Roman" w:hAnsi="Times New Roman" w:cs="Times New Roman"/>
          <w:sz w:val="21"/>
          <w:szCs w:val="21"/>
        </w:rPr>
        <w:t xml:space="preserve"> more than the AT skew in the chromosomes.  GC skew pattern</w:t>
      </w:r>
      <w:r w:rsidR="002F6B9B">
        <w:rPr>
          <w:rFonts w:ascii="Times New Roman" w:hAnsi="Times New Roman" w:cs="Times New Roman"/>
          <w:sz w:val="21"/>
          <w:szCs w:val="21"/>
        </w:rPr>
        <w:t xml:space="preserve"> is</w:t>
      </w:r>
      <w:r w:rsidRPr="00D22D65">
        <w:rPr>
          <w:rFonts w:ascii="Times New Roman" w:hAnsi="Times New Roman" w:cs="Times New Roman"/>
          <w:sz w:val="21"/>
          <w:szCs w:val="21"/>
        </w:rPr>
        <w:t xml:space="preserve"> opposite to that of AT skew in all the chromosomes except 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Sa</w:t>
      </w:r>
      <w:r w:rsidRPr="00D22D65">
        <w:rPr>
          <w:rFonts w:ascii="Times New Roman" w:hAnsi="Times New Roman" w:cs="Times New Roman"/>
          <w:sz w:val="21"/>
          <w:szCs w:val="21"/>
        </w:rPr>
        <w:t>.</w:t>
      </w:r>
    </w:p>
    <w:p w14:paraId="3C7B925F" w14:textId="56E8F0B3" w:rsidR="00F37A4A" w:rsidRPr="00D22D65" w:rsidRDefault="00325809" w:rsidP="00D22D65">
      <w:pPr>
        <w:spacing w:line="36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22D65">
        <w:rPr>
          <w:rFonts w:ascii="Times New Roman" w:hAnsi="Times New Roman" w:cs="Times New Roman"/>
          <w:b/>
          <w:bCs/>
          <w:sz w:val="21"/>
          <w:szCs w:val="21"/>
        </w:rPr>
        <w:lastRenderedPageBreak/>
        <w:t xml:space="preserve">Supplementary </w:t>
      </w:r>
      <w:r w:rsidR="00C80608" w:rsidRPr="00D22D65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Pr="00D22D65">
        <w:rPr>
          <w:rFonts w:ascii="Times New Roman" w:hAnsi="Times New Roman" w:cs="Times New Roman"/>
          <w:b/>
          <w:bCs/>
          <w:sz w:val="21"/>
          <w:szCs w:val="21"/>
        </w:rPr>
        <w:t>igure</w:t>
      </w:r>
      <w:r w:rsidR="00F37A4A" w:rsidRPr="00D22D6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9355C" w:rsidRPr="00D22D65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F37A4A" w:rsidRPr="00D22D65">
        <w:rPr>
          <w:rFonts w:ascii="Times New Roman" w:hAnsi="Times New Roman" w:cs="Times New Roman"/>
          <w:b/>
          <w:bCs/>
          <w:sz w:val="21"/>
          <w:szCs w:val="21"/>
        </w:rPr>
        <w:t>b: Purine-Pyrimidine (RY) skew (left panel) and keto-amino (KM) skew (right panel) in chromosomes</w:t>
      </w:r>
    </w:p>
    <w:p w14:paraId="6BAB297D" w14:textId="77777777" w:rsidR="00F37A4A" w:rsidRPr="00D22D65" w:rsidRDefault="00F37A4A" w:rsidP="00D22D65">
      <w:pPr>
        <w:spacing w:line="360" w:lineRule="auto"/>
        <w:jc w:val="center"/>
        <w:rPr>
          <w:b/>
          <w:bCs/>
          <w:sz w:val="21"/>
          <w:szCs w:val="21"/>
        </w:rPr>
      </w:pPr>
      <w:r w:rsidRPr="00D22D65">
        <w:rPr>
          <w:noProof/>
          <w:sz w:val="21"/>
          <w:szCs w:val="21"/>
        </w:rPr>
        <w:drawing>
          <wp:inline distT="0" distB="0" distL="0" distR="0" wp14:anchorId="28C7DC33" wp14:editId="16576619">
            <wp:extent cx="5363308" cy="64065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35" cy="64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3BBC" w14:textId="02BB955D" w:rsidR="00F37A4A" w:rsidRPr="00D22D65" w:rsidRDefault="00F37A4A" w:rsidP="00D22D65">
      <w:pPr>
        <w:spacing w:line="360" w:lineRule="auto"/>
        <w:jc w:val="both"/>
        <w:rPr>
          <w:sz w:val="21"/>
          <w:szCs w:val="21"/>
        </w:rPr>
      </w:pPr>
      <w:r w:rsidRPr="00D22D65">
        <w:rPr>
          <w:rFonts w:ascii="Times New Roman" w:hAnsi="Times New Roman" w:cs="Times New Roman"/>
          <w:sz w:val="21"/>
          <w:szCs w:val="21"/>
        </w:rPr>
        <w:t xml:space="preserve">Figure </w:t>
      </w:r>
      <w:r w:rsidR="00650302" w:rsidRPr="00D22D65">
        <w:rPr>
          <w:rFonts w:ascii="Times New Roman" w:hAnsi="Times New Roman" w:cs="Times New Roman"/>
          <w:sz w:val="21"/>
          <w:szCs w:val="21"/>
        </w:rPr>
        <w:t>re</w:t>
      </w:r>
      <w:r w:rsidRPr="00D22D65">
        <w:rPr>
          <w:rFonts w:ascii="Times New Roman" w:hAnsi="Times New Roman" w:cs="Times New Roman"/>
          <w:sz w:val="21"/>
          <w:szCs w:val="21"/>
        </w:rPr>
        <w:t xml:space="preserve">presents cumulative RY and KM skew diagram of chromosomes of 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Escherichia coli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Ec</w:t>
      </w:r>
      <w:r w:rsidRPr="00D22D65">
        <w:rPr>
          <w:rFonts w:ascii="Times New Roman" w:hAnsi="Times New Roman" w:cs="Times New Roman"/>
          <w:sz w:val="21"/>
          <w:szCs w:val="21"/>
        </w:rPr>
        <w:t>) (MG1655)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Klebsiella pneumoniae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Kp</w:t>
      </w:r>
      <w:r w:rsidRPr="00D22D65">
        <w:rPr>
          <w:rFonts w:ascii="Times New Roman" w:hAnsi="Times New Roman" w:cs="Times New Roman"/>
          <w:sz w:val="21"/>
          <w:szCs w:val="21"/>
        </w:rPr>
        <w:t>) (NTUH_K2044)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Salmonella enterica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Se</w:t>
      </w:r>
      <w:r w:rsidRPr="00D22D65">
        <w:rPr>
          <w:rFonts w:ascii="Times New Roman" w:hAnsi="Times New Roman" w:cs="Times New Roman"/>
          <w:sz w:val="21"/>
          <w:szCs w:val="21"/>
        </w:rPr>
        <w:t>) (Typhimurium_D23580)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Staphylococcus aureus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Sa</w:t>
      </w:r>
      <w:r w:rsidRPr="00D22D65">
        <w:rPr>
          <w:rFonts w:ascii="Times New Roman" w:hAnsi="Times New Roman" w:cs="Times New Roman"/>
          <w:sz w:val="21"/>
          <w:szCs w:val="21"/>
        </w:rPr>
        <w:t>) (HO_5096_0412)</w:t>
      </w:r>
      <w:r w:rsidRPr="00D22D65">
        <w:rPr>
          <w:rFonts w:ascii="Times New Roman" w:hAnsi="Times New Roman" w:cs="Times New Roman"/>
          <w:i/>
          <w:sz w:val="21"/>
          <w:szCs w:val="21"/>
        </w:rPr>
        <w:t xml:space="preserve">, and Streptococcus pneumoniae </w:t>
      </w:r>
      <w:r w:rsidRPr="00D22D65">
        <w:rPr>
          <w:rFonts w:ascii="Times New Roman" w:hAnsi="Times New Roman" w:cs="Times New Roman"/>
          <w:sz w:val="21"/>
          <w:szCs w:val="21"/>
        </w:rPr>
        <w:t>(</w:t>
      </w:r>
      <w:r w:rsidRPr="00D22D65">
        <w:rPr>
          <w:rFonts w:ascii="Times New Roman" w:hAnsi="Times New Roman" w:cs="Times New Roman"/>
          <w:i/>
          <w:iCs/>
          <w:sz w:val="21"/>
          <w:szCs w:val="21"/>
        </w:rPr>
        <w:t>Sp</w:t>
      </w:r>
      <w:r w:rsidRPr="00D22D65">
        <w:rPr>
          <w:rFonts w:ascii="Times New Roman" w:hAnsi="Times New Roman" w:cs="Times New Roman"/>
          <w:sz w:val="21"/>
          <w:szCs w:val="21"/>
        </w:rPr>
        <w:t>) (ATCC_700669). Nucleotide base frequencies in non-overlapping moving windows of size 1.0 kb along a genome sequence were found out and then the cumulative RY skew and KM skew were calculated as (R-Y)/(R+Y) and (K-M)/(K+M) respectively.</w:t>
      </w:r>
      <w:r w:rsidR="00E22E47" w:rsidRPr="00D22D65">
        <w:rPr>
          <w:rFonts w:ascii="Times New Roman" w:hAnsi="Times New Roman" w:cs="Times New Roman"/>
          <w:sz w:val="21"/>
          <w:szCs w:val="21"/>
        </w:rPr>
        <w:t xml:space="preserve"> RY skew and KM skew with positive slope represents the leading strand and negative slope represents the lagging strand. </w:t>
      </w:r>
    </w:p>
    <w:sectPr w:rsidR="00F37A4A" w:rsidRPr="00D2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DO2MDc3NTIwMjdU0lEKTi0uzszPAykwrgUA6dM/VCwAAAA="/>
  </w:docVars>
  <w:rsids>
    <w:rsidRoot w:val="00825929"/>
    <w:rsid w:val="000C3AE3"/>
    <w:rsid w:val="00147277"/>
    <w:rsid w:val="002738A1"/>
    <w:rsid w:val="002F6B9B"/>
    <w:rsid w:val="00325809"/>
    <w:rsid w:val="0039355C"/>
    <w:rsid w:val="005276DB"/>
    <w:rsid w:val="00650302"/>
    <w:rsid w:val="00677A2F"/>
    <w:rsid w:val="00825929"/>
    <w:rsid w:val="00916D6B"/>
    <w:rsid w:val="00C80608"/>
    <w:rsid w:val="00D22D65"/>
    <w:rsid w:val="00E22E47"/>
    <w:rsid w:val="00E96770"/>
    <w:rsid w:val="00EE0857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4A6A"/>
  <w15:chartTrackingRefBased/>
  <w15:docId w15:val="{B3A653ED-EF61-4F19-BCD0-20970C9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Sen</dc:creator>
  <cp:keywords/>
  <dc:description/>
  <cp:lastModifiedBy>Piyali</cp:lastModifiedBy>
  <cp:revision>16</cp:revision>
  <dcterms:created xsi:type="dcterms:W3CDTF">2020-12-31T15:05:00Z</dcterms:created>
  <dcterms:modified xsi:type="dcterms:W3CDTF">2021-09-01T07:05:00Z</dcterms:modified>
</cp:coreProperties>
</file>